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夹江县审计局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选聘工程造价专业技术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机构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参与项目审计的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</w:t>
      </w:r>
      <w:r>
        <w:rPr>
          <w:rFonts w:hint="eastAsia" w:ascii="方正小标宋简体" w:eastAsia="方正小标宋简体"/>
          <w:sz w:val="44"/>
          <w:szCs w:val="44"/>
        </w:rPr>
        <w:t>告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根据审计工作需要，拟采用</w:t>
      </w:r>
      <w:r>
        <w:rPr>
          <w:rFonts w:hint="eastAsia" w:ascii="仿宋_GB2312" w:eastAsia="仿宋_GB2312"/>
          <w:sz w:val="32"/>
          <w:szCs w:val="32"/>
          <w:lang w:eastAsia="zh-CN"/>
        </w:rPr>
        <w:t>参照政府采购竞争性谈判</w:t>
      </w:r>
      <w:r>
        <w:rPr>
          <w:rFonts w:hint="eastAsia" w:ascii="仿宋_GB2312" w:eastAsia="仿宋_GB2312"/>
          <w:sz w:val="32"/>
          <w:szCs w:val="32"/>
        </w:rPr>
        <w:t>的方式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选聘工程造价专业技术</w:t>
      </w:r>
      <w:r>
        <w:rPr>
          <w:rFonts w:hint="eastAsia" w:ascii="仿宋_GB2312" w:eastAsia="仿宋_GB2312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  <w:lang w:eastAsia="zh-CN"/>
        </w:rPr>
        <w:t>夹江县</w:t>
      </w:r>
      <w:r>
        <w:rPr>
          <w:rFonts w:hint="eastAsia" w:ascii="仿宋_GB2312" w:eastAsia="仿宋_GB2312"/>
          <w:sz w:val="32"/>
          <w:szCs w:val="32"/>
        </w:rPr>
        <w:t>政府投资项目财政评审情况专项审计调查</w:t>
      </w:r>
      <w:r>
        <w:rPr>
          <w:rFonts w:hint="eastAsia" w:ascii="仿宋_GB2312" w:eastAsia="仿宋_GB2312"/>
          <w:color w:val="auto"/>
          <w:sz w:val="32"/>
          <w:szCs w:val="32"/>
        </w:rPr>
        <w:t>，现将</w:t>
      </w:r>
      <w:r>
        <w:rPr>
          <w:rFonts w:hint="eastAsia" w:ascii="仿宋_GB2312" w:eastAsia="仿宋_GB2312"/>
          <w:sz w:val="32"/>
          <w:szCs w:val="32"/>
        </w:rPr>
        <w:t>有关需求情况通告如下：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审计项目基本情况</w:t>
      </w: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现场审计地点：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夹江县漹城街道建设北路</w:t>
      </w: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190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号（夹江县财政局)。</w:t>
      </w: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调查范围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政府投资项目财政评审监管及职责履行，及相关业务工作开展情况。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</w:pPr>
      <w:r>
        <w:rPr>
          <w:rFonts w:hint="eastAsia" w:eastAsia="楷体_GB2312"/>
          <w:kern w:val="0"/>
          <w:sz w:val="32"/>
          <w:szCs w:val="32"/>
          <w:lang w:eastAsia="zh-CN"/>
        </w:rPr>
        <w:t>调查时间</w:t>
      </w:r>
      <w:r>
        <w:rPr>
          <w:rFonts w:eastAsia="楷体_GB2312"/>
          <w:kern w:val="0"/>
          <w:sz w:val="32"/>
          <w:szCs w:val="32"/>
        </w:rPr>
        <w:t>范围</w:t>
      </w:r>
      <w:r>
        <w:rPr>
          <w:rFonts w:hint="eastAsia" w:eastAsia="楷体_GB2312"/>
          <w:kern w:val="0"/>
          <w:sz w:val="32"/>
          <w:szCs w:val="32"/>
          <w:lang w:eastAsia="zh-CN"/>
        </w:rPr>
        <w:t>：</w:t>
      </w:r>
      <w:r>
        <w:rPr>
          <w:rFonts w:eastAsia="仿宋_GB2312"/>
          <w:kern w:val="0"/>
          <w:sz w:val="32"/>
          <w:szCs w:val="32"/>
          <w:lang w:val="zh-CN"/>
        </w:rPr>
        <w:t>20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22</w:t>
      </w:r>
      <w:r>
        <w:rPr>
          <w:rFonts w:eastAsia="仿宋_GB2312"/>
          <w:kern w:val="0"/>
          <w:sz w:val="32"/>
          <w:szCs w:val="32"/>
          <w:lang w:val="zh-CN"/>
        </w:rPr>
        <w:t>年至202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  <w:lang w:val="zh-CN"/>
        </w:rPr>
        <w:t>年底。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根据审计调查实际，必要时追溯到以前年度或延伸至审计时。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拟聘请专业技术人员数量、预计工作时间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及评选方式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本次拟聘请1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</w:t>
      </w:r>
      <w:r>
        <w:rPr>
          <w:rFonts w:hint="eastAsia" w:ascii="仿宋_GB2312" w:eastAsia="仿宋_GB2312"/>
          <w:sz w:val="32"/>
          <w:szCs w:val="32"/>
        </w:rPr>
        <w:t>名工程造价专业技术人员，工作时间预计为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个工作日。审计项目由</w:t>
      </w:r>
      <w:r>
        <w:rPr>
          <w:rFonts w:hint="eastAsia" w:ascii="仿宋_GB2312" w:eastAsia="仿宋_GB2312"/>
          <w:sz w:val="32"/>
          <w:szCs w:val="32"/>
          <w:lang w:eastAsia="zh-CN"/>
        </w:rPr>
        <w:t>县审计</w:t>
      </w:r>
      <w:r>
        <w:rPr>
          <w:rFonts w:hint="eastAsia" w:ascii="仿宋_GB2312" w:eastAsia="仿宋_GB2312"/>
          <w:sz w:val="32"/>
          <w:szCs w:val="32"/>
        </w:rPr>
        <w:t>局人员担任组长和主审，选聘人员参与审计组工作，并根据审计组考勤记录确定的实际工作天数，参照有关标准，经考核合格者支付劳务费（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被审计单位工作期间食宿、交通</w:t>
      </w:r>
      <w:r>
        <w:rPr>
          <w:rFonts w:hint="eastAsia" w:ascii="仿宋_GB2312" w:eastAsia="仿宋_GB2312"/>
          <w:sz w:val="32"/>
          <w:szCs w:val="32"/>
          <w:lang w:eastAsia="zh-CN"/>
        </w:rPr>
        <w:t>、通讯</w:t>
      </w:r>
      <w:r>
        <w:rPr>
          <w:rFonts w:hint="eastAsia" w:ascii="仿宋_GB2312" w:eastAsia="仿宋_GB2312"/>
          <w:sz w:val="32"/>
          <w:szCs w:val="32"/>
        </w:rPr>
        <w:t>等费用自理）。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县审计局选派3人</w:t>
      </w:r>
      <w:r>
        <w:rPr>
          <w:rFonts w:hint="eastAsia" w:ascii="仿宋_GB2312" w:eastAsia="仿宋_GB2312"/>
          <w:color w:val="auto"/>
          <w:sz w:val="32"/>
          <w:szCs w:val="32"/>
        </w:rPr>
        <w:t>组成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谈判小</w:t>
      </w:r>
      <w:r>
        <w:rPr>
          <w:rFonts w:hint="eastAsia" w:ascii="仿宋_GB2312" w:eastAsia="仿宋_GB2312"/>
          <w:color w:val="auto"/>
          <w:sz w:val="32"/>
          <w:szCs w:val="32"/>
        </w:rPr>
        <w:t>组，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首先对报名</w:t>
      </w:r>
      <w:r>
        <w:rPr>
          <w:rFonts w:hint="eastAsia" w:ascii="仿宋_GB2312" w:eastAsia="仿宋_GB2312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人员进行符合性审查；再从通过符合性审查的</w:t>
      </w:r>
      <w:r>
        <w:rPr>
          <w:rFonts w:hint="eastAsia" w:ascii="仿宋_GB2312" w:eastAsia="仿宋_GB2312"/>
          <w:color w:val="auto"/>
          <w:sz w:val="32"/>
          <w:szCs w:val="32"/>
        </w:rPr>
        <w:t>人员中，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通过谈判选择中选人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若通过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符合性审查条件的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仅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有1家的，直接确定中选人。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中选人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需在被选定后的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2个工作日内与县审计局签订服务协议，并按时参与审计工作。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、拟聘人员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资格及工作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中选单位拟派人员中至少有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1名人员须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具备</w:t>
      </w:r>
      <w:r>
        <w:rPr>
          <w:rFonts w:hint="eastAsia" w:ascii="仿宋_GB2312" w:eastAsia="仿宋_GB2312"/>
          <w:sz w:val="32"/>
          <w:szCs w:val="32"/>
          <w:lang w:eastAsia="zh-CN"/>
        </w:rPr>
        <w:t>一级</w:t>
      </w:r>
      <w:r>
        <w:rPr>
          <w:rFonts w:hint="eastAsia" w:ascii="仿宋_GB2312" w:eastAsia="仿宋_GB2312"/>
          <w:sz w:val="32"/>
          <w:szCs w:val="32"/>
        </w:rPr>
        <w:t>造价工程</w:t>
      </w:r>
      <w:r>
        <w:rPr>
          <w:rFonts w:hint="eastAsia" w:ascii="仿宋_GB2312" w:eastAsia="仿宋_GB2312"/>
          <w:sz w:val="32"/>
          <w:szCs w:val="32"/>
          <w:lang w:eastAsia="zh-CN"/>
        </w:rPr>
        <w:t>师资格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（土木建筑工程）</w:t>
      </w:r>
      <w:r>
        <w:rPr>
          <w:rFonts w:hint="eastAsia" w:ascii="仿宋_GB2312" w:eastAsia="仿宋_GB2312"/>
          <w:sz w:val="32"/>
          <w:szCs w:val="32"/>
          <w:lang w:eastAsia="zh-CN"/>
        </w:rPr>
        <w:t>并具备工程相关专业高级职称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其它人员至少须具备二级及以上造价工程师资格并具备</w:t>
      </w:r>
      <w:r>
        <w:rPr>
          <w:rFonts w:hint="eastAsia" w:ascii="仿宋_GB2312" w:eastAsia="仿宋_GB2312"/>
          <w:sz w:val="32"/>
          <w:szCs w:val="32"/>
          <w:lang w:eastAsia="zh-CN"/>
        </w:rPr>
        <w:t>工程相关专业高级职称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拟聘人员不得与被审计单位有</w:t>
      </w:r>
      <w:r>
        <w:rPr>
          <w:rFonts w:hint="eastAsia" w:ascii="仿宋_GB2312" w:eastAsia="仿宋_GB2312"/>
          <w:sz w:val="32"/>
          <w:szCs w:val="32"/>
          <w:lang w:eastAsia="zh-CN"/>
        </w:rPr>
        <w:t>利害</w:t>
      </w:r>
      <w:r>
        <w:rPr>
          <w:rFonts w:hint="eastAsia" w:ascii="仿宋_GB2312" w:eastAsia="仿宋_GB2312"/>
          <w:sz w:val="32"/>
          <w:szCs w:val="32"/>
        </w:rPr>
        <w:t>关系或其他影响审计独立性</w:t>
      </w:r>
      <w:r>
        <w:rPr>
          <w:rFonts w:hint="eastAsia" w:ascii="仿宋_GB2312" w:eastAsia="仿宋_GB2312"/>
          <w:sz w:val="32"/>
          <w:szCs w:val="32"/>
          <w:lang w:eastAsia="zh-CN"/>
        </w:rPr>
        <w:t>、公正性</w:t>
      </w:r>
      <w:r>
        <w:rPr>
          <w:rFonts w:hint="eastAsia" w:ascii="仿宋_GB2312" w:eastAsia="仿宋_GB2312"/>
          <w:sz w:val="32"/>
          <w:szCs w:val="32"/>
        </w:rPr>
        <w:t>的情形。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拟聘人员应按照项目审计方案确定的范围、内容、重点、步骤及审计组组长、主审有关工作要求实施审计工作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审计过程中，</w:t>
      </w:r>
      <w:r>
        <w:rPr>
          <w:rFonts w:hint="eastAsia" w:ascii="仿宋_GB2312" w:eastAsia="仿宋_GB2312"/>
          <w:sz w:val="32"/>
          <w:szCs w:val="32"/>
          <w:lang w:eastAsia="zh-CN"/>
        </w:rPr>
        <w:t>应遵守法律法规规定及</w:t>
      </w:r>
      <w:r>
        <w:rPr>
          <w:rFonts w:hint="eastAsia" w:ascii="仿宋_GB2312" w:eastAsia="仿宋_GB2312"/>
          <w:sz w:val="32"/>
          <w:szCs w:val="32"/>
        </w:rPr>
        <w:t>审计“八不准”</w:t>
      </w:r>
      <w:r>
        <w:rPr>
          <w:rFonts w:hint="eastAsia" w:ascii="仿宋_GB2312" w:eastAsia="仿宋_GB2312"/>
          <w:sz w:val="32"/>
          <w:szCs w:val="32"/>
          <w:lang w:eastAsia="zh-CN"/>
        </w:rPr>
        <w:t>工作纪律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审计现场工作结束后，需要聘用人员配合完成所需后续工作的，聘用人员有义务</w:t>
      </w:r>
      <w:r>
        <w:rPr>
          <w:rFonts w:hint="eastAsia" w:ascii="仿宋_GB2312" w:eastAsia="仿宋_GB2312"/>
          <w:sz w:val="32"/>
          <w:szCs w:val="32"/>
          <w:lang w:eastAsia="zh-CN"/>
        </w:rPr>
        <w:t>无偿</w:t>
      </w:r>
      <w:r>
        <w:rPr>
          <w:rFonts w:hint="eastAsia" w:ascii="仿宋_GB2312" w:eastAsia="仿宋_GB2312"/>
          <w:sz w:val="32"/>
          <w:szCs w:val="32"/>
        </w:rPr>
        <w:t>支持配合。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审计工作结束后，审计组对聘用人员的工作质量、廉</w:t>
      </w:r>
      <w:r>
        <w:rPr>
          <w:rFonts w:hint="eastAsia" w:ascii="仿宋_GB2312" w:eastAsia="仿宋_GB2312"/>
          <w:sz w:val="32"/>
          <w:szCs w:val="32"/>
          <w:lang w:eastAsia="zh-CN"/>
        </w:rPr>
        <w:t>洁</w:t>
      </w:r>
      <w:r>
        <w:rPr>
          <w:rFonts w:hint="eastAsia" w:ascii="仿宋_GB2312" w:eastAsia="仿宋_GB2312"/>
          <w:sz w:val="32"/>
          <w:szCs w:val="32"/>
        </w:rPr>
        <w:t>纪律等方面进行综合考评，并以此作为劳务费支付依据。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、报名需提供的资料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.提供营业执照、执业资格证书；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2.拟派人员身份证及</w:t>
      </w:r>
      <w:r>
        <w:rPr>
          <w:rFonts w:hint="eastAsia" w:ascii="仿宋_GB2312" w:eastAsia="仿宋_GB2312"/>
          <w:sz w:val="32"/>
          <w:szCs w:val="32"/>
        </w:rPr>
        <w:t>专业技术资格证书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复印件1份（原件备查）。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未与被审计单位有</w:t>
      </w:r>
      <w:r>
        <w:rPr>
          <w:rFonts w:hint="eastAsia" w:ascii="仿宋_GB2312" w:eastAsia="仿宋_GB2312"/>
          <w:sz w:val="32"/>
          <w:szCs w:val="32"/>
          <w:lang w:eastAsia="zh-CN"/>
        </w:rPr>
        <w:t>利害</w:t>
      </w:r>
      <w:r>
        <w:rPr>
          <w:rFonts w:hint="eastAsia" w:ascii="仿宋_GB2312" w:eastAsia="仿宋_GB2312"/>
          <w:sz w:val="32"/>
          <w:szCs w:val="32"/>
        </w:rPr>
        <w:t>关系及其他影响审计独立性</w:t>
      </w:r>
      <w:r>
        <w:rPr>
          <w:rFonts w:hint="eastAsia" w:ascii="仿宋_GB2312" w:eastAsia="仿宋_GB2312"/>
          <w:sz w:val="32"/>
          <w:szCs w:val="32"/>
          <w:lang w:eastAsia="zh-CN"/>
        </w:rPr>
        <w:t>、公正性</w:t>
      </w:r>
      <w:r>
        <w:rPr>
          <w:rFonts w:hint="eastAsia" w:ascii="仿宋_GB2312" w:eastAsia="仿宋_GB2312"/>
          <w:sz w:val="32"/>
          <w:szCs w:val="32"/>
        </w:rPr>
        <w:t>情形的</w:t>
      </w:r>
      <w:r>
        <w:rPr>
          <w:rFonts w:hint="eastAsia" w:ascii="仿宋_GB2312" w:eastAsia="仿宋_GB2312"/>
          <w:sz w:val="32"/>
          <w:szCs w:val="32"/>
          <w:lang w:eastAsia="zh-CN"/>
        </w:rPr>
        <w:t>声明函（原件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.第一次</w:t>
      </w:r>
      <w:r>
        <w:rPr>
          <w:rFonts w:hint="eastAsia" w:ascii="仿宋_GB2312" w:eastAsia="仿宋_GB2312"/>
          <w:sz w:val="32"/>
          <w:szCs w:val="32"/>
        </w:rPr>
        <w:t>报价单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</w:t>
      </w:r>
      <w:r>
        <w:rPr>
          <w:rFonts w:hint="eastAsia" w:ascii="仿宋_GB2312" w:eastAsia="仿宋_GB2312"/>
          <w:color w:val="auto"/>
          <w:sz w:val="32"/>
          <w:szCs w:val="32"/>
        </w:rPr>
        <w:t>按天计价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。结合本项目具体情况，限价设定为：一级造价工程师不高于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1200元/天、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二级造价工程师不高于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1000元/天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、报名时间及地址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报名方式为线下报名，时间为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2025年9月28日—9月30日（工作日上班时间9：00至18：00时），报名地点为</w:t>
      </w:r>
      <w:r>
        <w:rPr>
          <w:rFonts w:hint="eastAsia" w:ascii="仿宋_GB2312" w:eastAsia="仿宋_GB2312"/>
          <w:sz w:val="32"/>
          <w:szCs w:val="32"/>
        </w:rPr>
        <w:t>夹江县审计局办公室（夹江县人民政府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楼）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联系人：殷晓琴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联系电话：15228188120。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夹江县审计局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2025年9月26日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国标小标宋" w:hAnsi="国标小标宋" w:eastAsia="国标小标宋" w:cs="国标小标宋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声明函</w:t>
      </w:r>
    </w:p>
    <w:p>
      <w:pPr>
        <w:rPr>
          <w:rFonts w:hint="default" w:ascii="仿宋_GB2312" w:eastAsia="仿宋_GB2312"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夹江县审计局：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本机构参与此次竞争性谈判，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与被审计对象无任何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利害关系，不存在</w:t>
      </w:r>
      <w:r>
        <w:rPr>
          <w:rFonts w:hint="eastAsia" w:ascii="仿宋_GB2312" w:eastAsia="仿宋_GB2312"/>
          <w:sz w:val="32"/>
          <w:szCs w:val="32"/>
        </w:rPr>
        <w:t>影响审计独立</w:t>
      </w:r>
      <w:r>
        <w:rPr>
          <w:rFonts w:hint="eastAsia" w:ascii="仿宋_GB2312" w:eastAsia="仿宋_GB2312"/>
          <w:sz w:val="32"/>
          <w:szCs w:val="32"/>
          <w:lang w:eastAsia="zh-CN"/>
        </w:rPr>
        <w:t>性、公正</w:t>
      </w:r>
      <w:r>
        <w:rPr>
          <w:rFonts w:hint="eastAsia" w:ascii="仿宋_GB2312" w:eastAsia="仿宋_GB2312"/>
          <w:sz w:val="32"/>
          <w:szCs w:val="32"/>
        </w:rPr>
        <w:t>性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情形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特此声明。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声明人（签字并加盖单位印章）：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</w:p>
    <w:p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2025年10月*日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>
      <w:pPr>
        <w:ind w:firstLine="1280" w:firstLineChars="400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>
      <w:pPr>
        <w:jc w:val="center"/>
        <w:rPr>
          <w:rFonts w:hint="eastAsia" w:ascii="CESI黑体-GB2312" w:hAnsi="CESI黑体-GB2312" w:eastAsia="CESI黑体-GB2312" w:cs="CESI黑体-GB2312"/>
          <w:sz w:val="44"/>
          <w:szCs w:val="44"/>
          <w:lang w:eastAsia="zh-CN"/>
        </w:rPr>
      </w:pPr>
      <w:r>
        <w:rPr>
          <w:rFonts w:hint="eastAsia" w:ascii="CESI黑体-GB2312" w:hAnsi="CESI黑体-GB2312" w:eastAsia="CESI黑体-GB2312" w:cs="CESI黑体-GB2312"/>
          <w:sz w:val="44"/>
          <w:szCs w:val="44"/>
          <w:lang w:eastAsia="zh-CN"/>
        </w:rPr>
        <w:t>报价单</w:t>
      </w:r>
    </w:p>
    <w:p>
      <w:pPr>
        <w:rPr>
          <w:rFonts w:hint="eastAsia" w:ascii="CESI黑体-GB2312" w:hAnsi="CESI黑体-GB2312" w:eastAsia="仿宋_GB2312" w:cs="CESI黑体-GB2312"/>
          <w:color w:val="auto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项目名称：夹江县政府投资项目财政评审情况专项审计调查</w:t>
      </w:r>
    </w:p>
    <w:tbl>
      <w:tblPr>
        <w:tblStyle w:val="6"/>
        <w:tblpPr w:leftFromText="180" w:rightFromText="180" w:vertAnchor="text" w:horzAnchor="page" w:tblpX="1446" w:tblpY="5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891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机构名称或报价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第一次报价（*元/天）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第二次报价（*元/天）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724" w:type="dxa"/>
          </w:tcPr>
          <w:p>
            <w:pP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25" w:type="dxa"/>
          </w:tcPr>
          <w:p>
            <w:pP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25" w:type="dxa"/>
          </w:tcPr>
          <w:p>
            <w:pP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3CA22"/>
    <w:multiLevelType w:val="singleLevel"/>
    <w:tmpl w:val="41B3CA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52999"/>
    <w:rsid w:val="07A41091"/>
    <w:rsid w:val="3FA0645E"/>
    <w:rsid w:val="452E4244"/>
    <w:rsid w:val="6B674AA6"/>
    <w:rsid w:val="704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cs="Times New Roman"/>
      <w:sz w:val="18"/>
      <w:szCs w:val="18"/>
    </w:rPr>
  </w:style>
  <w:style w:type="paragraph" w:styleId="3">
    <w:name w:val="Body Text"/>
    <w:basedOn w:val="1"/>
    <w:next w:val="1"/>
    <w:qFormat/>
    <w:uiPriority w:val="0"/>
    <w:rPr>
      <w:rFonts w:eastAsia="仿宋_GB2312" w:cs="Times New Roman"/>
      <w:sz w:val="32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2025-09-26T08:25:00Z</dcterms:created>
  <dc:creator>admin</dc:creator>
  <cp:lastModifiedBy>admin</cp:lastModifiedBy>
  <dcterms:modified xsi:type="dcterms:W3CDTF">2025-09-26T08:41:25Z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7E80A78406DE40EE8CC4236272E87F0A</vt:lpwstr>
  </property>
</Properties>
</file>