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2CBBE">
      <w:pPr>
        <w:spacing w:line="600" w:lineRule="exact"/>
        <w:rPr>
          <w:rFonts w:ascii="黑体" w:hAnsi="黑体" w:eastAsia="黑体" w:cs="黑体"/>
          <w:color w:val="181717" w:themeColor="background2" w:themeShade="1A"/>
          <w:sz w:val="32"/>
          <w:szCs w:val="32"/>
        </w:rPr>
      </w:pPr>
      <w:r>
        <w:rPr>
          <w:rFonts w:hint="eastAsia" w:ascii="黑体" w:hAnsi="黑体" w:eastAsia="黑体" w:cs="黑体"/>
          <w:color w:val="181717" w:themeColor="background2" w:themeShade="1A"/>
          <w:sz w:val="32"/>
          <w:szCs w:val="32"/>
        </w:rPr>
        <w:t>附件2</w:t>
      </w:r>
    </w:p>
    <w:p w14:paraId="41BC22E4">
      <w:pPr>
        <w:spacing w:line="600" w:lineRule="exact"/>
        <w:rPr>
          <w:rFonts w:ascii="黑体" w:hAnsi="黑体" w:eastAsia="黑体" w:cs="黑体"/>
          <w:color w:val="181717" w:themeColor="background2" w:themeShade="1A"/>
          <w:sz w:val="32"/>
          <w:szCs w:val="32"/>
        </w:rPr>
      </w:pPr>
    </w:p>
    <w:p w14:paraId="2BA5A72F">
      <w:pPr>
        <w:pStyle w:val="2"/>
        <w:spacing w:before="0" w:beforeAutospacing="0" w:after="0" w:afterAutospacing="0" w:line="600" w:lineRule="exact"/>
        <w:jc w:val="center"/>
        <w:rPr>
          <w:rFonts w:eastAsia="微软雅黑"/>
          <w:color w:val="181717" w:themeColor="background2" w:themeShade="1A"/>
          <w:sz w:val="44"/>
          <w:szCs w:val="44"/>
          <w:shd w:val="clear" w:color="auto" w:fill="FFFFFF"/>
        </w:rPr>
      </w:pPr>
      <w:r>
        <w:rPr>
          <w:rFonts w:hint="eastAsia" w:eastAsia="微软雅黑"/>
          <w:color w:val="181717" w:themeColor="background2" w:themeShade="1A"/>
          <w:sz w:val="44"/>
          <w:szCs w:val="44"/>
          <w:shd w:val="clear" w:color="auto" w:fill="FFFFFF"/>
        </w:rPr>
        <w:t>夹江县</w:t>
      </w:r>
      <w:r>
        <w:rPr>
          <w:rFonts w:eastAsia="微软雅黑"/>
          <w:color w:val="181717" w:themeColor="background2" w:themeShade="1A"/>
          <w:sz w:val="44"/>
          <w:szCs w:val="44"/>
          <w:shd w:val="clear" w:color="auto" w:fill="FFFFFF"/>
        </w:rPr>
        <w:t>互联网租赁自行车</w:t>
      </w:r>
      <w:r>
        <w:rPr>
          <w:rFonts w:hint="eastAsia" w:eastAsia="微软雅黑"/>
          <w:color w:val="181717" w:themeColor="background2" w:themeShade="1A"/>
          <w:sz w:val="44"/>
          <w:szCs w:val="44"/>
          <w:shd w:val="clear" w:color="auto" w:fill="FFFFFF"/>
        </w:rPr>
        <w:t>运营</w:t>
      </w:r>
      <w:r>
        <w:rPr>
          <w:rFonts w:eastAsia="微软雅黑"/>
          <w:color w:val="181717" w:themeColor="background2" w:themeShade="1A"/>
          <w:sz w:val="44"/>
          <w:szCs w:val="44"/>
          <w:shd w:val="clear" w:color="auto" w:fill="FFFFFF"/>
        </w:rPr>
        <w:t>服务规范</w:t>
      </w:r>
    </w:p>
    <w:p w14:paraId="6900D185">
      <w:pPr>
        <w:widowControl/>
        <w:spacing w:line="600" w:lineRule="exact"/>
        <w:jc w:val="center"/>
        <w:rPr>
          <w:rFonts w:ascii="楷体_GB2312" w:hAnsi="楷体_GB2312" w:eastAsia="楷体_GB2312" w:cs="楷体_GB2312"/>
          <w:color w:val="181717" w:themeColor="background2" w:themeShade="1A"/>
          <w:sz w:val="32"/>
          <w:szCs w:val="32"/>
          <w:shd w:val="clear" w:color="auto" w:fill="FFFFFF"/>
        </w:rPr>
      </w:pPr>
      <w:r>
        <w:rPr>
          <w:rFonts w:hint="eastAsia" w:ascii="楷体_GB2312" w:hAnsi="楷体_GB2312" w:eastAsia="楷体_GB2312" w:cs="楷体_GB2312"/>
          <w:color w:val="181717" w:themeColor="background2" w:themeShade="1A"/>
          <w:sz w:val="32"/>
          <w:szCs w:val="32"/>
          <w:shd w:val="clear" w:color="auto" w:fill="FFFFFF"/>
        </w:rPr>
        <w:t>（征求意见稿）</w:t>
      </w:r>
    </w:p>
    <w:p w14:paraId="2D41CE58">
      <w:pPr>
        <w:pStyle w:val="2"/>
        <w:spacing w:before="0" w:beforeAutospacing="0" w:after="0" w:afterAutospacing="0" w:line="600" w:lineRule="exact"/>
        <w:jc w:val="both"/>
        <w:rPr>
          <w:rStyle w:val="5"/>
          <w:rFonts w:ascii="黑体" w:hAnsi="黑体" w:eastAsia="黑体" w:cs="黑体"/>
          <w:b w:val="0"/>
          <w:bCs/>
          <w:color w:val="181717" w:themeColor="background2" w:themeShade="1A"/>
          <w:sz w:val="32"/>
          <w:szCs w:val="32"/>
          <w:shd w:val="clear" w:color="auto" w:fill="FFFFFF"/>
        </w:rPr>
      </w:pPr>
    </w:p>
    <w:p w14:paraId="3D3C8BBB">
      <w:pPr>
        <w:widowControl/>
        <w:spacing w:line="600" w:lineRule="exact"/>
        <w:ind w:firstLine="640" w:firstLineChars="200"/>
        <w:rPr>
          <w:rFonts w:ascii="仿宋_GB2312" w:hAnsi="仿宋_GB2312" w:eastAsia="仿宋_GB2312" w:cs="仿宋_GB2312"/>
          <w:color w:val="181717" w:themeColor="background2" w:themeShade="1A"/>
          <w:sz w:val="32"/>
          <w:szCs w:val="32"/>
        </w:rPr>
      </w:pPr>
      <w:r>
        <w:rPr>
          <w:rFonts w:hint="eastAsia" w:eastAsia="黑体"/>
          <w:color w:val="181717" w:themeColor="background2" w:themeShade="1A"/>
          <w:kern w:val="0"/>
          <w:sz w:val="32"/>
          <w:szCs w:val="32"/>
          <w:shd w:val="clear" w:color="auto" w:fill="FFFFFF"/>
        </w:rPr>
        <w:t xml:space="preserve">第一条 </w:t>
      </w:r>
      <w:r>
        <w:rPr>
          <w:rFonts w:hint="eastAsia" w:ascii="仿宋_GB2312" w:hAnsi="仿宋_GB2312" w:eastAsia="仿宋_GB2312" w:cs="仿宋_GB2312"/>
          <w:color w:val="181717" w:themeColor="background2" w:themeShade="1A"/>
          <w:sz w:val="32"/>
          <w:szCs w:val="32"/>
        </w:rPr>
        <w:t xml:space="preserve"> 为更好地满足社会公众多样化出行需求，规范互联网租赁自行车运营服务行为，保障运营安全和用户合法权益，根据交通运输部等十部委《关于鼓励和规范互联网租赁自行车发展的指导意见》（交运发〔2017〕109号）、四川省交通运输厅等《关于促进互联网租赁自行车健康发展的实施意见》（川交发〔2018〕41号）《夹江县交通运输局 夹江县公安局 夹江县综合行政执法局关于促进互联网租赁自行车平稳健康发展的实施意见》等文件要求，结合夹江县实际，制定本规范。</w:t>
      </w:r>
    </w:p>
    <w:p w14:paraId="68747494">
      <w:pPr>
        <w:pStyle w:val="2"/>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eastAsia="黑体"/>
          <w:color w:val="181717" w:themeColor="background2" w:themeShade="1A"/>
          <w:sz w:val="32"/>
          <w:szCs w:val="32"/>
          <w:shd w:val="clear" w:color="auto" w:fill="FFFFFF"/>
        </w:rPr>
        <w:t xml:space="preserve">第二条  </w:t>
      </w:r>
      <w:r>
        <w:rPr>
          <w:rFonts w:hint="eastAsia" w:ascii="仿宋_GB2312" w:hAnsi="仿宋_GB2312" w:eastAsia="仿宋_GB2312" w:cs="仿宋_GB2312"/>
          <w:color w:val="181717" w:themeColor="background2" w:themeShade="1A"/>
          <w:kern w:val="2"/>
          <w:sz w:val="32"/>
          <w:szCs w:val="32"/>
        </w:rPr>
        <w:t>本规范规范对象为夹江县互联网租赁自行车企业（以下简称运营企业）。本规范是运营企业运营管理和运营服务的行为准则。</w:t>
      </w:r>
    </w:p>
    <w:p w14:paraId="3851AEF6">
      <w:pPr>
        <w:pStyle w:val="2"/>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eastAsia="黑体"/>
          <w:color w:val="181717" w:themeColor="background2" w:themeShade="1A"/>
          <w:sz w:val="32"/>
          <w:szCs w:val="32"/>
          <w:shd w:val="clear" w:color="auto" w:fill="FFFFFF"/>
        </w:rPr>
        <w:t xml:space="preserve">第三条  </w:t>
      </w:r>
      <w:r>
        <w:rPr>
          <w:rFonts w:hint="eastAsia" w:ascii="仿宋_GB2312" w:hAnsi="仿宋_GB2312" w:eastAsia="仿宋_GB2312" w:cs="仿宋_GB2312"/>
          <w:color w:val="181717" w:themeColor="background2" w:themeShade="1A"/>
          <w:kern w:val="2"/>
          <w:sz w:val="32"/>
          <w:szCs w:val="32"/>
        </w:rPr>
        <w:t>本规范是对夹江县运营企业进行服务质量信誉考核的重要依据。</w:t>
      </w:r>
    </w:p>
    <w:p w14:paraId="6AD3D9FD">
      <w:pPr>
        <w:pStyle w:val="2"/>
        <w:spacing w:before="0" w:beforeAutospacing="0" w:after="0" w:afterAutospacing="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eastAsia="黑体"/>
          <w:color w:val="181717" w:themeColor="background2" w:themeShade="1A"/>
          <w:sz w:val="32"/>
          <w:szCs w:val="32"/>
          <w:shd w:val="clear" w:color="auto" w:fill="FFFFFF"/>
        </w:rPr>
        <w:t xml:space="preserve">第四条 </w:t>
      </w:r>
      <w:r>
        <w:rPr>
          <w:rFonts w:hint="eastAsia" w:ascii="仿宋_GB2312" w:hAnsi="仿宋_GB2312" w:eastAsia="仿宋_GB2312" w:cs="仿宋_GB2312"/>
          <w:color w:val="181717" w:themeColor="background2" w:themeShade="1A"/>
          <w:kern w:val="2"/>
          <w:sz w:val="32"/>
          <w:szCs w:val="32"/>
        </w:rPr>
        <w:t xml:space="preserve"> 夹江县互联网租赁自行车运价实行市场调节价，必要时实行政府指导价。</w:t>
      </w:r>
    </w:p>
    <w:p w14:paraId="0139FBE9">
      <w:pPr>
        <w:widowControl/>
        <w:spacing w:line="600" w:lineRule="exact"/>
        <w:ind w:firstLine="640" w:firstLineChars="200"/>
        <w:outlineLvl w:val="3"/>
        <w:rPr>
          <w:rFonts w:ascii="仿宋_GB2312" w:hAnsi="仿宋_GB2312" w:eastAsia="仿宋_GB2312" w:cs="仿宋_GB2312"/>
          <w:color w:val="181717" w:themeColor="background2" w:themeShade="1A"/>
          <w:sz w:val="32"/>
          <w:szCs w:val="32"/>
        </w:rPr>
      </w:pPr>
      <w:r>
        <w:rPr>
          <w:rFonts w:hint="eastAsia" w:eastAsia="黑体"/>
          <w:color w:val="181717" w:themeColor="background2" w:themeShade="1A"/>
          <w:kern w:val="0"/>
          <w:sz w:val="32"/>
          <w:szCs w:val="32"/>
          <w:shd w:val="clear" w:color="auto" w:fill="FFFFFF"/>
        </w:rPr>
        <w:t xml:space="preserve">第五条 </w:t>
      </w:r>
      <w:r>
        <w:rPr>
          <w:rFonts w:hint="eastAsia" w:ascii="仿宋_GB2312" w:hAnsi="仿宋_GB2312" w:eastAsia="仿宋_GB2312" w:cs="仿宋_GB2312"/>
          <w:color w:val="181717" w:themeColor="background2" w:themeShade="1A"/>
          <w:sz w:val="32"/>
          <w:szCs w:val="32"/>
        </w:rPr>
        <w:t xml:space="preserve"> 运营企业须符合《夹江县交通运输局 夹江县公安局 夹江县综合行政执法局关于夹江县促进互联网租赁自行车平稳健康发展的实施意见》经营条件相关要求。在投入运营前需向县交通</w:t>
      </w:r>
      <w:r>
        <w:rPr>
          <w:rFonts w:hint="eastAsia" w:ascii="仿宋_GB2312" w:hAnsi="仿宋_GB2312" w:eastAsia="仿宋_GB2312" w:cs="仿宋_GB2312"/>
          <w:b/>
          <w:color w:val="181717" w:themeColor="background2" w:themeShade="1A"/>
          <w:sz w:val="32"/>
          <w:szCs w:val="32"/>
        </w:rPr>
        <w:t>运输局报备，并提供下列资料：</w:t>
      </w:r>
    </w:p>
    <w:p w14:paraId="57B2A91A">
      <w:pPr>
        <w:widowControl/>
        <w:spacing w:line="600" w:lineRule="exact"/>
        <w:ind w:firstLine="640" w:firstLineChars="200"/>
        <w:outlineLvl w:val="3"/>
        <w:rPr>
          <w:rFonts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rPr>
        <w:t>（一）企业法人营业执照原件及复印件，如在夹江县设立独立法人或分支机构的，还应提交在夹江县注册登记的分支机构的营业执照原件及复印件；</w:t>
      </w:r>
    </w:p>
    <w:p w14:paraId="4C653212">
      <w:pPr>
        <w:widowControl/>
        <w:spacing w:line="600" w:lineRule="exact"/>
        <w:ind w:firstLine="640" w:firstLineChars="200"/>
        <w:outlineLvl w:val="3"/>
        <w:rPr>
          <w:rFonts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rPr>
        <w:t>（二）</w:t>
      </w:r>
      <w:r>
        <w:rPr>
          <w:rFonts w:hint="eastAsia" w:ascii="仿宋_GB2312" w:hAnsi="Times New Roman" w:eastAsia="仿宋_GB2312"/>
          <w:color w:val="181717" w:themeColor="background2" w:themeShade="1A"/>
          <w:kern w:val="0"/>
          <w:sz w:val="32"/>
          <w:szCs w:val="32"/>
          <w:shd w:val="clear" w:color="auto" w:fill="FFFFFF"/>
        </w:rPr>
        <w:t>互联网租赁电动自行车品牌商授权经营证明文件；</w:t>
      </w:r>
    </w:p>
    <w:p w14:paraId="2FDF1636">
      <w:pPr>
        <w:widowControl/>
        <w:spacing w:line="600" w:lineRule="exact"/>
        <w:ind w:firstLine="640" w:firstLineChars="200"/>
        <w:outlineLvl w:val="3"/>
        <w:rPr>
          <w:rFonts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rPr>
        <w:t>（三）在夹江县主城区范围内具有固定办公场地的证明文件原件及复印件；</w:t>
      </w:r>
    </w:p>
    <w:p w14:paraId="4788300C">
      <w:pPr>
        <w:widowControl/>
        <w:spacing w:line="600" w:lineRule="exact"/>
        <w:ind w:firstLine="640" w:firstLineChars="200"/>
        <w:outlineLvl w:val="3"/>
        <w:rPr>
          <w:rFonts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rPr>
        <w:t>（四）符合规定的运营维护、管理人员相关证明材料；</w:t>
      </w:r>
    </w:p>
    <w:p w14:paraId="6C126FA1">
      <w:pPr>
        <w:widowControl/>
        <w:spacing w:line="600" w:lineRule="exact"/>
        <w:ind w:firstLine="640" w:firstLineChars="200"/>
        <w:outlineLvl w:val="3"/>
        <w:rPr>
          <w:rFonts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rPr>
        <w:t>（五）本规范第</w:t>
      </w:r>
      <w:r>
        <w:rPr>
          <w:rFonts w:hint="eastAsia" w:eastAsia="仿宋_GB2312" w:cs="仿宋_GB2312" w:asciiTheme="minorHAnsi" w:hAnsiTheme="minorHAnsi"/>
          <w:color w:val="181717" w:themeColor="background2" w:themeShade="1A"/>
          <w:sz w:val="32"/>
          <w:szCs w:val="32"/>
        </w:rPr>
        <w:t>六</w:t>
      </w:r>
      <w:r>
        <w:rPr>
          <w:rFonts w:hint="eastAsia" w:ascii="仿宋_GB2312" w:hAnsi="仿宋_GB2312" w:eastAsia="仿宋_GB2312" w:cs="仿宋_GB2312"/>
          <w:color w:val="181717" w:themeColor="background2" w:themeShade="1A"/>
          <w:sz w:val="32"/>
          <w:szCs w:val="32"/>
        </w:rPr>
        <w:t>条要求的管理制度；</w:t>
      </w:r>
    </w:p>
    <w:p w14:paraId="3A2CF489">
      <w:pPr>
        <w:widowControl/>
        <w:spacing w:line="600" w:lineRule="exact"/>
        <w:ind w:firstLine="640" w:firstLineChars="200"/>
        <w:outlineLvl w:val="3"/>
        <w:rPr>
          <w:rFonts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rPr>
        <w:t>（六）法律、法规、规章要求提供的其他材料。</w:t>
      </w:r>
    </w:p>
    <w:p w14:paraId="3C29B212">
      <w:pPr>
        <w:widowControl/>
        <w:spacing w:line="600" w:lineRule="exact"/>
        <w:ind w:firstLine="640" w:firstLineChars="200"/>
        <w:outlineLvl w:val="3"/>
        <w:rPr>
          <w:rFonts w:ascii="仿宋_GB2312" w:hAnsi="仿宋_GB2312" w:eastAsia="仿宋_GB2312" w:cs="仿宋_GB2312"/>
          <w:color w:val="181717" w:themeColor="background2" w:themeShade="1A"/>
          <w:sz w:val="32"/>
          <w:szCs w:val="32"/>
        </w:rPr>
      </w:pPr>
      <w:r>
        <w:rPr>
          <w:rFonts w:hint="eastAsia" w:eastAsia="黑体"/>
          <w:color w:val="181717" w:themeColor="background2" w:themeShade="1A"/>
          <w:kern w:val="0"/>
          <w:sz w:val="32"/>
          <w:szCs w:val="32"/>
          <w:shd w:val="clear" w:color="auto" w:fill="FFFFFF"/>
        </w:rPr>
        <w:t xml:space="preserve">第六条 </w:t>
      </w:r>
      <w:r>
        <w:rPr>
          <w:rFonts w:hint="eastAsia" w:ascii="仿宋_GB2312" w:hAnsi="仿宋_GB2312" w:eastAsia="仿宋_GB2312" w:cs="仿宋_GB2312"/>
          <w:color w:val="181717" w:themeColor="background2" w:themeShade="1A"/>
          <w:sz w:val="32"/>
          <w:szCs w:val="32"/>
        </w:rPr>
        <w:t>运营企业应制定下列基本运营管理制度：</w:t>
      </w:r>
    </w:p>
    <w:p w14:paraId="4D97F81C">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（一）安全措施与紧急情况处置制度；</w:t>
      </w:r>
    </w:p>
    <w:p w14:paraId="2386F770">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（二）管理和运维人员管理考评制度；</w:t>
      </w:r>
    </w:p>
    <w:p w14:paraId="302EA3DF">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（三）服务质量保障制度；</w:t>
      </w:r>
    </w:p>
    <w:p w14:paraId="4BA086A7">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（四）车辆运行维护制度；</w:t>
      </w:r>
    </w:p>
    <w:p w14:paraId="0F580D4A">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（五）车辆停放秩序管理制度；</w:t>
      </w:r>
    </w:p>
    <w:p w14:paraId="4535F677">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（六）日常工作及重大事件的影像存档制度；</w:t>
      </w:r>
    </w:p>
    <w:p w14:paraId="6CEC2D09">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（七）用户信用评价制度；</w:t>
      </w:r>
    </w:p>
    <w:p w14:paraId="429F34A8">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（八）内部财务管理制度；</w:t>
      </w:r>
    </w:p>
    <w:p w14:paraId="3D8E2D1C">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（九）网络及信息安全管理制度；</w:t>
      </w:r>
    </w:p>
    <w:p w14:paraId="309BAFE5">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（十）骑行保险理赔制度；</w:t>
      </w:r>
    </w:p>
    <w:p w14:paraId="26F665BB">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（十一）车辆报废回收管理制度；</w:t>
      </w:r>
    </w:p>
    <w:p w14:paraId="16614A11">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（十二）服务纠纷及投诉处理制度；</w:t>
      </w:r>
    </w:p>
    <w:p w14:paraId="522BFE0B">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（十三）重大活动及重要节假日保障制度；</w:t>
      </w:r>
    </w:p>
    <w:p w14:paraId="670975F5">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（十四）其他制度。</w:t>
      </w:r>
    </w:p>
    <w:p w14:paraId="1832B5E2">
      <w:pPr>
        <w:pStyle w:val="10"/>
        <w:numPr>
          <w:ilvl w:val="0"/>
          <w:numId w:val="0"/>
        </w:numPr>
        <w:spacing w:line="600" w:lineRule="exact"/>
        <w:ind w:firstLine="640" w:firstLineChars="200"/>
        <w:rPr>
          <w:rFonts w:ascii="仿宋_GB2312" w:hAnsi="仿宋_GB2312" w:eastAsia="仿宋_GB2312" w:cs="仿宋_GB2312"/>
          <w:color w:val="181717" w:themeColor="background2" w:themeShade="1A"/>
          <w:kern w:val="2"/>
          <w:sz w:val="32"/>
          <w:szCs w:val="32"/>
        </w:rPr>
      </w:pPr>
      <w:r>
        <w:rPr>
          <w:rFonts w:hint="eastAsia" w:ascii="Calibri" w:hAnsi="Calibri" w:eastAsia="黑体"/>
          <w:color w:val="181717" w:themeColor="background2" w:themeShade="1A"/>
          <w:sz w:val="32"/>
          <w:szCs w:val="32"/>
          <w:shd w:val="clear" w:color="auto" w:fill="FFFFFF"/>
        </w:rPr>
        <w:t xml:space="preserve">第七条  </w:t>
      </w:r>
      <w:r>
        <w:rPr>
          <w:rFonts w:hint="eastAsia" w:ascii="仿宋_GB2312" w:hAnsi="仿宋_GB2312" w:eastAsia="仿宋_GB2312" w:cs="仿宋_GB2312"/>
          <w:color w:val="181717" w:themeColor="background2" w:themeShade="1A"/>
          <w:kern w:val="2"/>
          <w:sz w:val="32"/>
          <w:szCs w:val="32"/>
        </w:rPr>
        <w:t>运营企业应配合县交通运输局、县公安局、县综合行政执法局、县委网信办等单位查阅或提供数据，并采取措施确保用户信息安全。</w:t>
      </w:r>
    </w:p>
    <w:p w14:paraId="1E403CC8">
      <w:pPr>
        <w:pStyle w:val="10"/>
        <w:numPr>
          <w:ilvl w:val="0"/>
          <w:numId w:val="0"/>
        </w:numPr>
        <w:spacing w:line="600" w:lineRule="exact"/>
        <w:ind w:firstLine="640" w:firstLineChars="200"/>
        <w:rPr>
          <w:rFonts w:ascii="仿宋_GB2312" w:hAnsi="仿宋_GB2312" w:eastAsia="仿宋_GB2312" w:cs="仿宋_GB2312"/>
          <w:color w:val="181717" w:themeColor="background2" w:themeShade="1A"/>
          <w:kern w:val="2"/>
          <w:sz w:val="32"/>
          <w:szCs w:val="32"/>
        </w:rPr>
      </w:pPr>
      <w:r>
        <w:rPr>
          <w:rFonts w:hint="eastAsia" w:ascii="Calibri" w:hAnsi="Calibri" w:eastAsia="黑体"/>
          <w:color w:val="181717" w:themeColor="background2" w:themeShade="1A"/>
          <w:sz w:val="32"/>
          <w:szCs w:val="32"/>
          <w:shd w:val="clear" w:color="auto" w:fill="FFFFFF"/>
        </w:rPr>
        <w:t xml:space="preserve">第八条  </w:t>
      </w:r>
      <w:r>
        <w:rPr>
          <w:rFonts w:hint="eastAsia" w:ascii="仿宋_GB2312" w:hAnsi="仿宋_GB2312" w:eastAsia="仿宋_GB2312" w:cs="仿宋_GB2312"/>
          <w:color w:val="181717" w:themeColor="background2" w:themeShade="1A"/>
          <w:kern w:val="2"/>
          <w:sz w:val="32"/>
          <w:szCs w:val="32"/>
        </w:rPr>
        <w:t>运营企业应依法有序运作，不得采用不正当竞争手段运营，不得妨碍市场正常竞争秩序，服从城市发展规划和政府监管引导。</w:t>
      </w:r>
    </w:p>
    <w:p w14:paraId="487FA4E2">
      <w:pPr>
        <w:pStyle w:val="10"/>
        <w:numPr>
          <w:ilvl w:val="0"/>
          <w:numId w:val="0"/>
        </w:numPr>
        <w:spacing w:line="600" w:lineRule="exact"/>
        <w:ind w:firstLine="640" w:firstLineChars="200"/>
        <w:rPr>
          <w:rFonts w:ascii="仿宋_GB2312" w:hAnsi="仿宋_GB2312" w:eastAsia="仿宋_GB2312" w:cs="仿宋_GB2312"/>
          <w:color w:val="181717" w:themeColor="background2" w:themeShade="1A"/>
          <w:kern w:val="2"/>
          <w:sz w:val="32"/>
          <w:szCs w:val="32"/>
        </w:rPr>
      </w:pPr>
      <w:r>
        <w:rPr>
          <w:rFonts w:hint="eastAsia" w:ascii="Calibri" w:hAnsi="Calibri" w:eastAsia="黑体"/>
          <w:color w:val="181717" w:themeColor="background2" w:themeShade="1A"/>
          <w:sz w:val="32"/>
          <w:szCs w:val="32"/>
          <w:shd w:val="clear" w:color="auto" w:fill="FFFFFF"/>
        </w:rPr>
        <w:t xml:space="preserve">第九条 </w:t>
      </w:r>
      <w:r>
        <w:rPr>
          <w:rFonts w:hint="eastAsia" w:ascii="仿宋_GB2312" w:hAnsi="仿宋_GB2312" w:eastAsia="仿宋_GB2312" w:cs="仿宋_GB2312"/>
          <w:color w:val="181717" w:themeColor="background2" w:themeShade="1A"/>
          <w:kern w:val="2"/>
          <w:sz w:val="32"/>
          <w:szCs w:val="32"/>
        </w:rPr>
        <w:t xml:space="preserve"> 运营企业应严格按照批准的投放配额投放互联网租赁自行车，不得擅自增投或减少车辆。</w:t>
      </w:r>
    </w:p>
    <w:p w14:paraId="39840ABA">
      <w:pPr>
        <w:pStyle w:val="10"/>
        <w:numPr>
          <w:ilvl w:val="0"/>
          <w:numId w:val="0"/>
        </w:numPr>
        <w:spacing w:line="600" w:lineRule="exact"/>
        <w:ind w:firstLine="640" w:firstLineChars="200"/>
        <w:rPr>
          <w:rFonts w:ascii="仿宋_GB2312" w:hAnsi="仿宋_GB2312" w:eastAsia="仿宋_GB2312" w:cs="仿宋_GB2312"/>
          <w:color w:val="181717" w:themeColor="background2" w:themeShade="1A"/>
          <w:kern w:val="2"/>
          <w:sz w:val="32"/>
          <w:szCs w:val="32"/>
        </w:rPr>
      </w:pPr>
      <w:r>
        <w:rPr>
          <w:rFonts w:hint="eastAsia" w:ascii="Calibri" w:hAnsi="Calibri" w:eastAsia="黑体"/>
          <w:color w:val="181717" w:themeColor="background2" w:themeShade="1A"/>
          <w:sz w:val="32"/>
          <w:szCs w:val="32"/>
          <w:shd w:val="clear" w:color="auto" w:fill="FFFFFF"/>
        </w:rPr>
        <w:t xml:space="preserve">第十条 </w:t>
      </w:r>
      <w:r>
        <w:rPr>
          <w:rFonts w:hint="eastAsia" w:ascii="仿宋_GB2312" w:hAnsi="仿宋_GB2312" w:eastAsia="仿宋_GB2312" w:cs="仿宋_GB2312"/>
          <w:color w:val="181717" w:themeColor="background2" w:themeShade="1A"/>
          <w:kern w:val="2"/>
          <w:sz w:val="32"/>
          <w:szCs w:val="32"/>
        </w:rPr>
        <w:t xml:space="preserve"> 运营企业退出本地市场运营的，应提前30天向县交通运输局书面告知，并向社会发布公告，妥善处理退出运营相关事宜，并在10天内回收其投放车辆。</w:t>
      </w:r>
    </w:p>
    <w:p w14:paraId="1A02751E">
      <w:pPr>
        <w:pStyle w:val="9"/>
        <w:tabs>
          <w:tab w:val="center" w:pos="4201"/>
          <w:tab w:val="right" w:leader="dot" w:pos="9298"/>
        </w:tabs>
        <w:spacing w:line="600" w:lineRule="exact"/>
        <w:ind w:firstLine="640"/>
        <w:rPr>
          <w:rFonts w:ascii="仿宋_GB2312" w:hAnsi="仿宋_GB2312" w:eastAsia="仿宋_GB2312" w:cs="仿宋_GB2312"/>
          <w:color w:val="181717" w:themeColor="background2" w:themeShade="1A"/>
          <w:kern w:val="2"/>
          <w:sz w:val="32"/>
          <w:szCs w:val="32"/>
        </w:rPr>
      </w:pPr>
      <w:r>
        <w:rPr>
          <w:rFonts w:hint="eastAsia" w:ascii="Calibri" w:hAnsi="Calibri" w:eastAsia="黑体"/>
          <w:color w:val="181717" w:themeColor="background2" w:themeShade="1A"/>
          <w:sz w:val="32"/>
          <w:szCs w:val="32"/>
          <w:shd w:val="clear" w:color="auto" w:fill="FFFFFF"/>
        </w:rPr>
        <w:t xml:space="preserve">第十一条 </w:t>
      </w:r>
      <w:r>
        <w:rPr>
          <w:rFonts w:hint="eastAsia" w:ascii="仿宋_GB2312" w:hAnsi="仿宋_GB2312" w:eastAsia="仿宋_GB2312" w:cs="仿宋_GB2312"/>
          <w:color w:val="181717" w:themeColor="background2" w:themeShade="1A"/>
          <w:kern w:val="2"/>
          <w:sz w:val="32"/>
          <w:szCs w:val="32"/>
        </w:rPr>
        <w:t xml:space="preserve"> 运营企业应配置运营、车技、安全等管理人员及信息系统维护、服务热线及服务质量投诉受理、车辆运维等专职工作人员。</w:t>
      </w:r>
      <w:bookmarkStart w:id="0" w:name="bookmark94"/>
      <w:bookmarkEnd w:id="0"/>
    </w:p>
    <w:p w14:paraId="7EA609C5">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Calibri" w:hAnsi="Calibri" w:eastAsia="黑体"/>
          <w:color w:val="181717" w:themeColor="background2" w:themeShade="1A"/>
          <w:sz w:val="32"/>
          <w:szCs w:val="32"/>
          <w:shd w:val="clear" w:color="auto" w:fill="FFFFFF"/>
        </w:rPr>
        <w:t xml:space="preserve">第十二条 </w:t>
      </w:r>
      <w:r>
        <w:rPr>
          <w:rFonts w:hint="eastAsia" w:ascii="仿宋_GB2312" w:hAnsi="仿宋_GB2312" w:eastAsia="仿宋_GB2312" w:cs="仿宋_GB2312"/>
          <w:color w:val="181717" w:themeColor="background2" w:themeShade="1A"/>
          <w:kern w:val="2"/>
          <w:sz w:val="32"/>
          <w:szCs w:val="32"/>
        </w:rPr>
        <w:t xml:space="preserve"> 企业投放的互联网租赁自行车车辆应符合以下要求：</w:t>
      </w:r>
    </w:p>
    <w:p w14:paraId="5AAE21B4">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（一）符合《自行车安全要求》（GB3565—2022）、《自行车通用技术条件》（GB/T19994）和《电动自行车安全技术规范》（GB17761—2024）等要求，不得加装影响安全骑行的附属设备；</w:t>
      </w:r>
    </w:p>
    <w:p w14:paraId="0A6B5E43">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（二）有统一品牌标志，每辆车有唯一性的车辆出厂编号、二维码；</w:t>
      </w:r>
    </w:p>
    <w:p w14:paraId="40112285">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（三）单车和电单车均应具备实时定位和精确查找功能。</w:t>
      </w:r>
    </w:p>
    <w:p w14:paraId="0930A6B7">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（四）配备</w:t>
      </w:r>
      <w:r>
        <w:rPr>
          <w:rFonts w:hint="eastAsia" w:eastAsia="仿宋_GB2312" w:cs="仿宋_GB2312" w:asciiTheme="minorHAnsi" w:hAnsiTheme="minorHAnsi"/>
          <w:color w:val="181717" w:themeColor="background2" w:themeShade="1A"/>
          <w:kern w:val="2"/>
          <w:sz w:val="32"/>
          <w:szCs w:val="32"/>
        </w:rPr>
        <w:t>的安全</w:t>
      </w:r>
      <w:r>
        <w:rPr>
          <w:rFonts w:hint="eastAsia" w:ascii="仿宋_GB2312" w:hAnsi="仿宋_GB2312" w:eastAsia="仿宋_GB2312" w:cs="仿宋_GB2312"/>
          <w:color w:val="181717" w:themeColor="background2" w:themeShade="1A"/>
          <w:kern w:val="2"/>
          <w:sz w:val="32"/>
          <w:szCs w:val="32"/>
        </w:rPr>
        <w:t>头盔应符合《摩托车、电动自行车乘员头盔》（GB 811—2022）相关标准。</w:t>
      </w:r>
    </w:p>
    <w:p w14:paraId="64BCB482">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（五）法律法规规定的其它要求。</w:t>
      </w:r>
    </w:p>
    <w:p w14:paraId="7A429CCE">
      <w:pPr>
        <w:pStyle w:val="8"/>
        <w:numPr>
          <w:ilvl w:val="0"/>
          <w:numId w:val="0"/>
        </w:numPr>
        <w:spacing w:beforeLines="0" w:afterLines="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Calibri" w:hAnsi="Calibri"/>
          <w:color w:val="181717" w:themeColor="background2" w:themeShade="1A"/>
          <w:sz w:val="32"/>
          <w:szCs w:val="32"/>
          <w:shd w:val="clear" w:color="auto" w:fill="FFFFFF"/>
        </w:rPr>
        <w:t xml:space="preserve">第十三条 </w:t>
      </w:r>
      <w:r>
        <w:rPr>
          <w:rFonts w:hint="eastAsia" w:ascii="仿宋_GB2312" w:hAnsi="仿宋_GB2312" w:eastAsia="仿宋_GB2312" w:cs="仿宋_GB2312"/>
          <w:color w:val="181717" w:themeColor="background2" w:themeShade="1A"/>
          <w:kern w:val="2"/>
          <w:sz w:val="32"/>
          <w:szCs w:val="32"/>
        </w:rPr>
        <w:t xml:space="preserve"> 运营企业应配备与投放规模相匹配的维修保养场所（包括充电区、入库坏车区、维修区、报废区、质检区、洗车区、待出库区、配件堆放区、运输车辆通道等区域或功能）以及车辆周转停放库房（场地），确保车辆能及时进行维修保养。</w:t>
      </w:r>
    </w:p>
    <w:p w14:paraId="554DF364">
      <w:pPr>
        <w:widowControl/>
        <w:spacing w:line="600" w:lineRule="exact"/>
        <w:ind w:firstLine="640" w:firstLineChars="200"/>
        <w:outlineLvl w:val="3"/>
        <w:rPr>
          <w:rFonts w:ascii="仿宋_GB2312" w:hAnsi="仿宋_GB2312" w:eastAsia="仿宋_GB2312" w:cs="仿宋_GB2312"/>
          <w:color w:val="181717" w:themeColor="background2" w:themeShade="1A"/>
          <w:sz w:val="32"/>
          <w:szCs w:val="32"/>
        </w:rPr>
      </w:pPr>
      <w:r>
        <w:rPr>
          <w:rFonts w:hint="eastAsia" w:eastAsia="黑体"/>
          <w:color w:val="181717" w:themeColor="background2" w:themeShade="1A"/>
          <w:kern w:val="0"/>
          <w:sz w:val="32"/>
          <w:szCs w:val="32"/>
          <w:shd w:val="clear" w:color="auto" w:fill="FFFFFF"/>
        </w:rPr>
        <w:t xml:space="preserve">第十四条 </w:t>
      </w:r>
      <w:r>
        <w:rPr>
          <w:rFonts w:hint="eastAsia" w:ascii="仿宋_GB2312" w:hAnsi="仿宋_GB2312" w:eastAsia="仿宋_GB2312" w:cs="仿宋_GB2312"/>
          <w:color w:val="181717" w:themeColor="background2" w:themeShade="1A"/>
          <w:sz w:val="32"/>
          <w:szCs w:val="32"/>
        </w:rPr>
        <w:t xml:space="preserve"> 维保场所的建设应符合消防、安全生产、环保等相关法律法规要求。</w:t>
      </w:r>
    </w:p>
    <w:p w14:paraId="46F69770">
      <w:pPr>
        <w:pStyle w:val="8"/>
        <w:numPr>
          <w:ilvl w:val="0"/>
          <w:numId w:val="0"/>
        </w:numPr>
        <w:spacing w:beforeLines="0" w:afterLines="0" w:line="600" w:lineRule="exact"/>
        <w:ind w:firstLine="640" w:firstLineChars="200"/>
        <w:jc w:val="both"/>
        <w:rPr>
          <w:rFonts w:ascii="仿宋_GB2312" w:hAnsi="仿宋_GB2312" w:eastAsia="仿宋_GB2312" w:cs="仿宋_GB2312"/>
          <w:color w:val="181717" w:themeColor="background2" w:themeShade="1A"/>
          <w:sz w:val="32"/>
          <w:szCs w:val="32"/>
        </w:rPr>
      </w:pPr>
      <w:r>
        <w:rPr>
          <w:rFonts w:hint="eastAsia" w:ascii="Calibri" w:hAnsi="Calibri"/>
          <w:color w:val="181717" w:themeColor="background2" w:themeShade="1A"/>
          <w:sz w:val="32"/>
          <w:szCs w:val="32"/>
          <w:shd w:val="clear" w:color="auto" w:fill="FFFFFF"/>
        </w:rPr>
        <w:t xml:space="preserve">第十五条  </w:t>
      </w:r>
      <w:r>
        <w:rPr>
          <w:rFonts w:hint="eastAsia" w:ascii="仿宋_GB2312" w:hAnsi="仿宋_GB2312" w:eastAsia="仿宋_GB2312" w:cs="仿宋_GB2312"/>
          <w:color w:val="181717" w:themeColor="background2" w:themeShade="1A"/>
          <w:kern w:val="2"/>
          <w:sz w:val="32"/>
          <w:szCs w:val="32"/>
        </w:rPr>
        <w:t>运营平台应</w:t>
      </w:r>
      <w:r>
        <w:rPr>
          <w:rFonts w:hint="eastAsia" w:ascii="仿宋_GB2312" w:hAnsi="仿宋_GB2312" w:eastAsia="仿宋_GB2312" w:cs="仿宋_GB2312"/>
          <w:color w:val="181717" w:themeColor="background2" w:themeShade="1A"/>
          <w:sz w:val="32"/>
          <w:szCs w:val="32"/>
        </w:rPr>
        <w:t>具备识别用户注册身份证号码和姓名功能。</w:t>
      </w:r>
      <w:r>
        <w:rPr>
          <w:rFonts w:hint="eastAsia" w:ascii="仿宋_GB2312" w:hAnsi="仿宋_GB2312" w:eastAsia="仿宋_GB2312" w:cs="仿宋_GB2312"/>
          <w:color w:val="181717" w:themeColor="background2" w:themeShade="1A"/>
          <w:kern w:val="2"/>
          <w:sz w:val="32"/>
          <w:szCs w:val="32"/>
        </w:rPr>
        <w:t>禁止向未满12周岁的未成年人提供互联网租赁人力自行车注册和骑行服务，禁止向未满16周岁的未成年人提供互联网租赁电动自行车注册和骑行服务。</w:t>
      </w:r>
    </w:p>
    <w:p w14:paraId="4FD83BD0">
      <w:pPr>
        <w:pStyle w:val="9"/>
        <w:tabs>
          <w:tab w:val="center" w:pos="4201"/>
          <w:tab w:val="right" w:leader="dot" w:pos="9298"/>
        </w:tabs>
        <w:spacing w:line="600" w:lineRule="exact"/>
        <w:ind w:firstLine="640"/>
        <w:rPr>
          <w:rFonts w:ascii="仿宋_GB2312" w:hAnsi="仿宋_GB2312" w:eastAsia="仿宋_GB2312" w:cs="仿宋_GB2312"/>
          <w:color w:val="181717" w:themeColor="background2" w:themeShade="1A"/>
          <w:kern w:val="2"/>
          <w:sz w:val="32"/>
          <w:szCs w:val="32"/>
          <w:lang w:val="zh-CN"/>
        </w:rPr>
      </w:pPr>
      <w:bookmarkStart w:id="1" w:name="bookmark100"/>
      <w:r>
        <w:rPr>
          <w:rFonts w:hint="eastAsia" w:ascii="Calibri" w:hAnsi="Calibri" w:eastAsia="黑体"/>
          <w:color w:val="181717" w:themeColor="background2" w:themeShade="1A"/>
          <w:sz w:val="32"/>
          <w:szCs w:val="32"/>
          <w:shd w:val="clear" w:color="auto" w:fill="FFFFFF"/>
        </w:rPr>
        <w:t xml:space="preserve">第十六条  </w:t>
      </w:r>
      <w:r>
        <w:rPr>
          <w:rFonts w:hint="eastAsia" w:ascii="仿宋_GB2312" w:hAnsi="仿宋_GB2312" w:eastAsia="仿宋_GB2312" w:cs="仿宋_GB2312"/>
          <w:color w:val="181717" w:themeColor="background2" w:themeShade="1A"/>
          <w:kern w:val="2"/>
          <w:sz w:val="32"/>
          <w:szCs w:val="32"/>
        </w:rPr>
        <w:t>运营企业应公示计费方式和计费标准，并在用户结束订单后明示订单明细，具体包括计费标准、骑行时长、订单总额、实付金额等信息。</w:t>
      </w:r>
    </w:p>
    <w:p w14:paraId="64F47819">
      <w:pPr>
        <w:pStyle w:val="10"/>
        <w:numPr>
          <w:ilvl w:val="0"/>
          <w:numId w:val="0"/>
        </w:numPr>
        <w:spacing w:line="600" w:lineRule="exact"/>
        <w:ind w:firstLine="640" w:firstLineChars="200"/>
        <w:rPr>
          <w:rFonts w:ascii="仿宋_GB2312" w:hAnsi="仿宋_GB2312" w:eastAsia="仿宋_GB2312" w:cs="仿宋_GB2312"/>
          <w:color w:val="181717" w:themeColor="background2" w:themeShade="1A"/>
          <w:kern w:val="2"/>
          <w:sz w:val="32"/>
          <w:szCs w:val="32"/>
        </w:rPr>
      </w:pPr>
      <w:r>
        <w:rPr>
          <w:rFonts w:hint="eastAsia" w:ascii="Calibri" w:hAnsi="Calibri" w:eastAsia="黑体"/>
          <w:color w:val="181717" w:themeColor="background2" w:themeShade="1A"/>
          <w:sz w:val="32"/>
          <w:szCs w:val="32"/>
          <w:shd w:val="clear" w:color="auto" w:fill="FFFFFF"/>
        </w:rPr>
        <w:t xml:space="preserve">第十七条  </w:t>
      </w:r>
      <w:r>
        <w:rPr>
          <w:rFonts w:hint="eastAsia" w:ascii="仿宋_GB2312" w:hAnsi="仿宋_GB2312" w:eastAsia="仿宋_GB2312" w:cs="仿宋_GB2312"/>
          <w:color w:val="181717" w:themeColor="background2" w:themeShade="1A"/>
          <w:kern w:val="2"/>
          <w:sz w:val="32"/>
          <w:szCs w:val="32"/>
        </w:rPr>
        <w:t>运营企业应采用“电子围栏”等技术，实施定点还车，入栏结算，明确告知用户适宜停车区和禁停区，规范用户停车行为。</w:t>
      </w:r>
    </w:p>
    <w:p w14:paraId="6B719CD0">
      <w:pPr>
        <w:pStyle w:val="7"/>
        <w:spacing w:beforeLines="0" w:afterLines="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Calibri" w:hAnsi="Calibri"/>
          <w:color w:val="181717" w:themeColor="background2" w:themeShade="1A"/>
          <w:sz w:val="32"/>
          <w:szCs w:val="32"/>
          <w:shd w:val="clear" w:color="auto" w:fill="FFFFFF"/>
        </w:rPr>
        <w:t xml:space="preserve">第十八条 </w:t>
      </w:r>
      <w:r>
        <w:rPr>
          <w:rFonts w:hint="eastAsia" w:ascii="仿宋_GB2312" w:hAnsi="仿宋_GB2312" w:eastAsia="仿宋_GB2312" w:cs="仿宋_GB2312"/>
          <w:color w:val="181717" w:themeColor="background2" w:themeShade="1A"/>
          <w:sz w:val="32"/>
          <w:szCs w:val="32"/>
        </w:rPr>
        <w:t xml:space="preserve"> </w:t>
      </w:r>
      <w:r>
        <w:rPr>
          <w:rFonts w:hint="eastAsia" w:ascii="仿宋_GB2312" w:hAnsi="仿宋_GB2312" w:eastAsia="仿宋_GB2312" w:cs="仿宋_GB2312"/>
          <w:color w:val="181717" w:themeColor="background2" w:themeShade="1A"/>
          <w:kern w:val="2"/>
          <w:sz w:val="32"/>
          <w:szCs w:val="32"/>
        </w:rPr>
        <w:t>运营企业应通过平台推送公益广告、组织志愿者文明劝导等多种方式引导用户文明用车，禁止多人骑</w:t>
      </w:r>
      <w:bookmarkStart w:id="2" w:name="_GoBack"/>
      <w:bookmarkEnd w:id="2"/>
      <w:r>
        <w:rPr>
          <w:rFonts w:hint="eastAsia" w:ascii="仿宋_GB2312" w:hAnsi="仿宋_GB2312" w:eastAsia="仿宋_GB2312" w:cs="仿宋_GB2312"/>
          <w:color w:val="181717" w:themeColor="background2" w:themeShade="1A"/>
          <w:kern w:val="2"/>
          <w:sz w:val="32"/>
          <w:szCs w:val="32"/>
        </w:rPr>
        <w:t>行，提醒未满年龄的儿童、未成年人禁止骑行。</w:t>
      </w:r>
    </w:p>
    <w:p w14:paraId="49D3894A">
      <w:pPr>
        <w:pStyle w:val="7"/>
        <w:spacing w:beforeLines="0" w:afterLines="0" w:line="600" w:lineRule="exact"/>
        <w:ind w:firstLine="640" w:firstLineChars="200"/>
        <w:jc w:val="both"/>
        <w:rPr>
          <w:rFonts w:ascii="仿宋_GB2312" w:hAnsi="仿宋_GB2312" w:eastAsia="仿宋_GB2312" w:cs="仿宋_GB2312"/>
          <w:color w:val="181717" w:themeColor="background2" w:themeShade="1A"/>
          <w:sz w:val="32"/>
          <w:szCs w:val="32"/>
        </w:rPr>
      </w:pPr>
      <w:r>
        <w:rPr>
          <w:rFonts w:hint="eastAsia" w:ascii="Calibri" w:hAnsi="Calibri"/>
          <w:color w:val="181717" w:themeColor="background2" w:themeShade="1A"/>
          <w:sz w:val="32"/>
          <w:szCs w:val="32"/>
          <w:shd w:val="clear" w:color="auto" w:fill="FFFFFF"/>
        </w:rPr>
        <w:t>第十九条</w:t>
      </w:r>
      <w:r>
        <w:rPr>
          <w:rFonts w:ascii="Calibri" w:hAnsi="Calibri"/>
          <w:color w:val="181717" w:themeColor="background2" w:themeShade="1A"/>
          <w:sz w:val="32"/>
          <w:szCs w:val="32"/>
          <w:shd w:val="clear" w:color="auto" w:fill="FFFFFF"/>
        </w:rPr>
        <w:t xml:space="preserve">  </w:t>
      </w:r>
      <w:r>
        <w:rPr>
          <w:rFonts w:hint="eastAsia" w:ascii="仿宋_GB2312" w:hAnsi="仿宋_GB2312" w:eastAsia="仿宋_GB2312" w:cs="仿宋_GB2312"/>
          <w:color w:val="181717" w:themeColor="background2" w:themeShade="1A"/>
          <w:sz w:val="32"/>
          <w:szCs w:val="32"/>
        </w:rPr>
        <w:t>互联网租赁自行车停放应符合城市管理相关要求。</w:t>
      </w:r>
    </w:p>
    <w:bookmarkEnd w:id="1"/>
    <w:p w14:paraId="3F87F9E2">
      <w:pPr>
        <w:pStyle w:val="11"/>
        <w:numPr>
          <w:ilvl w:val="0"/>
          <w:numId w:val="0"/>
        </w:numPr>
        <w:spacing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Calibri" w:hAnsi="Calibri" w:eastAsia="黑体"/>
          <w:color w:val="181717" w:themeColor="background2" w:themeShade="1A"/>
          <w:sz w:val="32"/>
          <w:szCs w:val="32"/>
          <w:shd w:val="clear" w:color="auto" w:fill="FFFFFF"/>
        </w:rPr>
        <w:t xml:space="preserve">第二十条  </w:t>
      </w:r>
      <w:r>
        <w:rPr>
          <w:rFonts w:hint="eastAsia" w:ascii="仿宋_GB2312" w:hAnsi="仿宋_GB2312" w:eastAsia="仿宋_GB2312" w:cs="仿宋_GB2312"/>
          <w:color w:val="181717" w:themeColor="background2" w:themeShade="1A"/>
          <w:kern w:val="2"/>
          <w:sz w:val="32"/>
          <w:szCs w:val="32"/>
        </w:rPr>
        <w:t>运营企业应急处理应符合下列要求：</w:t>
      </w:r>
    </w:p>
    <w:p w14:paraId="7CB5A80A">
      <w:pPr>
        <w:pStyle w:val="6"/>
        <w:spacing w:before="0" w:after="0" w:line="600" w:lineRule="exact"/>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 xml:space="preserve">    （一）应制定危及安全情况时的应急保障预案，做好相关人员、设备、资源和技术等组织准备，并定期进行培训和演练；</w:t>
      </w:r>
    </w:p>
    <w:p w14:paraId="0D73262A">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仿宋_GB2312" w:hAnsi="仿宋_GB2312" w:eastAsia="仿宋_GB2312" w:cs="仿宋_GB2312"/>
          <w:color w:val="181717" w:themeColor="background2" w:themeShade="1A"/>
          <w:kern w:val="2"/>
          <w:sz w:val="32"/>
          <w:szCs w:val="32"/>
        </w:rPr>
        <w:t>（二）运营企业在发现或接到车辆及设施设备遭蓄意破坏以及发生交通事故等突发事件的相关信息后，应于30分钟内赶到现场。</w:t>
      </w:r>
    </w:p>
    <w:p w14:paraId="166F41EE">
      <w:pPr>
        <w:pStyle w:val="6"/>
        <w:spacing w:before="0" w:after="0" w:line="600" w:lineRule="exact"/>
        <w:ind w:firstLine="640" w:firstLineChars="200"/>
        <w:jc w:val="both"/>
        <w:rPr>
          <w:rFonts w:ascii="仿宋_GB2312" w:hAnsi="仿宋_GB2312" w:eastAsia="仿宋_GB2312" w:cs="仿宋_GB2312"/>
          <w:color w:val="181717" w:themeColor="background2" w:themeShade="1A"/>
          <w:kern w:val="2"/>
          <w:sz w:val="32"/>
          <w:szCs w:val="32"/>
        </w:rPr>
      </w:pPr>
      <w:r>
        <w:rPr>
          <w:rFonts w:hint="eastAsia" w:ascii="Calibri" w:hAnsi="Calibri" w:eastAsia="黑体"/>
          <w:color w:val="181717" w:themeColor="background2" w:themeShade="1A"/>
          <w:sz w:val="32"/>
          <w:szCs w:val="32"/>
          <w:shd w:val="clear" w:color="auto" w:fill="FFFFFF"/>
        </w:rPr>
        <w:t xml:space="preserve">第二十一条  </w:t>
      </w:r>
      <w:r>
        <w:rPr>
          <w:rFonts w:hint="eastAsia" w:ascii="仿宋_GB2312" w:hAnsi="仿宋_GB2312" w:eastAsia="仿宋_GB2312" w:cs="仿宋_GB2312"/>
          <w:color w:val="181717" w:themeColor="background2" w:themeShade="1A"/>
          <w:kern w:val="2"/>
          <w:sz w:val="32"/>
          <w:szCs w:val="32"/>
        </w:rPr>
        <w:t>运营企业应为用户购买人身意外伤害保险和第三者责任保险，并通过用户端向用户公布保险内容和理赔事项，明确事故赔偿机制、流程、标准等，并协助用户通过保险公司进行理赔。</w:t>
      </w:r>
    </w:p>
    <w:p w14:paraId="43CFEE8A">
      <w:pPr>
        <w:spacing w:line="600" w:lineRule="exact"/>
        <w:ind w:firstLine="640" w:firstLineChars="200"/>
        <w:rPr>
          <w:rFonts w:ascii="仿宋_GB2312" w:hAnsi="仿宋_GB2312" w:eastAsia="仿宋_GB2312" w:cs="仿宋_GB2312"/>
          <w:color w:val="181717" w:themeColor="background2" w:themeShade="1A"/>
          <w:sz w:val="32"/>
          <w:szCs w:val="32"/>
        </w:rPr>
      </w:pPr>
      <w:r>
        <w:rPr>
          <w:rFonts w:hint="eastAsia" w:eastAsia="黑体"/>
          <w:color w:val="181717" w:themeColor="background2" w:themeShade="1A"/>
          <w:kern w:val="0"/>
          <w:sz w:val="32"/>
          <w:szCs w:val="32"/>
          <w:shd w:val="clear" w:color="auto" w:fill="FFFFFF"/>
        </w:rPr>
        <w:t xml:space="preserve">第二十二条 </w:t>
      </w:r>
      <w:r>
        <w:rPr>
          <w:rFonts w:hint="eastAsia" w:ascii="仿宋_GB2312" w:hAnsi="仿宋_GB2312" w:eastAsia="仿宋_GB2312" w:cs="仿宋_GB2312"/>
          <w:color w:val="181717" w:themeColor="background2" w:themeShade="1A"/>
          <w:sz w:val="32"/>
          <w:szCs w:val="32"/>
        </w:rPr>
        <w:t xml:space="preserve"> 本规范由县交通运输局、县公安局、县综合行政执法局负责制定和解释。</w:t>
      </w:r>
    </w:p>
    <w:p w14:paraId="6E656E72">
      <w:pPr>
        <w:spacing w:line="600" w:lineRule="exact"/>
        <w:ind w:firstLine="640" w:firstLineChars="200"/>
        <w:rPr>
          <w:rFonts w:ascii="仿宋_GB2312" w:hAnsi="仿宋_GB2312" w:eastAsia="仿宋_GB2312" w:cs="仿宋_GB2312"/>
          <w:color w:val="181717" w:themeColor="background2" w:themeShade="1A"/>
          <w:sz w:val="32"/>
          <w:szCs w:val="32"/>
        </w:rPr>
      </w:pPr>
      <w:r>
        <w:rPr>
          <w:rFonts w:hint="eastAsia" w:eastAsia="黑体"/>
          <w:color w:val="181717" w:themeColor="background2" w:themeShade="1A"/>
          <w:kern w:val="0"/>
          <w:sz w:val="32"/>
          <w:szCs w:val="32"/>
          <w:shd w:val="clear" w:color="auto" w:fill="FFFFFF"/>
        </w:rPr>
        <w:t xml:space="preserve">第二十三条 </w:t>
      </w:r>
      <w:r>
        <w:rPr>
          <w:rFonts w:eastAsia="黑体"/>
          <w:color w:val="181717" w:themeColor="background2" w:themeShade="1A"/>
          <w:kern w:val="0"/>
          <w:sz w:val="32"/>
          <w:szCs w:val="32"/>
          <w:shd w:val="clear" w:color="auto" w:fill="FFFFFF"/>
        </w:rPr>
        <w:t xml:space="preserve"> </w:t>
      </w:r>
      <w:r>
        <w:rPr>
          <w:rFonts w:hint="eastAsia" w:ascii="仿宋_GB2312" w:hAnsi="仿宋_GB2312" w:eastAsia="仿宋_GB2312" w:cs="仿宋_GB2312"/>
          <w:color w:val="181717" w:themeColor="background2" w:themeShade="1A"/>
          <w:sz w:val="32"/>
          <w:szCs w:val="32"/>
        </w:rPr>
        <w:t>本规范适用于夹江县。</w:t>
      </w:r>
    </w:p>
    <w:p w14:paraId="1F79173A">
      <w:pPr>
        <w:spacing w:line="600" w:lineRule="exact"/>
        <w:ind w:firstLine="640" w:firstLineChars="200"/>
        <w:rPr>
          <w:rFonts w:eastAsia="仿宋_GB2312" w:cs="仿宋_GB2312" w:asciiTheme="minorHAnsi" w:hAnsiTheme="minorHAnsi"/>
          <w:color w:val="181717" w:themeColor="background2" w:themeShade="1A"/>
          <w:sz w:val="32"/>
          <w:szCs w:val="32"/>
        </w:rPr>
      </w:pPr>
      <w:r>
        <w:rPr>
          <w:rFonts w:hint="eastAsia" w:eastAsia="黑体"/>
          <w:color w:val="181717" w:themeColor="background2" w:themeShade="1A"/>
          <w:kern w:val="0"/>
          <w:sz w:val="32"/>
          <w:szCs w:val="32"/>
          <w:shd w:val="clear" w:color="auto" w:fill="FFFFFF"/>
        </w:rPr>
        <w:t xml:space="preserve">第二十四条  </w:t>
      </w:r>
      <w:r>
        <w:rPr>
          <w:rFonts w:hint="eastAsia" w:ascii="仿宋_GB2312" w:hAnsi="仿宋_GB2312" w:eastAsia="仿宋_GB2312" w:cs="仿宋_GB2312"/>
          <w:color w:val="181717" w:themeColor="background2" w:themeShade="1A"/>
          <w:sz w:val="32"/>
          <w:szCs w:val="32"/>
        </w:rPr>
        <w:t>本规范自印发之日起试行，试行期</w:t>
      </w:r>
      <w:r>
        <w:rPr>
          <w:rFonts w:ascii="仿宋_GB2312" w:hAnsi="仿宋_GB2312" w:eastAsia="仿宋_GB2312" w:cs="仿宋_GB2312"/>
          <w:color w:val="181717" w:themeColor="background2" w:themeShade="1A"/>
          <w:sz w:val="32"/>
          <w:szCs w:val="32"/>
        </w:rPr>
        <w:t>3</w:t>
      </w:r>
      <w:r>
        <w:rPr>
          <w:rFonts w:hint="eastAsia" w:ascii="仿宋_GB2312" w:hAnsi="仿宋_GB2312" w:eastAsia="仿宋_GB2312" w:cs="仿宋_GB2312"/>
          <w:color w:val="181717" w:themeColor="background2" w:themeShade="1A"/>
          <w:sz w:val="32"/>
          <w:szCs w:val="32"/>
        </w:rPr>
        <w:t>年。</w:t>
      </w:r>
    </w:p>
    <w:p w14:paraId="48E795B5"/>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
      <w:suff w:val="nothing"/>
      <w:lvlText w:val="%1.%2　"/>
      <w:lvlJc w:val="left"/>
      <w:pPr>
        <w:ind w:left="156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10"/>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25557"/>
    <w:rsid w:val="61C25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Strong"/>
    <w:qFormat/>
    <w:uiPriority w:val="0"/>
    <w:rPr>
      <w:b/>
    </w:rPr>
  </w:style>
  <w:style w:type="paragraph" w:customStyle="1" w:styleId="6">
    <w:name w:val="二级无"/>
    <w:basedOn w:val="7"/>
    <w:qFormat/>
    <w:uiPriority w:val="0"/>
    <w:pPr>
      <w:spacing w:beforeLines="0" w:afterLines="0"/>
    </w:pPr>
    <w:rPr>
      <w:rFonts w:ascii="宋体" w:eastAsia="宋体"/>
    </w:rPr>
  </w:style>
  <w:style w:type="paragraph" w:customStyle="1" w:styleId="7">
    <w:name w:val="二级条标题"/>
    <w:basedOn w:val="8"/>
    <w:next w:val="9"/>
    <w:qFormat/>
    <w:uiPriority w:val="0"/>
    <w:pPr>
      <w:numPr>
        <w:ilvl w:val="0"/>
        <w:numId w:val="0"/>
      </w:numPr>
      <w:spacing w:before="50" w:after="50"/>
      <w:outlineLvl w:val="3"/>
    </w:pPr>
  </w:style>
  <w:style w:type="paragraph" w:customStyle="1" w:styleId="8">
    <w:name w:val="一级条标题"/>
    <w:next w:val="9"/>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9">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11">
    <w:name w:val="一级无"/>
    <w:basedOn w:val="8"/>
    <w:qFormat/>
    <w:uiPriority w:val="0"/>
    <w:pPr>
      <w:spacing w:beforeLines="0" w:afterLines="0"/>
    </w:pPr>
    <w:rPr>
      <w:rFonts w:ascii="宋体"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2025-09-16T09:29:00Z</dcterms:created>
  <dc:creator>如果没有如果</dc:creator>
  <cp:lastModifiedBy>如果没有如果</cp:lastModifiedBy>
  <dcterms:modified xsi:type="dcterms:W3CDTF">2025-09-16T09:30:44Z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261A92C542EE4A7188E2ACBDE048C749_11</vt:lpwstr>
  </property>
  <property fmtid="{D5CDD505-2E9C-101B-9397-08002B2CF9AE}" pid="4" name="KSOTemplateDocerSaveRecord">
    <vt:lpwstr>eyJoZGlkIjoiYWMzYzM2MGIzMDJmZDM3NGYzNGZlMjFkYzgxNjJmNDQiLCJ1c2VySWQiOiI1MzQ1NzQwMTEifQ==</vt:lpwstr>
  </property>
</Properties>
</file>