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74244">
      <w:pPr>
        <w:spacing w:line="600" w:lineRule="exact"/>
        <w:rPr>
          <w:rFonts w:ascii="黑体" w:hAnsi="黑体" w:eastAsia="黑体" w:cs="黑体"/>
          <w:color w:val="181717" w:themeColor="background2" w:themeShade="1A"/>
          <w:sz w:val="32"/>
          <w:szCs w:val="32"/>
        </w:rPr>
      </w:pPr>
      <w:r>
        <w:rPr>
          <w:rFonts w:hint="eastAsia" w:ascii="黑体" w:hAnsi="黑体" w:eastAsia="黑体" w:cs="黑体"/>
          <w:color w:val="181717" w:themeColor="background2" w:themeShade="1A"/>
          <w:sz w:val="32"/>
          <w:szCs w:val="32"/>
        </w:rPr>
        <w:t>附件3</w:t>
      </w:r>
    </w:p>
    <w:p w14:paraId="1E68AAD8">
      <w:pPr>
        <w:spacing w:line="600" w:lineRule="exact"/>
        <w:rPr>
          <w:rFonts w:ascii="黑体" w:hAnsi="黑体" w:eastAsia="黑体" w:cs="黑体"/>
          <w:color w:val="181717" w:themeColor="background2" w:themeShade="1A"/>
          <w:sz w:val="32"/>
          <w:szCs w:val="32"/>
        </w:rPr>
      </w:pPr>
    </w:p>
    <w:p w14:paraId="20811E5E">
      <w:pPr>
        <w:spacing w:line="600" w:lineRule="exact"/>
        <w:jc w:val="center"/>
        <w:rPr>
          <w:rFonts w:eastAsia="微软雅黑"/>
          <w:color w:val="181717" w:themeColor="background2" w:themeShade="1A"/>
          <w:sz w:val="44"/>
          <w:szCs w:val="44"/>
        </w:rPr>
      </w:pPr>
      <w:bookmarkStart w:id="0" w:name="_GoBack"/>
      <w:r>
        <w:rPr>
          <w:rFonts w:hint="eastAsia" w:eastAsia="微软雅黑"/>
          <w:color w:val="181717" w:themeColor="background2" w:themeShade="1A"/>
          <w:sz w:val="44"/>
          <w:szCs w:val="44"/>
          <w:shd w:val="clear" w:color="auto" w:fill="FFFFFF"/>
        </w:rPr>
        <w:t>夹江县</w:t>
      </w:r>
      <w:r>
        <w:rPr>
          <w:rFonts w:eastAsia="微软雅黑"/>
          <w:color w:val="181717" w:themeColor="background2" w:themeShade="1A"/>
          <w:sz w:val="44"/>
          <w:szCs w:val="44"/>
        </w:rPr>
        <w:t>互联网租赁自行车服务质量信誉</w:t>
      </w:r>
    </w:p>
    <w:p w14:paraId="4BC87337">
      <w:pPr>
        <w:spacing w:line="600" w:lineRule="exact"/>
        <w:jc w:val="center"/>
        <w:rPr>
          <w:rFonts w:eastAsia="微软雅黑"/>
          <w:color w:val="181717" w:themeColor="background2" w:themeShade="1A"/>
          <w:sz w:val="44"/>
          <w:szCs w:val="44"/>
        </w:rPr>
      </w:pPr>
      <w:r>
        <w:rPr>
          <w:rFonts w:eastAsia="微软雅黑"/>
          <w:color w:val="181717" w:themeColor="background2" w:themeShade="1A"/>
          <w:sz w:val="44"/>
          <w:szCs w:val="44"/>
        </w:rPr>
        <w:t>考核办法</w:t>
      </w:r>
    </w:p>
    <w:bookmarkEnd w:id="0"/>
    <w:p w14:paraId="49A0395F">
      <w:pPr>
        <w:spacing w:line="600" w:lineRule="exact"/>
        <w:jc w:val="center"/>
        <w:rPr>
          <w:rFonts w:eastAsia="微软雅黑"/>
          <w:color w:val="181717" w:themeColor="background2" w:themeShade="1A"/>
          <w:sz w:val="44"/>
          <w:szCs w:val="44"/>
        </w:rPr>
      </w:pPr>
      <w:r>
        <w:rPr>
          <w:rFonts w:hint="eastAsia" w:ascii="楷体_GB2312" w:hAnsi="楷体_GB2312" w:eastAsia="楷体_GB2312" w:cs="楷体_GB2312"/>
          <w:color w:val="181717" w:themeColor="background2" w:themeShade="1A"/>
          <w:kern w:val="0"/>
          <w:sz w:val="32"/>
          <w:szCs w:val="32"/>
          <w:shd w:val="clear" w:color="auto" w:fill="FFFFFF"/>
        </w:rPr>
        <w:t>（征求意见稿）</w:t>
      </w:r>
    </w:p>
    <w:p w14:paraId="72C9D369">
      <w:pPr>
        <w:spacing w:line="600" w:lineRule="exact"/>
        <w:rPr>
          <w:color w:val="181717" w:themeColor="background2" w:themeShade="1A"/>
          <w:szCs w:val="32"/>
        </w:rPr>
      </w:pPr>
    </w:p>
    <w:p w14:paraId="19FDF5EA">
      <w:pPr>
        <w:spacing w:line="600" w:lineRule="exact"/>
        <w:ind w:firstLine="3520" w:firstLineChars="1100"/>
        <w:rPr>
          <w:rFonts w:eastAsia="黑体"/>
          <w:color w:val="181717" w:themeColor="background2" w:themeShade="1A"/>
          <w:sz w:val="32"/>
          <w:szCs w:val="32"/>
        </w:rPr>
      </w:pPr>
      <w:r>
        <w:rPr>
          <w:rFonts w:eastAsia="黑体"/>
          <w:color w:val="181717" w:themeColor="background2" w:themeShade="1A"/>
          <w:sz w:val="32"/>
          <w:szCs w:val="32"/>
        </w:rPr>
        <w:t>第一章 总则</w:t>
      </w:r>
    </w:p>
    <w:p w14:paraId="54AA780D">
      <w:pPr>
        <w:spacing w:line="600" w:lineRule="exact"/>
        <w:ind w:firstLine="422" w:firstLineChars="200"/>
        <w:rPr>
          <w:rFonts w:eastAsia="黑体"/>
          <w:b/>
          <w:bCs/>
          <w:color w:val="181717" w:themeColor="background2" w:themeShade="1A"/>
          <w:szCs w:val="32"/>
        </w:rPr>
      </w:pPr>
    </w:p>
    <w:p w14:paraId="404212B3">
      <w:pPr>
        <w:spacing w:line="600" w:lineRule="exact"/>
        <w:ind w:firstLine="640" w:firstLineChars="200"/>
        <w:rPr>
          <w:rFonts w:ascii="仿宋_GB2312" w:hAnsi="仿宋_GB2312" w:eastAsia="仿宋_GB2312" w:cs="仿宋_GB2312"/>
          <w:color w:val="181717" w:themeColor="background2" w:themeShade="1A"/>
          <w:sz w:val="32"/>
          <w:szCs w:val="32"/>
        </w:rPr>
      </w:pPr>
      <w:r>
        <w:rPr>
          <w:rFonts w:eastAsia="黑体"/>
          <w:color w:val="181717" w:themeColor="background2" w:themeShade="1A"/>
          <w:sz w:val="32"/>
          <w:szCs w:val="32"/>
        </w:rPr>
        <w:t>第一条</w:t>
      </w:r>
      <w:r>
        <w:rPr>
          <w:b/>
          <w:bCs/>
          <w:color w:val="181717" w:themeColor="background2" w:themeShade="1A"/>
          <w:szCs w:val="32"/>
        </w:rPr>
        <w:t xml:space="preserve">  </w:t>
      </w:r>
      <w:r>
        <w:rPr>
          <w:rFonts w:hint="eastAsia" w:ascii="仿宋_GB2312" w:hAnsi="仿宋_GB2312" w:eastAsia="仿宋_GB2312" w:cs="仿宋_GB2312"/>
          <w:color w:val="181717" w:themeColor="background2" w:themeShade="1A"/>
          <w:sz w:val="32"/>
          <w:szCs w:val="32"/>
        </w:rPr>
        <w:t>为规范互联网租赁自行车运营企业运营行为，建立完善互联网租赁自行车行业诚信体系，提升互联网租赁自行车服务水平，根据国家、省、市有关规定，特制定本办法。</w:t>
      </w:r>
    </w:p>
    <w:p w14:paraId="213DFF4C">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eastAsia="黑体"/>
          <w:color w:val="181717" w:themeColor="background2" w:themeShade="1A"/>
          <w:sz w:val="32"/>
          <w:szCs w:val="32"/>
        </w:rPr>
        <w:t xml:space="preserve">第二条  </w:t>
      </w:r>
      <w:r>
        <w:rPr>
          <w:rFonts w:hint="eastAsia" w:ascii="仿宋_GB2312" w:hAnsi="仿宋_GB2312" w:eastAsia="仿宋_GB2312" w:cs="仿宋_GB2312"/>
          <w:color w:val="181717" w:themeColor="background2" w:themeShade="1A"/>
          <w:sz w:val="32"/>
          <w:szCs w:val="32"/>
          <w:lang w:val="zh-CN"/>
        </w:rPr>
        <w:t>夹江县互联网租赁自行车服务质量信誉考核，应当遵守本办法。考核对象为在夹江县提供互联网租赁自行车服务的运营企业。</w:t>
      </w:r>
    </w:p>
    <w:p w14:paraId="3D5475CE">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eastAsia="黑体"/>
          <w:color w:val="181717" w:themeColor="background2" w:themeShade="1A"/>
          <w:sz w:val="32"/>
          <w:szCs w:val="32"/>
        </w:rPr>
        <w:t xml:space="preserve">第三条  </w:t>
      </w:r>
      <w:r>
        <w:rPr>
          <w:rFonts w:hint="eastAsia" w:ascii="仿宋_GB2312" w:hAnsi="仿宋_GB2312" w:eastAsia="仿宋_GB2312" w:cs="仿宋_GB2312"/>
          <w:color w:val="181717" w:themeColor="background2" w:themeShade="1A"/>
          <w:sz w:val="32"/>
          <w:szCs w:val="32"/>
          <w:lang w:val="zh-CN"/>
        </w:rPr>
        <w:t>互联网租赁自行车服务质量信誉考核工作应当遵循公开、公平、公正的原则。</w:t>
      </w:r>
    </w:p>
    <w:p w14:paraId="3470AF89">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eastAsia="黑体"/>
          <w:color w:val="181717" w:themeColor="background2" w:themeShade="1A"/>
          <w:sz w:val="32"/>
          <w:szCs w:val="32"/>
        </w:rPr>
        <w:t xml:space="preserve">第四条  </w:t>
      </w:r>
      <w:r>
        <w:rPr>
          <w:rFonts w:hint="eastAsia" w:ascii="仿宋_GB2312" w:hAnsi="仿宋_GB2312" w:eastAsia="仿宋_GB2312" w:cs="仿宋_GB2312"/>
          <w:color w:val="181717" w:themeColor="background2" w:themeShade="1A"/>
          <w:sz w:val="32"/>
          <w:szCs w:val="32"/>
          <w:lang w:val="zh-CN"/>
        </w:rPr>
        <w:t>互联网租赁自行车运营企业应当自觉遵守国家、省、市有关法律、法规及相关规定，加强管理，诚信经营，履行社会责任，为社会提供安全、优质的自行车租赁服务。</w:t>
      </w:r>
    </w:p>
    <w:p w14:paraId="70AFCF46">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eastAsia="黑体"/>
          <w:color w:val="181717" w:themeColor="background2" w:themeShade="1A"/>
          <w:sz w:val="32"/>
          <w:szCs w:val="32"/>
        </w:rPr>
        <w:t xml:space="preserve">第五条 </w:t>
      </w:r>
      <w:r>
        <w:rPr>
          <w:rFonts w:hint="eastAsia" w:ascii="仿宋_GB2312" w:hAnsi="仿宋_GB2312" w:eastAsia="仿宋_GB2312" w:cs="仿宋_GB2312"/>
          <w:color w:val="181717" w:themeColor="background2" w:themeShade="1A"/>
          <w:sz w:val="32"/>
          <w:szCs w:val="32"/>
          <w:lang w:val="zh-CN"/>
        </w:rPr>
        <w:t>县交通运输局、县公安局、县综合行政执法局抽调相关负责人成立互联网租赁自行车服务质量信誉考核小组，负责组织开展夹江县互联网租赁自行车服务质量信誉考核工作。</w:t>
      </w:r>
    </w:p>
    <w:p w14:paraId="1A017FCC">
      <w:pPr>
        <w:spacing w:line="600" w:lineRule="exact"/>
        <w:ind w:firstLine="640" w:firstLineChars="200"/>
        <w:rPr>
          <w:rFonts w:ascii="仿宋_GB2312" w:hAnsi="仿宋_GB2312" w:eastAsia="仿宋_GB2312" w:cs="仿宋_GB2312"/>
          <w:color w:val="181717" w:themeColor="background2" w:themeShade="1A"/>
          <w:sz w:val="32"/>
          <w:szCs w:val="32"/>
          <w:lang w:val="zh-CN"/>
        </w:rPr>
      </w:pPr>
    </w:p>
    <w:p w14:paraId="63BA6B80">
      <w:pPr>
        <w:spacing w:line="600" w:lineRule="exact"/>
        <w:jc w:val="center"/>
        <w:rPr>
          <w:rFonts w:eastAsia="黑体"/>
          <w:color w:val="181717" w:themeColor="background2" w:themeShade="1A"/>
          <w:sz w:val="32"/>
          <w:szCs w:val="32"/>
        </w:rPr>
      </w:pPr>
      <w:r>
        <w:rPr>
          <w:rFonts w:eastAsia="黑体"/>
          <w:color w:val="181717" w:themeColor="background2" w:themeShade="1A"/>
          <w:sz w:val="32"/>
          <w:szCs w:val="32"/>
        </w:rPr>
        <w:t>第二章 考核等级</w:t>
      </w:r>
    </w:p>
    <w:p w14:paraId="6C876CD6">
      <w:pPr>
        <w:spacing w:line="600" w:lineRule="exact"/>
        <w:ind w:firstLine="422" w:firstLineChars="200"/>
        <w:rPr>
          <w:b/>
          <w:bCs/>
          <w:color w:val="181717" w:themeColor="background2" w:themeShade="1A"/>
          <w:szCs w:val="32"/>
        </w:rPr>
      </w:pPr>
    </w:p>
    <w:p w14:paraId="115A9728">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eastAsia="黑体"/>
          <w:color w:val="181717" w:themeColor="background2" w:themeShade="1A"/>
          <w:sz w:val="32"/>
          <w:szCs w:val="32"/>
          <w:lang w:val="zh-CN"/>
        </w:rPr>
        <w:t>第六条</w:t>
      </w:r>
      <w:r>
        <w:rPr>
          <w:rFonts w:hint="eastAsia" w:ascii="仿宋_GB2312" w:hAnsi="仿宋_GB2312" w:eastAsia="仿宋_GB2312" w:cs="仿宋_GB2312"/>
          <w:color w:val="181717" w:themeColor="background2" w:themeShade="1A"/>
          <w:sz w:val="32"/>
          <w:szCs w:val="32"/>
          <w:lang w:val="zh-CN"/>
        </w:rPr>
        <w:t xml:space="preserve">  互联网租赁自行车企业服务质量考核等级分为优良、合格、基本合格和不合格，分别用AAA级、AA级、A级和B级表示</w:t>
      </w:r>
      <w:r>
        <w:rPr>
          <w:rFonts w:ascii="仿宋_GB2312" w:hAnsi="仿宋_GB2312" w:eastAsia="仿宋_GB2312" w:cs="仿宋_GB2312"/>
          <w:color w:val="181717" w:themeColor="background2" w:themeShade="1A"/>
          <w:sz w:val="32"/>
          <w:szCs w:val="32"/>
          <w:lang w:val="zh-CN"/>
        </w:rPr>
        <w:t>，</w:t>
      </w:r>
      <w:r>
        <w:rPr>
          <w:rFonts w:ascii="仿宋_GB2312" w:hAnsi="仿宋_GB2312" w:eastAsia="仿宋_GB2312" w:cs="仿宋_GB2312"/>
          <w:color w:val="181717" w:themeColor="background2" w:themeShade="1A"/>
          <w:sz w:val="32"/>
          <w:szCs w:val="32"/>
        </w:rPr>
        <w:t>考核周期内被评定为</w:t>
      </w:r>
      <w:r>
        <w:rPr>
          <w:rFonts w:hint="eastAsia" w:ascii="仿宋_GB2312" w:hAnsi="仿宋_GB2312" w:eastAsia="仿宋_GB2312" w:cs="仿宋_GB2312"/>
          <w:color w:val="181717" w:themeColor="background2" w:themeShade="1A"/>
          <w:sz w:val="32"/>
          <w:szCs w:val="32"/>
          <w:lang w:val="zh-CN"/>
        </w:rPr>
        <w:t>B级</w:t>
      </w:r>
      <w:r>
        <w:rPr>
          <w:rFonts w:ascii="仿宋_GB2312" w:hAnsi="仿宋_GB2312" w:eastAsia="仿宋_GB2312" w:cs="仿宋_GB2312"/>
          <w:color w:val="181717" w:themeColor="background2" w:themeShade="1A"/>
          <w:sz w:val="32"/>
          <w:szCs w:val="32"/>
        </w:rPr>
        <w:t>的企业不得在夹江县投放互联网租赁自行车</w:t>
      </w:r>
      <w:r>
        <w:rPr>
          <w:rFonts w:hint="eastAsia" w:ascii="仿宋_GB2312" w:hAnsi="仿宋_GB2312" w:eastAsia="仿宋_GB2312" w:cs="仿宋_GB2312"/>
          <w:color w:val="181717" w:themeColor="background2" w:themeShade="1A"/>
          <w:sz w:val="32"/>
          <w:szCs w:val="32"/>
          <w:lang w:val="zh-CN"/>
        </w:rPr>
        <w:t>。</w:t>
      </w:r>
    </w:p>
    <w:p w14:paraId="184B47BC">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eastAsia="黑体"/>
          <w:color w:val="181717" w:themeColor="background2" w:themeShade="1A"/>
          <w:sz w:val="32"/>
          <w:szCs w:val="32"/>
          <w:lang w:val="zh-CN"/>
        </w:rPr>
        <w:t>第七条</w:t>
      </w:r>
      <w:r>
        <w:rPr>
          <w:rFonts w:hint="eastAsia" w:ascii="仿宋_GB2312" w:hAnsi="仿宋_GB2312" w:eastAsia="仿宋_GB2312" w:cs="仿宋_GB2312"/>
          <w:color w:val="181717" w:themeColor="background2" w:themeShade="1A"/>
          <w:sz w:val="32"/>
          <w:szCs w:val="32"/>
          <w:lang w:val="zh-CN"/>
        </w:rPr>
        <w:t xml:space="preserve">  互联网租赁自行车企业服务质量信誉考核指标包括：</w:t>
      </w:r>
    </w:p>
    <w:p w14:paraId="04D7856F">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（一）企业管理。包括制度建设、人员管理、运营车辆管理、设施设备管理、智能化运营平台建设、配额管理以及用户信息安全管理。</w:t>
      </w:r>
    </w:p>
    <w:p w14:paraId="062D769C">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（二）信息数据。包括数据接入、数据查询等指标。</w:t>
      </w:r>
    </w:p>
    <w:p w14:paraId="065649B3">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（三）安全运营。包括交通安全等指标。</w:t>
      </w:r>
    </w:p>
    <w:p w14:paraId="6768F62F">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（四）运营服务。包括运价公示、检查维护、秩序维护、停放点位设置、文明用车、投诉处理等指标。</w:t>
      </w:r>
    </w:p>
    <w:p w14:paraId="3F97FC4D">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（五）服务评价。包含媒体和社会两方面评价指标。</w:t>
      </w:r>
    </w:p>
    <w:p w14:paraId="0C087196">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（六）加分项目。包括政府部门表彰（扬）、参加社会公益活动以及开展文明劝导活动等指标。</w:t>
      </w:r>
    </w:p>
    <w:p w14:paraId="3EEA00ED">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各评价指标考评标准按照《夹江县互联网租赁自行车服务质量信誉考核标准及评分细则》（见附件）执行。</w:t>
      </w:r>
    </w:p>
    <w:p w14:paraId="52A6F1E3">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eastAsia="黑体"/>
          <w:color w:val="181717" w:themeColor="background2" w:themeShade="1A"/>
          <w:sz w:val="32"/>
          <w:szCs w:val="32"/>
          <w:lang w:val="zh-CN"/>
        </w:rPr>
        <w:t>第八条</w:t>
      </w:r>
      <w:r>
        <w:rPr>
          <w:rFonts w:hint="eastAsia" w:ascii="仿宋_GB2312" w:hAnsi="仿宋_GB2312" w:eastAsia="仿宋_GB2312" w:cs="仿宋_GB2312"/>
          <w:color w:val="181717" w:themeColor="background2" w:themeShade="1A"/>
          <w:sz w:val="32"/>
          <w:szCs w:val="32"/>
          <w:lang w:val="zh-CN"/>
        </w:rPr>
        <w:t xml:space="preserve">  互联网租赁自行车服务质量信誉考核实行基准分值为1000分的计分制,另外加分分值总额累计以100分为限。</w:t>
      </w:r>
    </w:p>
    <w:p w14:paraId="32663600">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eastAsia="黑体"/>
          <w:color w:val="181717" w:themeColor="background2" w:themeShade="1A"/>
          <w:sz w:val="32"/>
          <w:szCs w:val="32"/>
          <w:lang w:val="zh-CN"/>
        </w:rPr>
        <w:t>第九条</w:t>
      </w:r>
      <w:r>
        <w:rPr>
          <w:rFonts w:hint="eastAsia" w:ascii="仿宋_GB2312" w:hAnsi="仿宋_GB2312" w:eastAsia="仿宋_GB2312" w:cs="仿宋_GB2312"/>
          <w:color w:val="181717" w:themeColor="background2" w:themeShade="1A"/>
          <w:sz w:val="32"/>
          <w:szCs w:val="32"/>
          <w:lang w:val="zh-CN"/>
        </w:rPr>
        <w:t xml:space="preserve">  互联网租赁自行车企业服务质量信誉等级按照下列标准进行评定:</w:t>
      </w:r>
    </w:p>
    <w:p w14:paraId="231EB6F6">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（一）考评周期内综合得分在850分以上，为AAA级;</w:t>
      </w:r>
    </w:p>
    <w:p w14:paraId="7D4014FE">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（二）考评周期内综合得分在700分至849分之间的，为AA级；</w:t>
      </w:r>
    </w:p>
    <w:p w14:paraId="43FDA89D">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（三）考评周期内综合得分在600分至699分之间的或因乱停乱放问题严重、线下运维能力不足，导致大量互联网租赁自行车被依法扣押，总数量超过本企业配额5%的为A级；</w:t>
      </w:r>
    </w:p>
    <w:p w14:paraId="0E548CD4">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（四）考评周期内有下列情形之一的，考核等级为B级：</w:t>
      </w:r>
    </w:p>
    <w:p w14:paraId="0C3BCE05">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1.综合得分在600分以下的；</w:t>
      </w:r>
    </w:p>
    <w:p w14:paraId="54652309">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2.由于企业运营管理原因，引发群体性事件或在社会造成恶劣影响的；</w:t>
      </w:r>
    </w:p>
    <w:p w14:paraId="1C9AF8AC">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3.不参加服务质量信誉考核工作的；</w:t>
      </w:r>
    </w:p>
    <w:p w14:paraId="2E748C1F">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4.在考核过程中故意弄虚作假、隐瞒情况或提供虚假情况，情节严重的；</w:t>
      </w:r>
    </w:p>
    <w:p w14:paraId="0D2866B1">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5.违反法律法规，组织、煽动、参与影响社会公共秩序，损害社会公共利益的群体性事件的；</w:t>
      </w:r>
    </w:p>
    <w:p w14:paraId="3A13AE8C">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6.存在重大安全生产隐患，拒不整改或整改后仍不合格的；</w:t>
      </w:r>
    </w:p>
    <w:p w14:paraId="3B92BA03">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7.擅自暂停运营的；</w:t>
      </w:r>
    </w:p>
    <w:p w14:paraId="4EEE65D4">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8.投放数量超过配额数量或年度动态调整后超过30天</w:t>
      </w:r>
      <w:r>
        <w:rPr>
          <w:rFonts w:hint="eastAsia" w:eastAsia="仿宋_GB2312" w:cs="仿宋_GB2312" w:asciiTheme="minorHAnsi" w:hAnsiTheme="minorHAnsi"/>
          <w:color w:val="181717" w:themeColor="background2" w:themeShade="1A"/>
          <w:sz w:val="32"/>
          <w:szCs w:val="32"/>
        </w:rPr>
        <w:t>未调整的</w:t>
      </w:r>
      <w:r>
        <w:rPr>
          <w:rFonts w:hint="eastAsia" w:ascii="仿宋_GB2312" w:hAnsi="仿宋_GB2312" w:eastAsia="仿宋_GB2312" w:cs="仿宋_GB2312"/>
          <w:color w:val="181717" w:themeColor="background2" w:themeShade="1A"/>
          <w:sz w:val="32"/>
          <w:szCs w:val="32"/>
          <w:lang w:val="zh-CN"/>
        </w:rPr>
        <w:t>；</w:t>
      </w:r>
    </w:p>
    <w:p w14:paraId="699DB64C">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9.未向或无故停止向政府监管平台传输数据的；</w:t>
      </w:r>
    </w:p>
    <w:p w14:paraId="14DF4A97">
      <w:pPr>
        <w:spacing w:line="600" w:lineRule="exact"/>
        <w:ind w:firstLine="640" w:firstLineChars="200"/>
        <w:rPr>
          <w:rFonts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rPr>
        <w:t>10.运营企业采用不正当竞争方式扰乱市场秩序的；</w:t>
      </w:r>
    </w:p>
    <w:p w14:paraId="4D999AFC">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11.运营企业投放套牌车辆的。</w:t>
      </w:r>
    </w:p>
    <w:p w14:paraId="50A56E77">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互联网租赁自行车企业在考核周期内经营时间少于6个月的，其服务质量信誉考核等级最高为AA级。经营时间自企业完成报备并首次投放车辆之日起计算。</w:t>
      </w:r>
    </w:p>
    <w:p w14:paraId="34C769BA">
      <w:pPr>
        <w:spacing w:line="600" w:lineRule="exact"/>
        <w:ind w:firstLine="420" w:firstLineChars="200"/>
        <w:rPr>
          <w:rFonts w:eastAsia="黑体"/>
          <w:color w:val="181717" w:themeColor="background2" w:themeShade="1A"/>
          <w:szCs w:val="32"/>
        </w:rPr>
      </w:pPr>
    </w:p>
    <w:p w14:paraId="36E5C31C">
      <w:pPr>
        <w:spacing w:line="600" w:lineRule="exact"/>
        <w:jc w:val="center"/>
        <w:rPr>
          <w:b/>
          <w:bCs/>
          <w:color w:val="181717" w:themeColor="background2" w:themeShade="1A"/>
          <w:sz w:val="32"/>
          <w:szCs w:val="32"/>
        </w:rPr>
      </w:pPr>
      <w:r>
        <w:rPr>
          <w:rFonts w:eastAsia="黑体"/>
          <w:color w:val="181717" w:themeColor="background2" w:themeShade="1A"/>
          <w:sz w:val="32"/>
          <w:szCs w:val="32"/>
        </w:rPr>
        <w:t>第三章 考核程序</w:t>
      </w:r>
    </w:p>
    <w:p w14:paraId="380098A1">
      <w:pPr>
        <w:spacing w:line="600" w:lineRule="exact"/>
        <w:rPr>
          <w:b/>
          <w:bCs/>
          <w:color w:val="181717" w:themeColor="background2" w:themeShade="1A"/>
          <w:sz w:val="32"/>
          <w:szCs w:val="32"/>
        </w:rPr>
      </w:pPr>
    </w:p>
    <w:p w14:paraId="526CC076">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eastAsia="黑体"/>
          <w:color w:val="181717" w:themeColor="background2" w:themeShade="1A"/>
          <w:sz w:val="32"/>
          <w:szCs w:val="32"/>
          <w:lang w:val="zh-CN"/>
        </w:rPr>
        <w:t>第十条</w:t>
      </w:r>
      <w:r>
        <w:rPr>
          <w:rFonts w:hint="eastAsia" w:ascii="仿宋_GB2312" w:hAnsi="仿宋_GB2312" w:eastAsia="仿宋_GB2312" w:cs="仿宋_GB2312"/>
          <w:color w:val="181717" w:themeColor="background2" w:themeShade="1A"/>
          <w:sz w:val="32"/>
          <w:szCs w:val="32"/>
          <w:lang w:val="zh-CN"/>
        </w:rPr>
        <w:t xml:space="preserve">  互联网租赁自行车企业服务质量信誉考核工作由考核小组统一组织实施，采取企业自评、政府评价和社会评价相结合的方式开展。</w:t>
      </w:r>
    </w:p>
    <w:p w14:paraId="60371A6D">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企业自评由企业自行准备与考核相关的资料，并将资料提交考核小组进行考核评分；政府评价由县交通运输局、县公安局、县综合行政执法局等单位根据日常监督情况考核评分；社会评价依据综合媒体、城市公共交通监督员和市民代表评价结果进行评分。</w:t>
      </w:r>
    </w:p>
    <w:p w14:paraId="5FDB9D8A">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eastAsia="黑体"/>
          <w:color w:val="181717" w:themeColor="background2" w:themeShade="1A"/>
          <w:sz w:val="32"/>
          <w:szCs w:val="32"/>
          <w:lang w:val="zh-CN"/>
        </w:rPr>
        <w:t>第十一条</w:t>
      </w:r>
      <w:r>
        <w:rPr>
          <w:rFonts w:hint="eastAsia" w:ascii="仿宋_GB2312" w:hAnsi="仿宋_GB2312" w:eastAsia="仿宋_GB2312" w:cs="仿宋_GB2312"/>
          <w:color w:val="181717" w:themeColor="background2" w:themeShade="1A"/>
          <w:sz w:val="32"/>
          <w:szCs w:val="32"/>
          <w:lang w:val="zh-CN"/>
        </w:rPr>
        <w:t xml:space="preserve">  考核工作按以下程序实施：</w:t>
      </w:r>
    </w:p>
    <w:p w14:paraId="53B1357C">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（一）每年考核1次，考核周期为每年的</w:t>
      </w:r>
      <w:r>
        <w:rPr>
          <w:rFonts w:ascii="仿宋_GB2312" w:hAnsi="仿宋_GB2312" w:eastAsia="仿宋_GB2312" w:cs="仿宋_GB2312"/>
          <w:color w:val="181717" w:themeColor="background2" w:themeShade="1A"/>
          <w:sz w:val="32"/>
          <w:szCs w:val="32"/>
        </w:rPr>
        <w:t>*</w:t>
      </w:r>
      <w:r>
        <w:rPr>
          <w:rFonts w:hint="eastAsia" w:ascii="仿宋_GB2312" w:hAnsi="仿宋_GB2312" w:eastAsia="仿宋_GB2312" w:cs="仿宋_GB2312"/>
          <w:color w:val="181717" w:themeColor="background2" w:themeShade="1A"/>
          <w:sz w:val="32"/>
          <w:szCs w:val="32"/>
          <w:lang w:val="zh-CN"/>
        </w:rPr>
        <w:t>月</w:t>
      </w:r>
      <w:r>
        <w:rPr>
          <w:rFonts w:eastAsia="仿宋_GB2312" w:cs="仿宋_GB2312" w:asciiTheme="minorHAnsi" w:hAnsiTheme="minorHAnsi"/>
          <w:color w:val="181717" w:themeColor="background2" w:themeShade="1A"/>
          <w:sz w:val="32"/>
          <w:szCs w:val="32"/>
        </w:rPr>
        <w:t>*</w:t>
      </w:r>
      <w:r>
        <w:rPr>
          <w:rFonts w:hint="eastAsia" w:ascii="仿宋_GB2312" w:hAnsi="仿宋_GB2312" w:eastAsia="仿宋_GB2312" w:cs="仿宋_GB2312"/>
          <w:color w:val="181717" w:themeColor="background2" w:themeShade="1A"/>
          <w:sz w:val="32"/>
          <w:szCs w:val="32"/>
          <w:lang w:val="zh-CN"/>
        </w:rPr>
        <w:t>日至</w:t>
      </w:r>
      <w:r>
        <w:rPr>
          <w:rFonts w:ascii="仿宋_GB2312" w:hAnsi="仿宋_GB2312" w:eastAsia="仿宋_GB2312" w:cs="仿宋_GB2312"/>
          <w:color w:val="181717" w:themeColor="background2" w:themeShade="1A"/>
          <w:sz w:val="32"/>
          <w:szCs w:val="32"/>
          <w:lang w:val="zh-CN"/>
        </w:rPr>
        <w:t>次年</w:t>
      </w:r>
      <w:r>
        <w:rPr>
          <w:rFonts w:eastAsia="仿宋_GB2312" w:cs="仿宋_GB2312" w:asciiTheme="minorHAnsi" w:hAnsiTheme="minorHAnsi"/>
          <w:color w:val="181717" w:themeColor="background2" w:themeShade="1A"/>
          <w:sz w:val="32"/>
          <w:szCs w:val="32"/>
        </w:rPr>
        <w:t>*</w:t>
      </w:r>
      <w:r>
        <w:rPr>
          <w:rFonts w:hint="eastAsia" w:ascii="仿宋_GB2312" w:hAnsi="仿宋_GB2312" w:eastAsia="仿宋_GB2312" w:cs="仿宋_GB2312"/>
          <w:color w:val="181717" w:themeColor="background2" w:themeShade="1A"/>
          <w:sz w:val="32"/>
          <w:szCs w:val="32"/>
          <w:lang w:val="zh-CN"/>
        </w:rPr>
        <w:t>月</w:t>
      </w:r>
      <w:r>
        <w:rPr>
          <w:rFonts w:eastAsia="仿宋_GB2312" w:cs="仿宋_GB2312" w:asciiTheme="minorHAnsi" w:hAnsiTheme="minorHAnsi"/>
          <w:color w:val="181717" w:themeColor="background2" w:themeShade="1A"/>
          <w:sz w:val="32"/>
          <w:szCs w:val="32"/>
        </w:rPr>
        <w:t>*</w:t>
      </w:r>
      <w:r>
        <w:rPr>
          <w:rFonts w:hint="eastAsia" w:ascii="仿宋_GB2312" w:hAnsi="仿宋_GB2312" w:eastAsia="仿宋_GB2312" w:cs="仿宋_GB2312"/>
          <w:color w:val="181717" w:themeColor="background2" w:themeShade="1A"/>
          <w:sz w:val="32"/>
          <w:szCs w:val="32"/>
          <w:lang w:val="zh-CN"/>
        </w:rPr>
        <w:t>日。互联网租赁自行车企业应在每年的</w:t>
      </w:r>
      <w:r>
        <w:rPr>
          <w:rFonts w:eastAsia="仿宋_GB2312" w:cs="仿宋_GB2312" w:asciiTheme="minorHAnsi" w:hAnsiTheme="minorHAnsi"/>
          <w:color w:val="181717" w:themeColor="background2" w:themeShade="1A"/>
          <w:sz w:val="32"/>
          <w:szCs w:val="32"/>
        </w:rPr>
        <w:t>*</w:t>
      </w:r>
      <w:r>
        <w:rPr>
          <w:rFonts w:hint="eastAsia" w:ascii="仿宋_GB2312" w:hAnsi="仿宋_GB2312" w:eastAsia="仿宋_GB2312" w:cs="仿宋_GB2312"/>
          <w:color w:val="181717" w:themeColor="background2" w:themeShade="1A"/>
          <w:sz w:val="32"/>
          <w:szCs w:val="32"/>
          <w:lang w:val="zh-CN"/>
        </w:rPr>
        <w:t>月</w:t>
      </w:r>
      <w:r>
        <w:rPr>
          <w:rFonts w:eastAsia="仿宋_GB2312" w:cs="仿宋_GB2312" w:asciiTheme="minorHAnsi" w:hAnsiTheme="minorHAnsi"/>
          <w:color w:val="181717" w:themeColor="background2" w:themeShade="1A"/>
          <w:sz w:val="32"/>
          <w:szCs w:val="32"/>
        </w:rPr>
        <w:t>*</w:t>
      </w:r>
      <w:r>
        <w:rPr>
          <w:rFonts w:hint="eastAsia" w:ascii="仿宋_GB2312" w:hAnsi="仿宋_GB2312" w:eastAsia="仿宋_GB2312" w:cs="仿宋_GB2312"/>
          <w:color w:val="181717" w:themeColor="background2" w:themeShade="1A"/>
          <w:sz w:val="32"/>
          <w:szCs w:val="32"/>
          <w:lang w:val="zh-CN"/>
        </w:rPr>
        <w:t>日前，向考核小组提交上一年度服务质量信誉考核的书面申请，并如实报送互联网租赁自行车企业服务质量信誉档案等材料。</w:t>
      </w:r>
    </w:p>
    <w:p w14:paraId="38B92B86">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互联网租赁自行车企业服务质量信誉档案应当包括下列内容：</w:t>
      </w:r>
    </w:p>
    <w:p w14:paraId="25FD7444">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1.</w:t>
      </w:r>
      <w:r>
        <w:rPr>
          <w:rFonts w:hint="eastAsia" w:ascii="仿宋_GB2312" w:hAnsi="仿宋_GB2312" w:eastAsia="仿宋_GB2312" w:cs="仿宋_GB2312"/>
          <w:color w:val="181717" w:themeColor="background2" w:themeShade="1A"/>
          <w:sz w:val="32"/>
          <w:szCs w:val="32"/>
          <w:lang w:val="zh-CN"/>
        </w:rPr>
        <w:t>制度建设。包括安全措施与紧急情况处置制度、管理和运维人员管理制度、服务质量保障制度、自行车车辆运行维护制度、自行车车辆停放秩序管理制度、日常工作、重大事件的影像存档制度、用户信用评价制度、内部财务管理制度、网络及信息安全管理、故障车辆回收管理制度、服务纠纷及投诉处理制度等情况；</w:t>
      </w:r>
    </w:p>
    <w:p w14:paraId="4778D6E3">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2.</w:t>
      </w:r>
      <w:r>
        <w:rPr>
          <w:rFonts w:hint="eastAsia" w:ascii="仿宋_GB2312" w:hAnsi="仿宋_GB2312" w:eastAsia="仿宋_GB2312" w:cs="仿宋_GB2312"/>
          <w:color w:val="181717" w:themeColor="background2" w:themeShade="1A"/>
          <w:sz w:val="32"/>
          <w:szCs w:val="32"/>
          <w:lang w:val="zh-CN"/>
        </w:rPr>
        <w:t>人员管理。包括配置运营、车技、安全等管理人员及信息系统维护、服务热线及服务质量投诉受理等专职工作人员，并按照互联网租赁自行车和运维人员≤200:1的比例配置车辆运维人员的相关证明材料（人员名单、劳动合同或者劳务派遣合同、社保证明等）；</w:t>
      </w:r>
    </w:p>
    <w:p w14:paraId="20FEA544">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3.</w:t>
      </w:r>
      <w:r>
        <w:rPr>
          <w:rFonts w:hint="eastAsia" w:ascii="仿宋_GB2312" w:hAnsi="仿宋_GB2312" w:eastAsia="仿宋_GB2312" w:cs="仿宋_GB2312"/>
          <w:color w:val="181717" w:themeColor="background2" w:themeShade="1A"/>
          <w:sz w:val="32"/>
          <w:szCs w:val="32"/>
          <w:lang w:val="zh-CN"/>
        </w:rPr>
        <w:t>运营车辆。包括车辆明细（含车辆型号、唯一编码、对应牌照等）等信息；</w:t>
      </w:r>
    </w:p>
    <w:p w14:paraId="1D9D0A9A">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4.</w:t>
      </w:r>
      <w:r>
        <w:rPr>
          <w:rFonts w:hint="eastAsia" w:ascii="仿宋_GB2312" w:hAnsi="仿宋_GB2312" w:eastAsia="仿宋_GB2312" w:cs="仿宋_GB2312"/>
          <w:color w:val="181717" w:themeColor="background2" w:themeShade="1A"/>
          <w:sz w:val="32"/>
          <w:szCs w:val="32"/>
          <w:lang w:val="zh-CN"/>
        </w:rPr>
        <w:t>设施设备。包括调运车辆明细（含车辆型号及相应外观照片）和维保场所建设情况（含维保场地租赁证明、施工平面图以及现场实拍图片）；</w:t>
      </w:r>
    </w:p>
    <w:p w14:paraId="204C60F8">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5.</w:t>
      </w:r>
      <w:r>
        <w:rPr>
          <w:rFonts w:hint="eastAsia" w:ascii="仿宋_GB2312" w:hAnsi="仿宋_GB2312" w:eastAsia="仿宋_GB2312" w:cs="仿宋_GB2312"/>
          <w:color w:val="181717" w:themeColor="background2" w:themeShade="1A"/>
          <w:sz w:val="32"/>
          <w:szCs w:val="32"/>
          <w:lang w:val="zh-CN"/>
        </w:rPr>
        <w:t>运营平台建设。包括具备相应功能的佐证材料等；</w:t>
      </w:r>
    </w:p>
    <w:p w14:paraId="122CE60E">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6.</w:t>
      </w:r>
      <w:r>
        <w:rPr>
          <w:rFonts w:hint="eastAsia" w:ascii="仿宋_GB2312" w:hAnsi="仿宋_GB2312" w:eastAsia="仿宋_GB2312" w:cs="仿宋_GB2312"/>
          <w:color w:val="181717" w:themeColor="background2" w:themeShade="1A"/>
          <w:sz w:val="32"/>
          <w:szCs w:val="32"/>
          <w:lang w:val="zh-CN"/>
        </w:rPr>
        <w:t>用户端建设。包括具备相应功能的佐证材料等；</w:t>
      </w:r>
    </w:p>
    <w:p w14:paraId="7559F6FB">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7.</w:t>
      </w:r>
      <w:r>
        <w:rPr>
          <w:rFonts w:hint="eastAsia" w:ascii="仿宋_GB2312" w:hAnsi="仿宋_GB2312" w:eastAsia="仿宋_GB2312" w:cs="仿宋_GB2312"/>
          <w:color w:val="181717" w:themeColor="background2" w:themeShade="1A"/>
          <w:sz w:val="32"/>
          <w:szCs w:val="32"/>
          <w:lang w:val="zh-CN"/>
        </w:rPr>
        <w:t>用户信息安全。包括用户信息安全保障措施等情况；</w:t>
      </w:r>
    </w:p>
    <w:p w14:paraId="54E64EA6">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8.</w:t>
      </w:r>
      <w:r>
        <w:rPr>
          <w:rFonts w:hint="eastAsia" w:ascii="仿宋_GB2312" w:hAnsi="仿宋_GB2312" w:eastAsia="仿宋_GB2312" w:cs="仿宋_GB2312"/>
          <w:color w:val="181717" w:themeColor="background2" w:themeShade="1A"/>
          <w:sz w:val="32"/>
          <w:szCs w:val="32"/>
          <w:lang w:val="zh-CN"/>
        </w:rPr>
        <w:t>公示信息。包括运营平台公示的所有信息截图；</w:t>
      </w:r>
    </w:p>
    <w:p w14:paraId="07BB82AA">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9.</w:t>
      </w:r>
      <w:r>
        <w:rPr>
          <w:rFonts w:hint="eastAsia" w:ascii="仿宋_GB2312" w:hAnsi="仿宋_GB2312" w:eastAsia="仿宋_GB2312" w:cs="仿宋_GB2312"/>
          <w:color w:val="181717" w:themeColor="background2" w:themeShade="1A"/>
          <w:sz w:val="32"/>
          <w:szCs w:val="32"/>
          <w:lang w:val="zh-CN"/>
        </w:rPr>
        <w:t>文明用车。包括建立用车奖惩等制度的佐证材料以及推送文明骑行、禁止骑行相关信息的截图等；</w:t>
      </w:r>
    </w:p>
    <w:p w14:paraId="78EB39B0">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10.</w:t>
      </w:r>
      <w:r>
        <w:rPr>
          <w:rFonts w:hint="eastAsia" w:ascii="仿宋_GB2312" w:hAnsi="仿宋_GB2312" w:eastAsia="仿宋_GB2312" w:cs="仿宋_GB2312"/>
          <w:color w:val="181717" w:themeColor="background2" w:themeShade="1A"/>
          <w:sz w:val="32"/>
          <w:szCs w:val="32"/>
          <w:lang w:val="zh-CN"/>
        </w:rPr>
        <w:t>服务热线受理。包括24小时值班记录等情况；</w:t>
      </w:r>
    </w:p>
    <w:p w14:paraId="00DBB95D">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11.</w:t>
      </w:r>
      <w:r>
        <w:rPr>
          <w:rFonts w:hint="eastAsia" w:ascii="仿宋_GB2312" w:hAnsi="仿宋_GB2312" w:eastAsia="仿宋_GB2312" w:cs="仿宋_GB2312"/>
          <w:color w:val="181717" w:themeColor="background2" w:themeShade="1A"/>
          <w:sz w:val="32"/>
          <w:szCs w:val="32"/>
          <w:lang w:val="zh-CN"/>
        </w:rPr>
        <w:t>公众投诉处理。包括投诉处理台账、投诉受理、处理记录、回复等情况；</w:t>
      </w:r>
    </w:p>
    <w:p w14:paraId="34BBA52C">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rPr>
        <w:t>12.</w:t>
      </w:r>
      <w:r>
        <w:rPr>
          <w:rFonts w:hint="eastAsia" w:ascii="仿宋_GB2312" w:hAnsi="仿宋_GB2312" w:eastAsia="仿宋_GB2312" w:cs="仿宋_GB2312"/>
          <w:color w:val="181717" w:themeColor="background2" w:themeShade="1A"/>
          <w:sz w:val="32"/>
          <w:szCs w:val="32"/>
          <w:lang w:val="zh-CN"/>
        </w:rPr>
        <w:t>加分项目。包括获得政府部门表彰（扬）、参加社会公益活动以及开展文明劝导活动等佐证材料。</w:t>
      </w:r>
    </w:p>
    <w:p w14:paraId="0E1ABE81">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（二）最终考核结果为考核小组认定的综合得分。</w:t>
      </w:r>
    </w:p>
    <w:p w14:paraId="65E060D7">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黑体" w:hAnsi="黑体" w:eastAsia="黑体" w:cs="黑体"/>
          <w:color w:val="181717" w:themeColor="background2" w:themeShade="1A"/>
          <w:sz w:val="32"/>
          <w:szCs w:val="32"/>
          <w:lang w:val="zh-CN"/>
        </w:rPr>
        <w:t>第十二条</w:t>
      </w:r>
      <w:r>
        <w:rPr>
          <w:rFonts w:hint="eastAsia" w:ascii="仿宋_GB2312" w:hAnsi="仿宋_GB2312" w:eastAsia="仿宋_GB2312" w:cs="仿宋_GB2312"/>
          <w:color w:val="181717" w:themeColor="background2" w:themeShade="1A"/>
          <w:sz w:val="32"/>
          <w:szCs w:val="32"/>
          <w:lang w:val="zh-CN"/>
        </w:rPr>
        <w:t xml:space="preserve">  初步考核结果在考核当年*月1日前书面通知被考核企业，</w:t>
      </w:r>
      <w:r>
        <w:rPr>
          <w:rFonts w:ascii="Times New Roman" w:hAnsi="Times New Roman" w:eastAsia="仿宋_GB2312"/>
          <w:color w:val="181717" w:themeColor="background2" w:themeShade="1A"/>
          <w:sz w:val="32"/>
          <w:szCs w:val="32"/>
        </w:rPr>
        <w:t>并在</w:t>
      </w:r>
      <w:r>
        <w:rPr>
          <w:rFonts w:hint="eastAsia" w:ascii="Times New Roman" w:hAnsi="Times New Roman" w:eastAsia="仿宋_GB2312"/>
          <w:color w:val="181717" w:themeColor="background2" w:themeShade="1A"/>
          <w:sz w:val="32"/>
          <w:szCs w:val="32"/>
        </w:rPr>
        <w:t>县</w:t>
      </w:r>
      <w:r>
        <w:rPr>
          <w:rFonts w:hint="eastAsia" w:ascii="仿宋_GB2312" w:eastAsia="仿宋_GB2312"/>
          <w:color w:val="181717" w:themeColor="background2" w:themeShade="1A"/>
          <w:sz w:val="32"/>
          <w:szCs w:val="32"/>
        </w:rPr>
        <w:t>人民政府</w:t>
      </w:r>
      <w:r>
        <w:rPr>
          <w:rFonts w:ascii="Times New Roman" w:hAnsi="Times New Roman" w:eastAsia="仿宋_GB2312"/>
          <w:color w:val="181717" w:themeColor="background2" w:themeShade="1A"/>
          <w:sz w:val="32"/>
          <w:szCs w:val="32"/>
        </w:rPr>
        <w:t>网站上进行为期</w:t>
      </w:r>
      <w:r>
        <w:rPr>
          <w:rFonts w:hint="eastAsia" w:ascii="仿宋_GB2312" w:hAnsi="Times New Roman" w:eastAsia="仿宋_GB2312"/>
          <w:color w:val="181717" w:themeColor="background2" w:themeShade="1A"/>
          <w:sz w:val="32"/>
          <w:szCs w:val="32"/>
        </w:rPr>
        <w:t>10</w:t>
      </w:r>
      <w:r>
        <w:rPr>
          <w:rFonts w:ascii="Times New Roman" w:hAnsi="Times New Roman" w:eastAsia="仿宋_GB2312"/>
          <w:color w:val="181717" w:themeColor="background2" w:themeShade="1A"/>
          <w:sz w:val="32"/>
          <w:szCs w:val="32"/>
        </w:rPr>
        <w:t>天公示</w:t>
      </w:r>
      <w:r>
        <w:rPr>
          <w:rFonts w:hint="eastAsia" w:ascii="Times New Roman" w:hAnsi="Times New Roman" w:eastAsia="仿宋_GB2312"/>
          <w:color w:val="181717" w:themeColor="background2" w:themeShade="1A"/>
          <w:sz w:val="32"/>
          <w:szCs w:val="32"/>
        </w:rPr>
        <w:t>，</w:t>
      </w:r>
      <w:r>
        <w:rPr>
          <w:rFonts w:hint="eastAsia" w:ascii="仿宋_GB2312" w:hAnsi="仿宋_GB2312" w:eastAsia="仿宋_GB2312" w:cs="仿宋_GB2312"/>
          <w:color w:val="181717" w:themeColor="background2" w:themeShade="1A"/>
          <w:sz w:val="32"/>
          <w:szCs w:val="32"/>
          <w:lang w:val="zh-CN"/>
        </w:rPr>
        <w:t>对初评结果有异议的，应在公示期内向考核小组反映。最终考核结果由县交通运输局、县公安局、县综合行政执法局联合向社会公布。</w:t>
      </w:r>
    </w:p>
    <w:p w14:paraId="0A5387D0">
      <w:pPr>
        <w:spacing w:line="600" w:lineRule="exact"/>
        <w:ind w:firstLine="2100" w:firstLineChars="1000"/>
        <w:rPr>
          <w:rFonts w:eastAsia="黑体"/>
          <w:color w:val="181717" w:themeColor="background2" w:themeShade="1A"/>
          <w:szCs w:val="32"/>
        </w:rPr>
      </w:pPr>
    </w:p>
    <w:p w14:paraId="5F5D33E7">
      <w:pPr>
        <w:spacing w:line="600" w:lineRule="exact"/>
        <w:ind w:firstLine="3200" w:firstLineChars="1000"/>
        <w:rPr>
          <w:rFonts w:eastAsia="黑体"/>
          <w:color w:val="181717" w:themeColor="background2" w:themeShade="1A"/>
          <w:sz w:val="32"/>
          <w:szCs w:val="32"/>
        </w:rPr>
      </w:pPr>
      <w:r>
        <w:rPr>
          <w:rFonts w:eastAsia="黑体"/>
          <w:color w:val="181717" w:themeColor="background2" w:themeShade="1A"/>
          <w:sz w:val="32"/>
          <w:szCs w:val="32"/>
        </w:rPr>
        <w:t>第四章 奖惩措施</w:t>
      </w:r>
    </w:p>
    <w:p w14:paraId="0A95602C">
      <w:pPr>
        <w:spacing w:line="600" w:lineRule="exact"/>
        <w:ind w:firstLine="422" w:firstLineChars="200"/>
        <w:rPr>
          <w:b/>
          <w:bCs/>
          <w:color w:val="181717" w:themeColor="background2" w:themeShade="1A"/>
          <w:szCs w:val="32"/>
        </w:rPr>
      </w:pPr>
    </w:p>
    <w:p w14:paraId="78E3EEEC">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黑体" w:hAnsi="黑体" w:eastAsia="黑体" w:cs="黑体"/>
          <w:color w:val="181717" w:themeColor="background2" w:themeShade="1A"/>
          <w:sz w:val="32"/>
          <w:szCs w:val="32"/>
          <w:lang w:val="zh-CN"/>
        </w:rPr>
        <w:t>第十三条</w:t>
      </w:r>
      <w:r>
        <w:rPr>
          <w:rFonts w:hint="eastAsia" w:ascii="仿宋_GB2312" w:hAnsi="仿宋_GB2312" w:eastAsia="仿宋_GB2312" w:cs="仿宋_GB2312"/>
          <w:color w:val="181717" w:themeColor="background2" w:themeShade="1A"/>
          <w:sz w:val="32"/>
          <w:szCs w:val="32"/>
          <w:lang w:val="zh-CN"/>
        </w:rPr>
        <w:t xml:space="preserve">  互联网租赁自行车服务质量信誉考核结果作为投放车辆动态调整的重要依据，并按下列规定执行:</w:t>
      </w:r>
    </w:p>
    <w:p w14:paraId="7235CA31">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（一）对服务质量信誉考核等级被评为AAA级的运营企业，可增加车辆投放配额；</w:t>
      </w:r>
    </w:p>
    <w:p w14:paraId="1FE6D136">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（二）服务质量信誉考核等级被评为AA级的运营企业，车辆投放配额不变；</w:t>
      </w:r>
    </w:p>
    <w:p w14:paraId="4F6FA720">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（三）对服务质量信誉考核等级被评为A级的运营企业,督促其加强内部管理，减少投放配额；</w:t>
      </w:r>
    </w:p>
    <w:p w14:paraId="64AE628E">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（四）对服务质量信誉考核等级被评为B级的运营企业，责令退出夹江县运营。</w:t>
      </w:r>
    </w:p>
    <w:p w14:paraId="503408D6">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黑体" w:hAnsi="黑体" w:eastAsia="黑体" w:cs="黑体"/>
          <w:color w:val="181717" w:themeColor="background2" w:themeShade="1A"/>
          <w:sz w:val="32"/>
          <w:szCs w:val="32"/>
          <w:lang w:val="zh-CN"/>
        </w:rPr>
        <w:t>第十四条</w:t>
      </w:r>
      <w:r>
        <w:rPr>
          <w:rFonts w:hint="eastAsia" w:ascii="仿宋_GB2312" w:hAnsi="仿宋_GB2312" w:eastAsia="仿宋_GB2312" w:cs="仿宋_GB2312"/>
          <w:color w:val="181717" w:themeColor="background2" w:themeShade="1A"/>
          <w:sz w:val="32"/>
          <w:szCs w:val="32"/>
          <w:lang w:val="zh-CN"/>
        </w:rPr>
        <w:t xml:space="preserve">  A级扣减的投放配额或B级取消运营资格收回的投放配额，由县交通运输局、县公安局、县综合行政执法局依据考核结果重新分配，运营期限不变。</w:t>
      </w:r>
    </w:p>
    <w:p w14:paraId="33044D79">
      <w:pPr>
        <w:spacing w:line="600" w:lineRule="exact"/>
        <w:ind w:firstLine="640" w:firstLineChars="200"/>
        <w:rPr>
          <w:rFonts w:ascii="仿宋_GB2312" w:hAnsi="仿宋_GB2312" w:eastAsia="仿宋_GB2312" w:cs="仿宋_GB2312"/>
          <w:color w:val="181717" w:themeColor="background2" w:themeShade="1A"/>
          <w:sz w:val="32"/>
          <w:szCs w:val="32"/>
          <w:lang w:val="zh-CN"/>
        </w:rPr>
      </w:pPr>
    </w:p>
    <w:p w14:paraId="12198225">
      <w:pPr>
        <w:spacing w:line="600" w:lineRule="exact"/>
        <w:ind w:firstLine="640" w:firstLineChars="200"/>
        <w:jc w:val="center"/>
        <w:rPr>
          <w:rFonts w:ascii="黑体" w:hAnsi="黑体" w:eastAsia="黑体" w:cs="黑体"/>
          <w:color w:val="181717" w:themeColor="background2" w:themeShade="1A"/>
          <w:sz w:val="32"/>
          <w:szCs w:val="32"/>
          <w:lang w:val="zh-CN"/>
        </w:rPr>
      </w:pPr>
      <w:r>
        <w:rPr>
          <w:rFonts w:hint="eastAsia" w:ascii="黑体" w:hAnsi="黑体" w:eastAsia="黑体" w:cs="黑体"/>
          <w:color w:val="181717" w:themeColor="background2" w:themeShade="1A"/>
          <w:sz w:val="32"/>
          <w:szCs w:val="32"/>
          <w:lang w:val="zh-CN"/>
        </w:rPr>
        <w:t>第五章 附则</w:t>
      </w:r>
    </w:p>
    <w:p w14:paraId="26C534C7">
      <w:pPr>
        <w:spacing w:line="600" w:lineRule="exact"/>
        <w:rPr>
          <w:rFonts w:eastAsia="黑体"/>
          <w:b/>
          <w:bCs/>
          <w:color w:val="181717" w:themeColor="background2" w:themeShade="1A"/>
          <w:szCs w:val="32"/>
        </w:rPr>
      </w:pPr>
    </w:p>
    <w:p w14:paraId="476BA754">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黑体" w:hAnsi="黑体" w:eastAsia="黑体" w:cs="黑体"/>
          <w:color w:val="181717" w:themeColor="background2" w:themeShade="1A"/>
          <w:sz w:val="32"/>
          <w:szCs w:val="32"/>
          <w:lang w:val="zh-CN"/>
        </w:rPr>
        <w:t xml:space="preserve">第十五条 </w:t>
      </w:r>
      <w:r>
        <w:rPr>
          <w:rFonts w:hint="eastAsia" w:ascii="仿宋_GB2312" w:hAnsi="仿宋_GB2312" w:eastAsia="仿宋_GB2312" w:cs="仿宋_GB2312"/>
          <w:color w:val="181717" w:themeColor="background2" w:themeShade="1A"/>
          <w:sz w:val="32"/>
          <w:szCs w:val="32"/>
          <w:lang w:val="zh-CN"/>
        </w:rPr>
        <w:t xml:space="preserve"> 本办法适用于夹江县，由县交通运输局、县公安局、县综合行政执法局制定和解释。</w:t>
      </w:r>
    </w:p>
    <w:p w14:paraId="4D10033B">
      <w:pPr>
        <w:spacing w:line="600" w:lineRule="exact"/>
        <w:ind w:firstLine="640" w:firstLineChars="200"/>
        <w:rPr>
          <w:rFonts w:ascii="仿宋_GB2312" w:hAnsi="仿宋_GB2312" w:eastAsia="仿宋_GB2312" w:cs="仿宋_GB2312"/>
          <w:color w:val="181717" w:themeColor="background2" w:themeShade="1A"/>
          <w:sz w:val="32"/>
          <w:szCs w:val="32"/>
          <w:lang w:val="zh-CN"/>
        </w:rPr>
      </w:pPr>
      <w:r>
        <w:rPr>
          <w:rFonts w:hint="eastAsia" w:ascii="黑体" w:hAnsi="黑体" w:eastAsia="黑体" w:cs="黑体"/>
          <w:color w:val="181717" w:themeColor="background2" w:themeShade="1A"/>
          <w:sz w:val="32"/>
          <w:szCs w:val="32"/>
          <w:lang w:val="zh-CN"/>
        </w:rPr>
        <w:t>第十六条</w:t>
      </w:r>
      <w:r>
        <w:rPr>
          <w:rFonts w:hint="eastAsia" w:ascii="仿宋_GB2312" w:hAnsi="仿宋_GB2312" w:eastAsia="仿宋_GB2312" w:cs="仿宋_GB2312"/>
          <w:color w:val="181717" w:themeColor="background2" w:themeShade="1A"/>
          <w:sz w:val="32"/>
          <w:szCs w:val="32"/>
          <w:lang w:val="zh-CN"/>
        </w:rPr>
        <w:t xml:space="preserve">  本办法自2025年  月  日起试行，试行期</w:t>
      </w:r>
      <w:r>
        <w:rPr>
          <w:rFonts w:hint="eastAsia" w:ascii="仿宋_GB2312" w:eastAsia="仿宋_GB2312" w:cs="仿宋_GB2312" w:hAnsiTheme="minorHAnsi"/>
          <w:color w:val="181717" w:themeColor="background2" w:themeShade="1A"/>
          <w:sz w:val="32"/>
          <w:szCs w:val="32"/>
        </w:rPr>
        <w:t>3</w:t>
      </w:r>
      <w:r>
        <w:rPr>
          <w:rFonts w:hint="eastAsia" w:ascii="仿宋_GB2312" w:hAnsi="仿宋_GB2312" w:eastAsia="仿宋_GB2312" w:cs="仿宋_GB2312"/>
          <w:color w:val="181717" w:themeColor="background2" w:themeShade="1A"/>
          <w:sz w:val="32"/>
          <w:szCs w:val="32"/>
          <w:lang w:val="zh-CN"/>
        </w:rPr>
        <w:t>年。</w:t>
      </w:r>
    </w:p>
    <w:p w14:paraId="6ADCCE02">
      <w:pPr>
        <w:spacing w:line="600" w:lineRule="exact"/>
        <w:ind w:left="1438" w:leftChars="304" w:hanging="800" w:hangingChars="250"/>
        <w:rPr>
          <w:rFonts w:ascii="仿宋_GB2312" w:hAnsi="仿宋_GB2312" w:eastAsia="仿宋_GB2312" w:cs="仿宋_GB2312"/>
          <w:color w:val="181717" w:themeColor="background2" w:themeShade="1A"/>
          <w:sz w:val="32"/>
          <w:szCs w:val="32"/>
          <w:lang w:val="zh-CN"/>
        </w:rPr>
      </w:pPr>
      <w:r>
        <w:rPr>
          <w:rFonts w:hint="eastAsia" w:ascii="仿宋_GB2312" w:hAnsi="仿宋_GB2312" w:eastAsia="仿宋_GB2312" w:cs="仿宋_GB2312"/>
          <w:color w:val="181717" w:themeColor="background2" w:themeShade="1A"/>
          <w:sz w:val="32"/>
          <w:szCs w:val="32"/>
          <w:lang w:val="zh-CN"/>
        </w:rPr>
        <w:t>附件：夹江县互联网租赁自行车服务质量信誉考核标准及评分细则</w:t>
      </w:r>
    </w:p>
    <w:p w14:paraId="6D90B294">
      <w:pPr>
        <w:spacing w:line="600" w:lineRule="exact"/>
        <w:ind w:firstLine="640" w:firstLineChars="200"/>
        <w:rPr>
          <w:rFonts w:ascii="仿宋_GB2312" w:hAnsi="仿宋_GB2312" w:eastAsia="仿宋_GB2312" w:cs="仿宋_GB2312"/>
          <w:color w:val="181717" w:themeColor="background2" w:themeShade="1A"/>
          <w:sz w:val="32"/>
          <w:szCs w:val="32"/>
          <w:lang w:val="zh-CN"/>
        </w:rPr>
        <w:sectPr>
          <w:footerReference r:id="rId3" w:type="default"/>
          <w:pgSz w:w="11906" w:h="16838"/>
          <w:pgMar w:top="2098" w:right="1474" w:bottom="1984" w:left="1587" w:header="851" w:footer="992" w:gutter="0"/>
          <w:cols w:space="720" w:num="1"/>
          <w:docGrid w:type="lines" w:linePitch="312" w:charSpace="0"/>
        </w:sectPr>
      </w:pPr>
    </w:p>
    <w:tbl>
      <w:tblPr>
        <w:tblStyle w:val="4"/>
        <w:tblW w:w="14289" w:type="dxa"/>
        <w:tblInd w:w="0" w:type="dxa"/>
        <w:tblLayout w:type="fixed"/>
        <w:tblCellMar>
          <w:top w:w="0" w:type="dxa"/>
          <w:left w:w="0" w:type="dxa"/>
          <w:bottom w:w="0" w:type="dxa"/>
          <w:right w:w="0" w:type="dxa"/>
        </w:tblCellMar>
      </w:tblPr>
      <w:tblGrid>
        <w:gridCol w:w="990"/>
        <w:gridCol w:w="1600"/>
        <w:gridCol w:w="1166"/>
        <w:gridCol w:w="7300"/>
        <w:gridCol w:w="3233"/>
      </w:tblGrid>
      <w:tr w14:paraId="6F17B6A7">
        <w:tblPrEx>
          <w:tblCellMar>
            <w:top w:w="0" w:type="dxa"/>
            <w:left w:w="0" w:type="dxa"/>
            <w:bottom w:w="0" w:type="dxa"/>
            <w:right w:w="0" w:type="dxa"/>
          </w:tblCellMar>
        </w:tblPrEx>
        <w:trPr>
          <w:trHeight w:val="520" w:hRule="atLeast"/>
        </w:trPr>
        <w:tc>
          <w:tcPr>
            <w:tcW w:w="14289" w:type="dxa"/>
            <w:gridSpan w:val="5"/>
            <w:tcBorders>
              <w:top w:val="nil"/>
              <w:left w:val="nil"/>
              <w:bottom w:val="nil"/>
              <w:right w:val="nil"/>
            </w:tcBorders>
            <w:noWrap/>
            <w:tcMar>
              <w:top w:w="15" w:type="dxa"/>
              <w:left w:w="15" w:type="dxa"/>
              <w:right w:w="15" w:type="dxa"/>
            </w:tcMar>
            <w:vAlign w:val="center"/>
          </w:tcPr>
          <w:p w14:paraId="562F7B36">
            <w:pPr>
              <w:widowControl/>
              <w:spacing w:line="600" w:lineRule="exact"/>
              <w:textAlignment w:val="center"/>
              <w:rPr>
                <w:rFonts w:ascii="微软雅黑" w:hAnsi="微软雅黑" w:eastAsia="微软雅黑" w:cs="微软雅黑"/>
                <w:color w:val="181717" w:themeColor="background2" w:themeShade="1A"/>
                <w:kern w:val="0"/>
                <w:sz w:val="32"/>
                <w:szCs w:val="32"/>
              </w:rPr>
            </w:pPr>
            <w:r>
              <w:rPr>
                <w:rFonts w:hint="eastAsia" w:ascii="黑体" w:hAnsi="黑体" w:eastAsia="黑体" w:cs="黑体"/>
                <w:color w:val="181717" w:themeColor="background2" w:themeShade="1A"/>
                <w:kern w:val="0"/>
                <w:sz w:val="32"/>
                <w:szCs w:val="32"/>
              </w:rPr>
              <w:t>附件</w:t>
            </w:r>
          </w:p>
          <w:p w14:paraId="59BD009C">
            <w:pPr>
              <w:widowControl/>
              <w:spacing w:line="600" w:lineRule="exact"/>
              <w:jc w:val="center"/>
              <w:textAlignment w:val="center"/>
              <w:rPr>
                <w:rFonts w:ascii="微软雅黑" w:hAnsi="微软雅黑" w:eastAsia="微软雅黑" w:cs="微软雅黑"/>
                <w:color w:val="181717" w:themeColor="background2" w:themeShade="1A"/>
                <w:sz w:val="32"/>
                <w:szCs w:val="32"/>
              </w:rPr>
            </w:pPr>
            <w:r>
              <w:rPr>
                <w:rFonts w:hint="eastAsia" w:ascii="微软雅黑" w:hAnsi="微软雅黑" w:eastAsia="微软雅黑" w:cs="微软雅黑"/>
                <w:color w:val="181717" w:themeColor="background2" w:themeShade="1A"/>
                <w:kern w:val="0"/>
                <w:sz w:val="44"/>
                <w:szCs w:val="44"/>
              </w:rPr>
              <w:t>夹江县互联网租赁自行车服务质量信誉考核标准及评分细则</w:t>
            </w:r>
          </w:p>
        </w:tc>
      </w:tr>
      <w:tr w14:paraId="58B8F528">
        <w:tblPrEx>
          <w:tblCellMar>
            <w:top w:w="0" w:type="dxa"/>
            <w:left w:w="0" w:type="dxa"/>
            <w:bottom w:w="0" w:type="dxa"/>
            <w:right w:w="0" w:type="dxa"/>
          </w:tblCellMar>
        </w:tblPrEx>
        <w:trPr>
          <w:trHeight w:val="440" w:hRule="atLeast"/>
        </w:trPr>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1B84B">
            <w:pPr>
              <w:widowControl/>
              <w:spacing w:line="600" w:lineRule="exact"/>
              <w:jc w:val="center"/>
              <w:textAlignment w:val="center"/>
              <w:rPr>
                <w:rFonts w:ascii="黑体" w:hAnsi="宋体" w:eastAsia="黑体" w:cs="黑体"/>
                <w:color w:val="181717" w:themeColor="background2" w:themeShade="1A"/>
                <w:sz w:val="32"/>
                <w:szCs w:val="32"/>
              </w:rPr>
            </w:pPr>
            <w:r>
              <w:rPr>
                <w:rFonts w:hint="eastAsia" w:ascii="黑体" w:hAnsi="宋体" w:eastAsia="黑体" w:cs="黑体"/>
                <w:color w:val="181717" w:themeColor="background2" w:themeShade="1A"/>
                <w:kern w:val="0"/>
                <w:sz w:val="32"/>
                <w:szCs w:val="32"/>
              </w:rPr>
              <w:t>一级指标</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D8F3D">
            <w:pPr>
              <w:widowControl/>
              <w:spacing w:line="600" w:lineRule="exact"/>
              <w:jc w:val="center"/>
              <w:textAlignment w:val="center"/>
              <w:rPr>
                <w:rFonts w:ascii="黑体" w:hAnsi="宋体" w:eastAsia="黑体" w:cs="黑体"/>
                <w:color w:val="181717" w:themeColor="background2" w:themeShade="1A"/>
                <w:sz w:val="32"/>
                <w:szCs w:val="32"/>
              </w:rPr>
            </w:pPr>
            <w:r>
              <w:rPr>
                <w:rFonts w:hint="eastAsia" w:ascii="黑体" w:hAnsi="宋体" w:eastAsia="黑体" w:cs="黑体"/>
                <w:color w:val="181717" w:themeColor="background2" w:themeShade="1A"/>
                <w:kern w:val="0"/>
                <w:sz w:val="32"/>
                <w:szCs w:val="32"/>
              </w:rPr>
              <w:t>二级指标</w:t>
            </w:r>
          </w:p>
        </w:tc>
        <w:tc>
          <w:tcPr>
            <w:tcW w:w="1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54668">
            <w:pPr>
              <w:widowControl/>
              <w:spacing w:line="600" w:lineRule="exact"/>
              <w:jc w:val="center"/>
              <w:textAlignment w:val="center"/>
              <w:rPr>
                <w:rFonts w:ascii="黑体" w:hAnsi="宋体" w:eastAsia="黑体" w:cs="黑体"/>
                <w:color w:val="181717" w:themeColor="background2" w:themeShade="1A"/>
                <w:sz w:val="32"/>
                <w:szCs w:val="32"/>
              </w:rPr>
            </w:pPr>
            <w:r>
              <w:rPr>
                <w:rFonts w:hint="eastAsia" w:ascii="黑体" w:hAnsi="宋体" w:eastAsia="黑体" w:cs="黑体"/>
                <w:color w:val="181717" w:themeColor="background2" w:themeShade="1A"/>
                <w:kern w:val="0"/>
                <w:sz w:val="32"/>
                <w:szCs w:val="32"/>
              </w:rPr>
              <w:t>三级指标</w:t>
            </w:r>
          </w:p>
        </w:tc>
        <w:tc>
          <w:tcPr>
            <w:tcW w:w="7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EB12D">
            <w:pPr>
              <w:widowControl/>
              <w:spacing w:line="600" w:lineRule="exact"/>
              <w:jc w:val="center"/>
              <w:textAlignment w:val="center"/>
              <w:rPr>
                <w:rFonts w:ascii="黑体" w:hAnsi="宋体" w:eastAsia="黑体" w:cs="黑体"/>
                <w:color w:val="181717" w:themeColor="background2" w:themeShade="1A"/>
                <w:sz w:val="32"/>
                <w:szCs w:val="32"/>
              </w:rPr>
            </w:pPr>
            <w:r>
              <w:rPr>
                <w:rFonts w:hint="eastAsia" w:ascii="黑体" w:hAnsi="宋体" w:eastAsia="黑体" w:cs="黑体"/>
                <w:color w:val="181717" w:themeColor="background2" w:themeShade="1A"/>
                <w:kern w:val="0"/>
                <w:sz w:val="32"/>
                <w:szCs w:val="32"/>
              </w:rPr>
              <w:t>考评内容</w:t>
            </w:r>
          </w:p>
        </w:tc>
        <w:tc>
          <w:tcPr>
            <w:tcW w:w="3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68817">
            <w:pPr>
              <w:widowControl/>
              <w:spacing w:line="600" w:lineRule="exact"/>
              <w:jc w:val="center"/>
              <w:textAlignment w:val="center"/>
              <w:rPr>
                <w:rFonts w:ascii="黑体" w:hAnsi="宋体" w:eastAsia="黑体" w:cs="黑体"/>
                <w:color w:val="181717" w:themeColor="background2" w:themeShade="1A"/>
                <w:sz w:val="32"/>
                <w:szCs w:val="32"/>
              </w:rPr>
            </w:pPr>
            <w:r>
              <w:rPr>
                <w:rFonts w:hint="eastAsia" w:ascii="黑体" w:hAnsi="宋体" w:eastAsia="黑体" w:cs="黑体"/>
                <w:color w:val="181717" w:themeColor="background2" w:themeShade="1A"/>
                <w:kern w:val="0"/>
                <w:sz w:val="32"/>
                <w:szCs w:val="32"/>
              </w:rPr>
              <w:t>扣（加）分标准</w:t>
            </w:r>
          </w:p>
        </w:tc>
      </w:tr>
      <w:tr w14:paraId="044EE3E4">
        <w:tblPrEx>
          <w:tblCellMar>
            <w:top w:w="0" w:type="dxa"/>
            <w:left w:w="0" w:type="dxa"/>
            <w:bottom w:w="0" w:type="dxa"/>
            <w:right w:w="0" w:type="dxa"/>
          </w:tblCellMar>
        </w:tblPrEx>
        <w:trPr>
          <w:trHeight w:val="1580" w:hRule="atLeast"/>
        </w:trPr>
        <w:tc>
          <w:tcPr>
            <w:tcW w:w="9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C035D">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企业管理（300分）</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6FDCF">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制度建设（20分）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58EDD">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建立安全措施与紧急情况处置制度、管理和运维人员管理制度、服务质量保障制度、自行车车辆运行维护制度、自行车车辆停放秩序管理制度、日常工作、重大事件的影像存档制度、用户信用评价制度、内部财务管理制度、网络及信息安全管理、故障车辆回收管理制度、服务纠纷及投诉处理制度等。</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55DE4">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企业按质提供相关资料，未提供或出现不达标的情况一项扣5分，扣完本项分值为止。</w:t>
            </w:r>
          </w:p>
        </w:tc>
      </w:tr>
      <w:tr w14:paraId="78B6C539">
        <w:tblPrEx>
          <w:tblCellMar>
            <w:top w:w="0" w:type="dxa"/>
            <w:left w:w="0" w:type="dxa"/>
            <w:bottom w:w="0" w:type="dxa"/>
            <w:right w:w="0" w:type="dxa"/>
          </w:tblCellMar>
        </w:tblPrEx>
        <w:trPr>
          <w:trHeight w:val="1625" w:hRule="atLeast"/>
        </w:trPr>
        <w:tc>
          <w:tcPr>
            <w:tcW w:w="9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EFF0A">
            <w:pPr>
              <w:spacing w:line="600" w:lineRule="exact"/>
              <w:jc w:val="center"/>
              <w:rPr>
                <w:rFonts w:ascii="宋体" w:hAnsi="宋体" w:cs="宋体"/>
                <w:color w:val="181717" w:themeColor="background2" w:themeShade="1A"/>
                <w:sz w:val="22"/>
                <w:szCs w:val="22"/>
              </w:rPr>
            </w:pPr>
          </w:p>
        </w:tc>
        <w:tc>
          <w:tcPr>
            <w:tcW w:w="1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57D24">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人员管理（60分）</w:t>
            </w:r>
          </w:p>
        </w:tc>
        <w:tc>
          <w:tcPr>
            <w:tcW w:w="1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E1B27">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配置要求（40分）</w:t>
            </w:r>
          </w:p>
        </w:tc>
        <w:tc>
          <w:tcPr>
            <w:tcW w:w="7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43BE8">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配置运营、车技、安全等管理人员及信息系统维护、服务热线及服务质量投诉受理等专职工作人员，并按照互联网租赁自行车和运维人员≤200:1的比例配置车辆运维人员。</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CFCB1">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企业按质提供相关资料，未提供或出现不达标的情况一项扣5分，扣完本项分值为止。</w:t>
            </w:r>
          </w:p>
        </w:tc>
      </w:tr>
      <w:tr w14:paraId="3B27FF6E">
        <w:tblPrEx>
          <w:tblCellMar>
            <w:top w:w="0" w:type="dxa"/>
            <w:left w:w="0" w:type="dxa"/>
            <w:bottom w:w="0" w:type="dxa"/>
            <w:right w:w="0" w:type="dxa"/>
          </w:tblCellMar>
        </w:tblPrEx>
        <w:trPr>
          <w:trHeight w:val="2048" w:hRule="atLeast"/>
        </w:trPr>
        <w:tc>
          <w:tcPr>
            <w:tcW w:w="9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FB0CD">
            <w:pPr>
              <w:spacing w:line="600" w:lineRule="exact"/>
              <w:jc w:val="center"/>
              <w:rPr>
                <w:rFonts w:ascii="宋体" w:hAnsi="宋体" w:cs="宋体"/>
                <w:color w:val="181717" w:themeColor="background2" w:themeShade="1A"/>
                <w:sz w:val="22"/>
                <w:szCs w:val="22"/>
              </w:rPr>
            </w:pPr>
          </w:p>
        </w:tc>
        <w:tc>
          <w:tcPr>
            <w:tcW w:w="1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20E29">
            <w:pPr>
              <w:spacing w:line="600" w:lineRule="exact"/>
              <w:jc w:val="center"/>
              <w:rPr>
                <w:rFonts w:ascii="宋体" w:hAnsi="宋体" w:cs="宋体"/>
                <w:color w:val="181717" w:themeColor="background2" w:themeShade="1A"/>
                <w:sz w:val="22"/>
                <w:szCs w:val="22"/>
              </w:rPr>
            </w:pPr>
          </w:p>
        </w:tc>
        <w:tc>
          <w:tcPr>
            <w:tcW w:w="1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9DDA8">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管理要求（20分）</w:t>
            </w:r>
          </w:p>
        </w:tc>
        <w:tc>
          <w:tcPr>
            <w:tcW w:w="7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46C34">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着装统一，文明服务，礼貌用语。</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EBED5">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未达到要求每发现一起扣2分，扣完本项分值为止。</w:t>
            </w:r>
          </w:p>
        </w:tc>
      </w:tr>
      <w:tr w14:paraId="42DBB7A8">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85D68">
            <w:pPr>
              <w:spacing w:line="600" w:lineRule="exact"/>
              <w:jc w:val="center"/>
              <w:rPr>
                <w:rFonts w:ascii="宋体" w:hAnsi="宋体" w:cs="宋体"/>
                <w:color w:val="181717" w:themeColor="background2" w:themeShade="1A"/>
                <w:sz w:val="22"/>
                <w:szCs w:val="22"/>
              </w:rPr>
            </w:pPr>
          </w:p>
        </w:tc>
        <w:tc>
          <w:tcPr>
            <w:tcW w:w="160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73E77C">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运营车辆管理(60分）</w:t>
            </w:r>
          </w:p>
        </w:tc>
        <w:tc>
          <w:tcPr>
            <w:tcW w:w="1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DE031">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车辆要求（30分）</w:t>
            </w:r>
          </w:p>
        </w:tc>
        <w:tc>
          <w:tcPr>
            <w:tcW w:w="7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D69CD">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sz w:val="22"/>
                <w:szCs w:val="22"/>
              </w:rPr>
              <w:t>车辆型号、外观、性能符合国家行业标准以及主管部门要求。</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6A37F">
            <w:pPr>
              <w:spacing w:line="600" w:lineRule="exact"/>
              <w:rPr>
                <w:rFonts w:ascii="宋体" w:hAnsi="宋体" w:cs="宋体"/>
                <w:color w:val="181717" w:themeColor="background2" w:themeShade="1A"/>
                <w:sz w:val="22"/>
                <w:szCs w:val="22"/>
              </w:rPr>
            </w:pPr>
            <w:r>
              <w:rPr>
                <w:rFonts w:hint="eastAsia" w:ascii="宋体" w:hAnsi="宋体" w:cs="宋体"/>
                <w:color w:val="181717" w:themeColor="background2" w:themeShade="1A"/>
                <w:sz w:val="22"/>
                <w:szCs w:val="22"/>
              </w:rPr>
              <w:t>发现一起不符合要求扣5分，</w:t>
            </w:r>
            <w:r>
              <w:rPr>
                <w:rFonts w:hint="eastAsia" w:ascii="宋体" w:hAnsi="宋体" w:cs="宋体"/>
                <w:color w:val="181717" w:themeColor="background2" w:themeShade="1A"/>
                <w:kern w:val="0"/>
                <w:sz w:val="22"/>
                <w:szCs w:val="22"/>
              </w:rPr>
              <w:t>扣完本项分值为止。</w:t>
            </w:r>
          </w:p>
        </w:tc>
      </w:tr>
      <w:tr w14:paraId="090BCC98">
        <w:tblPrEx>
          <w:tblCellMar>
            <w:top w:w="0" w:type="dxa"/>
            <w:left w:w="0" w:type="dxa"/>
            <w:bottom w:w="0" w:type="dxa"/>
            <w:right w:w="0" w:type="dxa"/>
          </w:tblCellMar>
        </w:tblPrEx>
        <w:trPr>
          <w:trHeight w:val="660" w:hRule="atLeast"/>
        </w:trPr>
        <w:tc>
          <w:tcPr>
            <w:tcW w:w="9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DFD41">
            <w:pPr>
              <w:spacing w:line="600" w:lineRule="exact"/>
              <w:jc w:val="center"/>
              <w:rPr>
                <w:rFonts w:ascii="宋体" w:hAnsi="宋体" w:cs="宋体"/>
                <w:color w:val="181717" w:themeColor="background2" w:themeShade="1A"/>
                <w:sz w:val="22"/>
                <w:szCs w:val="22"/>
              </w:rPr>
            </w:pPr>
          </w:p>
        </w:tc>
        <w:tc>
          <w:tcPr>
            <w:tcW w:w="1600" w:type="dxa"/>
            <w:vMerge w:val="continue"/>
            <w:tcBorders>
              <w:top w:val="nil"/>
              <w:left w:val="single" w:color="000000" w:sz="4" w:space="0"/>
              <w:bottom w:val="single" w:color="auto" w:sz="4" w:space="0"/>
              <w:right w:val="single" w:color="000000" w:sz="4" w:space="0"/>
            </w:tcBorders>
            <w:tcMar>
              <w:top w:w="15" w:type="dxa"/>
              <w:left w:w="15" w:type="dxa"/>
              <w:right w:w="15" w:type="dxa"/>
            </w:tcMar>
            <w:vAlign w:val="center"/>
          </w:tcPr>
          <w:p w14:paraId="3D0B65E5">
            <w:pPr>
              <w:spacing w:line="600" w:lineRule="exact"/>
              <w:jc w:val="center"/>
              <w:rPr>
                <w:rFonts w:ascii="宋体" w:hAnsi="宋体" w:cs="宋体"/>
                <w:color w:val="181717" w:themeColor="background2" w:themeShade="1A"/>
                <w:sz w:val="22"/>
                <w:szCs w:val="22"/>
              </w:rPr>
            </w:pPr>
          </w:p>
        </w:tc>
        <w:tc>
          <w:tcPr>
            <w:tcW w:w="1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AA093">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号牌管理（30分）</w:t>
            </w:r>
          </w:p>
        </w:tc>
        <w:tc>
          <w:tcPr>
            <w:tcW w:w="7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CA208">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按要求上牌运营。</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AAC84">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发现一起未上牌运营的扣5分，扣完本项分值为止。</w:t>
            </w:r>
          </w:p>
        </w:tc>
      </w:tr>
      <w:tr w14:paraId="0D5B067B">
        <w:tblPrEx>
          <w:tblCellMar>
            <w:top w:w="0" w:type="dxa"/>
            <w:left w:w="0" w:type="dxa"/>
            <w:bottom w:w="0" w:type="dxa"/>
            <w:right w:w="0" w:type="dxa"/>
          </w:tblCellMar>
        </w:tblPrEx>
        <w:trPr>
          <w:trHeight w:val="1340" w:hRule="atLeast"/>
        </w:trPr>
        <w:tc>
          <w:tcPr>
            <w:tcW w:w="99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B227974">
            <w:pPr>
              <w:spacing w:line="600" w:lineRule="exact"/>
              <w:jc w:val="center"/>
              <w:rPr>
                <w:rFonts w:ascii="宋体" w:hAnsi="宋体" w:cs="宋体"/>
                <w:color w:val="181717" w:themeColor="background2" w:themeShade="1A"/>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EAA29C">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设施设备管理（40分）</w:t>
            </w:r>
          </w:p>
        </w:tc>
        <w:tc>
          <w:tcPr>
            <w:tcW w:w="11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1F4FDD9">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调运车辆要求（20分）</w:t>
            </w:r>
          </w:p>
        </w:tc>
        <w:tc>
          <w:tcPr>
            <w:tcW w:w="7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2246D">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调运车辆原则上使用新能源货运车辆；调运车辆车身统一涂装互联网租赁自行车企业标识、服务热线和投诉监督电话（公司服务热线和心连心投诉电话）；调运车辆只能用于互联网租赁自行车调度，不得从事其他物流运输。</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E84EF">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未达到要求每发现一起扣5分，扣完本项分值为止。</w:t>
            </w:r>
          </w:p>
        </w:tc>
      </w:tr>
      <w:tr w14:paraId="53D26065">
        <w:tblPrEx>
          <w:tblCellMar>
            <w:top w:w="0" w:type="dxa"/>
            <w:left w:w="0" w:type="dxa"/>
            <w:bottom w:w="0" w:type="dxa"/>
            <w:right w:w="0" w:type="dxa"/>
          </w:tblCellMar>
        </w:tblPrEx>
        <w:trPr>
          <w:trHeight w:val="1420" w:hRule="atLeast"/>
        </w:trPr>
        <w:tc>
          <w:tcPr>
            <w:tcW w:w="99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FD45DC1">
            <w:pPr>
              <w:spacing w:line="600" w:lineRule="exact"/>
              <w:jc w:val="center"/>
              <w:rPr>
                <w:rFonts w:ascii="宋体" w:hAnsi="宋体" w:cs="宋体"/>
                <w:color w:val="181717" w:themeColor="background2" w:themeShade="1A"/>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47FBCB">
            <w:pPr>
              <w:spacing w:line="600" w:lineRule="exact"/>
              <w:jc w:val="center"/>
              <w:rPr>
                <w:rFonts w:ascii="宋体" w:hAnsi="宋体" w:cs="宋体"/>
                <w:color w:val="181717" w:themeColor="background2" w:themeShade="1A"/>
                <w:sz w:val="22"/>
                <w:szCs w:val="22"/>
              </w:rPr>
            </w:pPr>
          </w:p>
        </w:tc>
        <w:tc>
          <w:tcPr>
            <w:tcW w:w="11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F0B8967">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维保场所建设（20分）</w:t>
            </w:r>
          </w:p>
        </w:tc>
        <w:tc>
          <w:tcPr>
            <w:tcW w:w="7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9303D">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配备与投放规模相匹配的维修保养场所（应包括充电区、入库坏车区、维修区、报废区、质检区、洗车区、待出库区、配件堆放区、运输车辆通道等区域或功能）以及停放容量不少于投放量三分之一的车辆周转停放库房（场地），确保车辆能及时进行维修保养。</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CB1E7">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企业提供维保场地租赁证明场、施工图纸及场地图片等。未提供或未达到要求每每一项扣5分，扣完本项分值为止。</w:t>
            </w:r>
          </w:p>
        </w:tc>
      </w:tr>
      <w:tr w14:paraId="4936EC4B">
        <w:tblPrEx>
          <w:tblCellMar>
            <w:top w:w="0" w:type="dxa"/>
            <w:left w:w="0" w:type="dxa"/>
            <w:bottom w:w="0" w:type="dxa"/>
            <w:right w:w="0" w:type="dxa"/>
          </w:tblCellMar>
        </w:tblPrEx>
        <w:trPr>
          <w:trHeight w:val="1470" w:hRule="atLeast"/>
        </w:trPr>
        <w:tc>
          <w:tcPr>
            <w:tcW w:w="9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821E6">
            <w:pPr>
              <w:spacing w:line="600" w:lineRule="exact"/>
              <w:jc w:val="center"/>
              <w:rPr>
                <w:rFonts w:ascii="宋体" w:hAnsi="宋体" w:cs="宋体"/>
                <w:color w:val="181717" w:themeColor="background2" w:themeShade="1A"/>
                <w:sz w:val="22"/>
                <w:szCs w:val="22"/>
              </w:rPr>
            </w:pPr>
          </w:p>
        </w:tc>
        <w:tc>
          <w:tcPr>
            <w:tcW w:w="160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0077072">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智能化运营平台建设（40分）</w:t>
            </w:r>
          </w:p>
        </w:tc>
        <w:tc>
          <w:tcPr>
            <w:tcW w:w="1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2EADF">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运营平台建设（20分）</w:t>
            </w:r>
          </w:p>
        </w:tc>
        <w:tc>
          <w:tcPr>
            <w:tcW w:w="7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3A792">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具备识别用户注册身份证号码和姓名，判断用户是否满足租车条件的功能；具备用户信用信息数据存储与分析功能；具备对车辆总数、车辆唯一编码、车辆投放日期等静态数据管理功能；具备实时监测车辆运行状态的功能，包括车辆位置、行驶状态、被预约、空闲、故障等；能实时准确掌握车辆需求信息和违规停放信息，提醒运维人员对车辆进行调度、处置；租赁订单完成后，平台能实时根据订单里程或时长计算出订单应付金额和实付金额，并发送至用户客户端通知用户；具备大数据分析功能，包括分析停放区设置需求和停放区车辆规模预测等；具备通过电子地图管理和展示自行车停放区、禁停区、禁骑区的功能，且能对停放在自行车禁停区、禁骑区的车辆进行预警、报警及控制；具备平台历史发布信息、注册信息、身份认证信息、订单日志、网上交易日志、行驶轨迹日志等数据查询、统计、分析的功能。</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42DE1">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企业提供运营平台具备相应功能的佐证材料。未提供或未达到要求每每一项扣5分，扣完本项分值为止。</w:t>
            </w:r>
          </w:p>
        </w:tc>
      </w:tr>
      <w:tr w14:paraId="5C60E598">
        <w:tblPrEx>
          <w:tblCellMar>
            <w:top w:w="0" w:type="dxa"/>
            <w:left w:w="0" w:type="dxa"/>
            <w:bottom w:w="0" w:type="dxa"/>
            <w:right w:w="0" w:type="dxa"/>
          </w:tblCellMar>
        </w:tblPrEx>
        <w:trPr>
          <w:trHeight w:val="1677" w:hRule="atLeast"/>
        </w:trPr>
        <w:tc>
          <w:tcPr>
            <w:tcW w:w="9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DB226">
            <w:pPr>
              <w:spacing w:line="600" w:lineRule="exact"/>
              <w:jc w:val="center"/>
              <w:rPr>
                <w:rFonts w:ascii="宋体" w:hAnsi="宋体" w:cs="宋体"/>
                <w:color w:val="181717" w:themeColor="background2" w:themeShade="1A"/>
                <w:sz w:val="22"/>
                <w:szCs w:val="22"/>
              </w:rPr>
            </w:pPr>
          </w:p>
        </w:tc>
        <w:tc>
          <w:tcPr>
            <w:tcW w:w="160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26D1310">
            <w:pPr>
              <w:spacing w:line="600" w:lineRule="exact"/>
              <w:jc w:val="center"/>
              <w:rPr>
                <w:rFonts w:ascii="宋体" w:hAnsi="宋体" w:cs="宋体"/>
                <w:color w:val="181717" w:themeColor="background2" w:themeShade="1A"/>
                <w:sz w:val="22"/>
                <w:szCs w:val="22"/>
              </w:rPr>
            </w:pPr>
          </w:p>
        </w:tc>
        <w:tc>
          <w:tcPr>
            <w:tcW w:w="1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965C4">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用户端建设（20分）</w:t>
            </w:r>
          </w:p>
        </w:tc>
        <w:tc>
          <w:tcPr>
            <w:tcW w:w="7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028CD">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用户在线登记注册功能；运营企业与用户签订服务协议的功能；可租用车辆信息查询功能；能实现选定车辆、提交订单并得到后台反馈等功能；具备订单结算和在线支付功能，并显示订单明细，具体包括计费标准、骑行时长、订单总额、实付金额等信息；具备引导用户还车至推荐停放区以及提示用户禁停/骑区范围内禁止停/骑车的功能；具备可查询历史订单明细功能，包括骑行起讫点位置信息、骑行时长、订单总额等；公示服务内容，包括租还车方法、计费标准、信用管理机制及奖惩措施、服务协议、保险内容及理赔方式、客服电话、资金（骑行券）退还方式等。</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396C0">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企业提供用客户端具备相应功能的佐证材料。未提供或未达到要求每一项扣5分，扣完本项分值为止。</w:t>
            </w:r>
          </w:p>
        </w:tc>
      </w:tr>
      <w:tr w14:paraId="56B4B434">
        <w:tblPrEx>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2A9FF">
            <w:pPr>
              <w:spacing w:line="600" w:lineRule="exact"/>
              <w:jc w:val="center"/>
              <w:rPr>
                <w:rFonts w:ascii="宋体" w:hAnsi="宋体" w:cs="宋体"/>
                <w:color w:val="181717" w:themeColor="background2" w:themeShade="1A"/>
                <w:sz w:val="28"/>
                <w:szCs w:val="28"/>
              </w:rPr>
            </w:pPr>
          </w:p>
        </w:tc>
        <w:tc>
          <w:tcPr>
            <w:tcW w:w="16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59B333B">
            <w:pPr>
              <w:widowControl/>
              <w:spacing w:line="600" w:lineRule="exact"/>
              <w:jc w:val="left"/>
              <w:textAlignment w:val="center"/>
              <w:rPr>
                <w:rFonts w:ascii="宋体" w:hAnsi="宋体" w:cs="宋体"/>
                <w:color w:val="181717" w:themeColor="background2" w:themeShade="1A"/>
                <w:kern w:val="0"/>
                <w:sz w:val="22"/>
                <w:szCs w:val="22"/>
              </w:rPr>
            </w:pPr>
            <w:r>
              <w:rPr>
                <w:rFonts w:hint="eastAsia" w:ascii="宋体" w:hAnsi="宋体" w:cs="宋体"/>
                <w:color w:val="181717" w:themeColor="background2" w:themeShade="1A"/>
                <w:kern w:val="0"/>
                <w:sz w:val="22"/>
                <w:szCs w:val="22"/>
              </w:rPr>
              <w:t>配额管理（50分）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E5C69">
            <w:pPr>
              <w:widowControl/>
              <w:spacing w:line="600" w:lineRule="exact"/>
              <w:jc w:val="left"/>
              <w:textAlignment w:val="center"/>
              <w:rPr>
                <w:rFonts w:ascii="宋体" w:hAnsi="宋体" w:cs="宋体"/>
                <w:color w:val="181717" w:themeColor="background2" w:themeShade="1A"/>
                <w:kern w:val="0"/>
                <w:sz w:val="22"/>
                <w:szCs w:val="22"/>
              </w:rPr>
            </w:pPr>
            <w:r>
              <w:rPr>
                <w:rFonts w:hint="eastAsia" w:ascii="宋体" w:hAnsi="宋体" w:cs="宋体"/>
                <w:color w:val="181717" w:themeColor="background2" w:themeShade="1A"/>
                <w:kern w:val="0"/>
                <w:sz w:val="22"/>
                <w:szCs w:val="22"/>
              </w:rPr>
              <w:t>擅自增投或减少车辆。</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ADE8A">
            <w:pPr>
              <w:widowControl/>
              <w:spacing w:line="600" w:lineRule="exact"/>
              <w:jc w:val="left"/>
              <w:textAlignment w:val="center"/>
              <w:rPr>
                <w:rFonts w:ascii="宋体" w:hAnsi="宋体" w:cs="宋体"/>
                <w:color w:val="181717" w:themeColor="background2" w:themeShade="1A"/>
                <w:kern w:val="0"/>
                <w:sz w:val="22"/>
                <w:szCs w:val="22"/>
              </w:rPr>
            </w:pPr>
            <w:r>
              <w:rPr>
                <w:rFonts w:hint="eastAsia" w:ascii="宋体" w:hAnsi="宋体" w:cs="宋体"/>
                <w:color w:val="181717" w:themeColor="background2" w:themeShade="1A"/>
                <w:kern w:val="0"/>
                <w:sz w:val="22"/>
                <w:szCs w:val="22"/>
              </w:rPr>
              <w:t>发现一起扣50分。</w:t>
            </w:r>
          </w:p>
        </w:tc>
      </w:tr>
      <w:tr w14:paraId="3438D2E7">
        <w:tblPrEx>
          <w:tblCellMar>
            <w:top w:w="0" w:type="dxa"/>
            <w:left w:w="0" w:type="dxa"/>
            <w:bottom w:w="0" w:type="dxa"/>
            <w:right w:w="0" w:type="dxa"/>
          </w:tblCellMar>
        </w:tblPrEx>
        <w:trPr>
          <w:trHeight w:val="906" w:hRule="atLeast"/>
        </w:trPr>
        <w:tc>
          <w:tcPr>
            <w:tcW w:w="9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A7364">
            <w:pPr>
              <w:spacing w:line="600" w:lineRule="exact"/>
              <w:jc w:val="center"/>
              <w:rPr>
                <w:rFonts w:ascii="宋体" w:hAnsi="宋体" w:cs="宋体"/>
                <w:color w:val="181717" w:themeColor="background2" w:themeShade="1A"/>
                <w:sz w:val="28"/>
                <w:szCs w:val="28"/>
              </w:rPr>
            </w:pPr>
          </w:p>
        </w:tc>
        <w:tc>
          <w:tcPr>
            <w:tcW w:w="16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169AD16">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用户信息安全管理（30分）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40D94">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为用户提供信息安全保障措施，严格保护用户的个人隐私、保障用户信息安全。</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DCFBF">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发生信息泄露的每一起扣10分，扣完本项分值为止。</w:t>
            </w:r>
          </w:p>
        </w:tc>
      </w:tr>
      <w:tr w14:paraId="43675CA2">
        <w:tblPrEx>
          <w:tblCellMar>
            <w:top w:w="0" w:type="dxa"/>
            <w:left w:w="0" w:type="dxa"/>
            <w:bottom w:w="0" w:type="dxa"/>
            <w:right w:w="0" w:type="dxa"/>
          </w:tblCellMar>
        </w:tblPrEx>
        <w:trPr>
          <w:trHeight w:val="652" w:hRule="atLeast"/>
        </w:trPr>
        <w:tc>
          <w:tcPr>
            <w:tcW w:w="990"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276294E">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信息数据（50分）</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CBF69">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数据接入（30分）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1224D">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按要求将数据接入主管部门监管平台。</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88CAC">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数据信息接入不全或不真实的每发现一项扣10分，扣完本项分值为止。</w:t>
            </w:r>
          </w:p>
        </w:tc>
      </w:tr>
      <w:tr w14:paraId="5E0516BF">
        <w:tblPrEx>
          <w:tblCellMar>
            <w:top w:w="0" w:type="dxa"/>
            <w:left w:w="0" w:type="dxa"/>
            <w:bottom w:w="0" w:type="dxa"/>
            <w:right w:w="0" w:type="dxa"/>
          </w:tblCellMar>
        </w:tblPrEx>
        <w:trPr>
          <w:trHeight w:val="600" w:hRule="atLeast"/>
        </w:trPr>
        <w:tc>
          <w:tcPr>
            <w:tcW w:w="990"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C409511">
            <w:pPr>
              <w:spacing w:line="600" w:lineRule="exact"/>
              <w:jc w:val="center"/>
              <w:rPr>
                <w:rFonts w:ascii="宋体" w:hAnsi="宋体" w:cs="宋体"/>
                <w:color w:val="181717" w:themeColor="background2" w:themeShade="1A"/>
                <w:sz w:val="22"/>
                <w:szCs w:val="22"/>
              </w:rPr>
            </w:pP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C0DA8">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数据查阅（20分）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B2B8D">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配合主管部门查阅数据。</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62697">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不配合查阅的每次扣10分，扣完本项分值为止。</w:t>
            </w:r>
          </w:p>
        </w:tc>
      </w:tr>
      <w:tr w14:paraId="2E683854">
        <w:tblPrEx>
          <w:tblCellMar>
            <w:top w:w="0" w:type="dxa"/>
            <w:left w:w="0" w:type="dxa"/>
            <w:bottom w:w="0" w:type="dxa"/>
            <w:right w:w="0" w:type="dxa"/>
          </w:tblCellMar>
        </w:tblPrEx>
        <w:trPr>
          <w:trHeight w:val="472" w:hRule="atLeast"/>
        </w:trPr>
        <w:tc>
          <w:tcPr>
            <w:tcW w:w="9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F94F7C8">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安全运营（100分）</w:t>
            </w:r>
          </w:p>
        </w:tc>
        <w:tc>
          <w:tcPr>
            <w:tcW w:w="1600" w:type="dxa"/>
            <w:tcBorders>
              <w:top w:val="single" w:color="000000" w:sz="4" w:space="0"/>
              <w:left w:val="single" w:color="000000" w:sz="4" w:space="0"/>
              <w:right w:val="single" w:color="000000" w:sz="4" w:space="0"/>
            </w:tcBorders>
            <w:tcMar>
              <w:top w:w="15" w:type="dxa"/>
              <w:left w:w="15" w:type="dxa"/>
              <w:right w:w="15" w:type="dxa"/>
            </w:tcMar>
            <w:vAlign w:val="center"/>
          </w:tcPr>
          <w:p w14:paraId="07739C4E">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交通安全（100分）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95C6E">
            <w:pPr>
              <w:widowControl/>
              <w:spacing w:line="600" w:lineRule="exact"/>
              <w:jc w:val="left"/>
              <w:rPr>
                <w:color w:val="181717" w:themeColor="background2" w:themeShade="1A"/>
                <w:kern w:val="0"/>
                <w:sz w:val="22"/>
                <w:szCs w:val="22"/>
              </w:rPr>
            </w:pPr>
            <w:r>
              <w:rPr>
                <w:rFonts w:hint="eastAsia" w:ascii="宋体" w:hAnsi="宋体" w:cs="宋体"/>
                <w:color w:val="181717" w:themeColor="background2" w:themeShade="1A"/>
                <w:kern w:val="0"/>
                <w:sz w:val="22"/>
                <w:szCs w:val="22"/>
              </w:rPr>
              <w:t>因车辆原因导致发生交通事故致人伤亡的。</w:t>
            </w:r>
          </w:p>
        </w:tc>
        <w:tc>
          <w:tcPr>
            <w:tcW w:w="3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458E3">
            <w:pPr>
              <w:widowControl/>
              <w:spacing w:line="600" w:lineRule="exact"/>
              <w:jc w:val="left"/>
              <w:rPr>
                <w:color w:val="181717" w:themeColor="background2" w:themeShade="1A"/>
                <w:kern w:val="0"/>
                <w:sz w:val="22"/>
                <w:szCs w:val="22"/>
              </w:rPr>
            </w:pPr>
            <w:r>
              <w:rPr>
                <w:rFonts w:hint="eastAsia" w:ascii="宋体" w:hAnsi="宋体" w:cs="宋体"/>
                <w:color w:val="181717" w:themeColor="background2" w:themeShade="1A"/>
                <w:kern w:val="0"/>
                <w:sz w:val="22"/>
                <w:szCs w:val="22"/>
              </w:rPr>
              <w:t>发生一起亡人事故则扣100分，发生一起伤人事故扣20分。</w:t>
            </w:r>
          </w:p>
        </w:tc>
      </w:tr>
      <w:tr w14:paraId="68D69C3B">
        <w:tblPrEx>
          <w:tblCellMar>
            <w:top w:w="0" w:type="dxa"/>
            <w:left w:w="0" w:type="dxa"/>
            <w:bottom w:w="0" w:type="dxa"/>
            <w:right w:w="0" w:type="dxa"/>
          </w:tblCellMar>
        </w:tblPrEx>
        <w:trPr>
          <w:trHeight w:val="815" w:hRule="atLeast"/>
        </w:trPr>
        <w:tc>
          <w:tcPr>
            <w:tcW w:w="9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73814B">
            <w:pPr>
              <w:widowControl/>
              <w:spacing w:line="600" w:lineRule="exact"/>
              <w:jc w:val="center"/>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运营服务（400分）</w:t>
            </w:r>
          </w:p>
        </w:tc>
        <w:tc>
          <w:tcPr>
            <w:tcW w:w="16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4F8B86F">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运价公示（20分）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5C3FF">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公示计费方式和计费标准，并在用户结束订单后明示订单明细，具体包括计费标准、骑行时长、订单总额、实付金额等信息。</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45EAC">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未在运营平台公示或未按要求公示的，每发现一起扣5分，扣完本项分值为止。</w:t>
            </w:r>
          </w:p>
        </w:tc>
      </w:tr>
      <w:tr w14:paraId="21FF6AFB">
        <w:tblPrEx>
          <w:tblCellMar>
            <w:top w:w="0" w:type="dxa"/>
            <w:left w:w="0" w:type="dxa"/>
            <w:bottom w:w="0" w:type="dxa"/>
            <w:right w:w="0" w:type="dxa"/>
          </w:tblCellMar>
        </w:tblPrEx>
        <w:trPr>
          <w:trHeight w:val="620" w:hRule="atLeast"/>
        </w:trPr>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602BC9">
            <w:pPr>
              <w:spacing w:line="600" w:lineRule="exact"/>
              <w:jc w:val="center"/>
              <w:rPr>
                <w:rFonts w:ascii="宋体" w:hAnsi="宋体" w:cs="宋体"/>
                <w:color w:val="181717" w:themeColor="background2" w:themeShade="1A"/>
                <w:sz w:val="22"/>
                <w:szCs w:val="22"/>
              </w:rPr>
            </w:pPr>
          </w:p>
        </w:tc>
        <w:tc>
          <w:tcPr>
            <w:tcW w:w="160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4220D774">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检查维护（30分)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48153">
            <w:pPr>
              <w:widowControl/>
              <w:tabs>
                <w:tab w:val="left" w:pos="6301"/>
              </w:tabs>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及时更换电池、及时清除违法广告、及时处理弃置和损坏车辆等。</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2D7CF">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未落实相关要求的每发现一起扣5分，扣完本项分值为止。</w:t>
            </w:r>
          </w:p>
        </w:tc>
      </w:tr>
      <w:tr w14:paraId="1A8E751E">
        <w:tblPrEx>
          <w:tblCellMar>
            <w:top w:w="0" w:type="dxa"/>
            <w:left w:w="0" w:type="dxa"/>
            <w:bottom w:w="0" w:type="dxa"/>
            <w:right w:w="0" w:type="dxa"/>
          </w:tblCellMar>
        </w:tblPrEx>
        <w:trPr>
          <w:trHeight w:val="285" w:hRule="atLeast"/>
        </w:trPr>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EA89CB">
            <w:pPr>
              <w:spacing w:line="600" w:lineRule="exact"/>
              <w:jc w:val="center"/>
              <w:rPr>
                <w:rFonts w:ascii="宋体" w:hAnsi="宋体" w:cs="宋体"/>
                <w:color w:val="181717" w:themeColor="background2" w:themeShade="1A"/>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475914">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秩序维护（200分）</w:t>
            </w:r>
          </w:p>
        </w:tc>
        <w:tc>
          <w:tcPr>
            <w:tcW w:w="8466"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B9E794B">
            <w:pPr>
              <w:spacing w:line="600" w:lineRule="exact"/>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车辆按照规范有序停放（150分）</w:t>
            </w:r>
            <w:r>
              <w:rPr>
                <w:rFonts w:ascii="宋体" w:hAnsi="宋体" w:cs="宋体"/>
                <w:color w:val="181717" w:themeColor="background2" w:themeShade="1A"/>
                <w:kern w:val="0"/>
                <w:sz w:val="22"/>
                <w:szCs w:val="22"/>
              </w:rPr>
              <w:t>。</w:t>
            </w:r>
          </w:p>
        </w:tc>
        <w:tc>
          <w:tcPr>
            <w:tcW w:w="3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6ACD1">
            <w:pPr>
              <w:spacing w:line="600" w:lineRule="exact"/>
              <w:rPr>
                <w:rFonts w:ascii="宋体" w:hAnsi="宋体" w:cs="宋体"/>
                <w:color w:val="181717" w:themeColor="background2" w:themeShade="1A"/>
                <w:sz w:val="22"/>
                <w:szCs w:val="22"/>
              </w:rPr>
            </w:pPr>
            <w:r>
              <w:rPr>
                <w:rFonts w:ascii="宋体" w:hAnsi="宋体" w:cs="宋体"/>
                <w:color w:val="181717" w:themeColor="background2" w:themeShade="1A"/>
                <w:kern w:val="0"/>
                <w:sz w:val="22"/>
                <w:szCs w:val="22"/>
              </w:rPr>
              <w:t>停放秩序混乱，被城管部门责令整改的</w:t>
            </w:r>
            <w:r>
              <w:rPr>
                <w:rFonts w:hint="eastAsia" w:ascii="宋体" w:hAnsi="宋体" w:cs="宋体"/>
                <w:color w:val="181717" w:themeColor="background2" w:themeShade="1A"/>
                <w:kern w:val="0"/>
                <w:sz w:val="22"/>
                <w:szCs w:val="22"/>
              </w:rPr>
              <w:t>，</w:t>
            </w:r>
            <w:r>
              <w:rPr>
                <w:rFonts w:ascii="宋体" w:hAnsi="宋体" w:cs="宋体"/>
                <w:color w:val="181717" w:themeColor="background2" w:themeShade="1A"/>
                <w:kern w:val="0"/>
                <w:sz w:val="22"/>
                <w:szCs w:val="22"/>
              </w:rPr>
              <w:t>每次扣</w:t>
            </w:r>
            <w:r>
              <w:rPr>
                <w:rFonts w:hint="eastAsia" w:ascii="宋体" w:hAnsi="宋体" w:cs="宋体"/>
                <w:color w:val="181717" w:themeColor="background2" w:themeShade="1A"/>
                <w:kern w:val="0"/>
                <w:sz w:val="22"/>
                <w:szCs w:val="22"/>
              </w:rPr>
              <w:t>1</w:t>
            </w:r>
            <w:r>
              <w:rPr>
                <w:rFonts w:ascii="宋体" w:hAnsi="宋体" w:cs="宋体"/>
                <w:color w:val="181717" w:themeColor="background2" w:themeShade="1A"/>
                <w:kern w:val="0"/>
                <w:sz w:val="22"/>
                <w:szCs w:val="22"/>
              </w:rPr>
              <w:t>0分，</w:t>
            </w:r>
            <w:r>
              <w:rPr>
                <w:rFonts w:hint="eastAsia" w:ascii="宋体" w:hAnsi="宋体" w:cs="宋体"/>
                <w:color w:val="181717" w:themeColor="background2" w:themeShade="1A"/>
                <w:kern w:val="0"/>
                <w:sz w:val="22"/>
                <w:szCs w:val="22"/>
              </w:rPr>
              <w:t>扣完本项分值为止。</w:t>
            </w:r>
          </w:p>
        </w:tc>
      </w:tr>
      <w:tr w14:paraId="422014AC">
        <w:tblPrEx>
          <w:tblCellMar>
            <w:top w:w="0" w:type="dxa"/>
            <w:left w:w="0" w:type="dxa"/>
            <w:bottom w:w="0" w:type="dxa"/>
            <w:right w:w="0" w:type="dxa"/>
          </w:tblCellMar>
        </w:tblPrEx>
        <w:trPr>
          <w:trHeight w:val="285" w:hRule="atLeast"/>
        </w:trPr>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30BEEB">
            <w:pPr>
              <w:spacing w:line="600" w:lineRule="exact"/>
              <w:jc w:val="center"/>
              <w:rPr>
                <w:rFonts w:ascii="宋体" w:hAnsi="宋体" w:cs="宋体"/>
                <w:color w:val="181717" w:themeColor="background2" w:themeShade="1A"/>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E86013">
            <w:pPr>
              <w:widowControl/>
              <w:spacing w:line="600" w:lineRule="exact"/>
              <w:jc w:val="left"/>
              <w:textAlignment w:val="center"/>
              <w:rPr>
                <w:rFonts w:ascii="宋体" w:hAnsi="宋体" w:cs="宋体"/>
                <w:color w:val="181717" w:themeColor="background2" w:themeShade="1A"/>
                <w:kern w:val="0"/>
                <w:sz w:val="22"/>
                <w:szCs w:val="22"/>
              </w:rPr>
            </w:pPr>
          </w:p>
        </w:tc>
        <w:tc>
          <w:tcPr>
            <w:tcW w:w="8466"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23B25C6">
            <w:pPr>
              <w:spacing w:line="600" w:lineRule="exact"/>
              <w:rPr>
                <w:rFonts w:ascii="宋体" w:hAnsi="宋体" w:cs="宋体"/>
                <w:color w:val="181717" w:themeColor="background2" w:themeShade="1A"/>
                <w:kern w:val="0"/>
                <w:sz w:val="22"/>
                <w:szCs w:val="22"/>
              </w:rPr>
            </w:pPr>
            <w:r>
              <w:rPr>
                <w:rFonts w:ascii="宋体" w:hAnsi="宋体" w:cs="宋体"/>
                <w:color w:val="181717" w:themeColor="background2" w:themeShade="1A"/>
                <w:kern w:val="0"/>
                <w:sz w:val="22"/>
                <w:szCs w:val="22"/>
              </w:rPr>
              <w:t>对</w:t>
            </w:r>
            <w:r>
              <w:rPr>
                <w:rFonts w:hint="eastAsia" w:ascii="宋体" w:hAnsi="宋体" w:cs="宋体"/>
                <w:color w:val="181717" w:themeColor="background2" w:themeShade="1A"/>
                <w:kern w:val="0"/>
                <w:sz w:val="22"/>
                <w:szCs w:val="22"/>
              </w:rPr>
              <w:t>主管部门</w:t>
            </w:r>
            <w:r>
              <w:rPr>
                <w:rFonts w:ascii="宋体" w:hAnsi="宋体" w:cs="宋体"/>
                <w:color w:val="181717" w:themeColor="background2" w:themeShade="1A"/>
                <w:kern w:val="0"/>
                <w:sz w:val="22"/>
                <w:szCs w:val="22"/>
              </w:rPr>
              <w:t>通知的问题点位及调度要求处理的及时性、有效性</w:t>
            </w:r>
            <w:r>
              <w:rPr>
                <w:rFonts w:hint="eastAsia" w:ascii="宋体" w:hAnsi="宋体" w:cs="宋体"/>
                <w:color w:val="181717" w:themeColor="background2" w:themeShade="1A"/>
                <w:kern w:val="0"/>
                <w:sz w:val="22"/>
                <w:szCs w:val="22"/>
              </w:rPr>
              <w:t>（50分）</w:t>
            </w:r>
          </w:p>
        </w:tc>
        <w:tc>
          <w:tcPr>
            <w:tcW w:w="3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7FE55">
            <w:pPr>
              <w:spacing w:line="600" w:lineRule="exact"/>
              <w:rPr>
                <w:rFonts w:ascii="宋体" w:hAnsi="宋体" w:cs="宋体"/>
                <w:color w:val="181717" w:themeColor="background2" w:themeShade="1A"/>
                <w:kern w:val="0"/>
                <w:sz w:val="22"/>
                <w:szCs w:val="22"/>
              </w:rPr>
            </w:pPr>
            <w:r>
              <w:rPr>
                <w:rFonts w:hint="eastAsia" w:ascii="宋体" w:hAnsi="宋体" w:cs="宋体"/>
                <w:color w:val="181717" w:themeColor="background2" w:themeShade="1A"/>
                <w:kern w:val="0"/>
                <w:sz w:val="22"/>
                <w:szCs w:val="22"/>
              </w:rPr>
              <w:t>不及时不有效的每次扣5分，扣完本项分值为止。</w:t>
            </w:r>
          </w:p>
        </w:tc>
      </w:tr>
      <w:tr w14:paraId="22221046">
        <w:tblPrEx>
          <w:tblCellMar>
            <w:top w:w="0" w:type="dxa"/>
            <w:left w:w="0" w:type="dxa"/>
            <w:bottom w:w="0" w:type="dxa"/>
            <w:right w:w="0" w:type="dxa"/>
          </w:tblCellMar>
        </w:tblPrEx>
        <w:trPr>
          <w:trHeight w:val="480" w:hRule="atLeast"/>
        </w:trPr>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24BB51">
            <w:pPr>
              <w:spacing w:line="600" w:lineRule="exact"/>
              <w:jc w:val="center"/>
              <w:rPr>
                <w:rFonts w:ascii="宋体" w:hAnsi="宋体" w:cs="宋体"/>
                <w:color w:val="181717" w:themeColor="background2" w:themeShade="1A"/>
                <w:sz w:val="22"/>
                <w:szCs w:val="22"/>
              </w:rPr>
            </w:pPr>
          </w:p>
        </w:tc>
        <w:tc>
          <w:tcPr>
            <w:tcW w:w="1600"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41089690">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停放点位设置（50分）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ABE34">
            <w:pPr>
              <w:spacing w:line="600" w:lineRule="exact"/>
              <w:rPr>
                <w:rFonts w:ascii="宋体" w:hAnsi="宋体" w:cs="宋体"/>
                <w:color w:val="181717" w:themeColor="background2" w:themeShade="1A"/>
                <w:sz w:val="22"/>
                <w:szCs w:val="22"/>
              </w:rPr>
            </w:pPr>
            <w:r>
              <w:rPr>
                <w:rFonts w:hint="eastAsia" w:ascii="宋体" w:hAnsi="宋体" w:cs="宋体"/>
                <w:color w:val="181717" w:themeColor="background2" w:themeShade="1A"/>
                <w:sz w:val="22"/>
                <w:szCs w:val="22"/>
              </w:rPr>
              <w:t>按照停放有关要求或经主管部门批准同意设置车辆停放点位。</w:t>
            </w:r>
          </w:p>
        </w:tc>
        <w:tc>
          <w:tcPr>
            <w:tcW w:w="3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7AF6F">
            <w:pPr>
              <w:spacing w:line="600" w:lineRule="exact"/>
              <w:rPr>
                <w:rFonts w:ascii="宋体" w:hAnsi="宋体" w:cs="宋体"/>
                <w:color w:val="181717" w:themeColor="background2" w:themeShade="1A"/>
                <w:sz w:val="22"/>
                <w:szCs w:val="22"/>
              </w:rPr>
            </w:pPr>
            <w:r>
              <w:rPr>
                <w:rFonts w:hint="eastAsia" w:ascii="宋体" w:hAnsi="宋体" w:cs="宋体"/>
                <w:color w:val="181717" w:themeColor="background2" w:themeShade="1A"/>
                <w:sz w:val="22"/>
                <w:szCs w:val="22"/>
              </w:rPr>
              <w:t>未按停放有关要求或未经同意设置停放点位的，每发现一起扣10分，</w:t>
            </w:r>
            <w:r>
              <w:rPr>
                <w:rFonts w:hint="eastAsia" w:ascii="宋体" w:hAnsi="宋体" w:cs="宋体"/>
                <w:color w:val="181717" w:themeColor="background2" w:themeShade="1A"/>
                <w:kern w:val="0"/>
                <w:sz w:val="22"/>
                <w:szCs w:val="22"/>
              </w:rPr>
              <w:t>扣完本项分值为止。</w:t>
            </w:r>
          </w:p>
        </w:tc>
      </w:tr>
      <w:tr w14:paraId="2674183D">
        <w:tblPrEx>
          <w:tblCellMar>
            <w:top w:w="0" w:type="dxa"/>
            <w:left w:w="0" w:type="dxa"/>
            <w:bottom w:w="0" w:type="dxa"/>
            <w:right w:w="0" w:type="dxa"/>
          </w:tblCellMar>
        </w:tblPrEx>
        <w:trPr>
          <w:trHeight w:val="285" w:hRule="atLeast"/>
        </w:trPr>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A8768C">
            <w:pPr>
              <w:spacing w:line="600" w:lineRule="exact"/>
              <w:jc w:val="center"/>
              <w:rPr>
                <w:rFonts w:ascii="宋体" w:hAnsi="宋体" w:cs="宋体"/>
                <w:color w:val="181717" w:themeColor="background2" w:themeShade="1A"/>
                <w:sz w:val="22"/>
                <w:szCs w:val="22"/>
              </w:rPr>
            </w:pPr>
          </w:p>
        </w:tc>
        <w:tc>
          <w:tcPr>
            <w:tcW w:w="160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B955EF3">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文明用车（40分）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5611E">
            <w:pPr>
              <w:spacing w:line="600" w:lineRule="exact"/>
              <w:rPr>
                <w:rFonts w:ascii="宋体" w:hAnsi="宋体" w:cs="宋体"/>
                <w:color w:val="181717" w:themeColor="background2" w:themeShade="1A"/>
                <w:sz w:val="22"/>
                <w:szCs w:val="22"/>
              </w:rPr>
            </w:pPr>
            <w:r>
              <w:rPr>
                <w:rFonts w:hint="eastAsia" w:ascii="宋体" w:hAnsi="宋体" w:cs="宋体"/>
                <w:color w:val="181717" w:themeColor="background2" w:themeShade="1A"/>
                <w:sz w:val="22"/>
                <w:szCs w:val="22"/>
              </w:rPr>
              <w:t>建立用车奖惩制度，推送信息提醒文明骑行以及未满年龄儿童、未成年人禁止骑行。</w:t>
            </w:r>
          </w:p>
        </w:tc>
        <w:tc>
          <w:tcPr>
            <w:tcW w:w="3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FE23B">
            <w:pPr>
              <w:spacing w:line="600" w:lineRule="exact"/>
              <w:rPr>
                <w:rFonts w:ascii="宋体" w:hAnsi="宋体" w:cs="宋体"/>
                <w:color w:val="181717" w:themeColor="background2" w:themeShade="1A"/>
                <w:sz w:val="22"/>
                <w:szCs w:val="22"/>
              </w:rPr>
            </w:pPr>
            <w:r>
              <w:rPr>
                <w:rFonts w:hint="eastAsia" w:ascii="宋体" w:hAnsi="宋体" w:cs="宋体"/>
                <w:color w:val="181717" w:themeColor="background2" w:themeShade="1A"/>
                <w:sz w:val="22"/>
                <w:szCs w:val="22"/>
              </w:rPr>
              <w:t>未建立用车奖惩制度和个人信用评价体系的扣30分，未推送文明骑行或禁止骑行信息的每发现一次扣10分，</w:t>
            </w:r>
            <w:r>
              <w:rPr>
                <w:rFonts w:ascii="宋体" w:hAnsi="宋体" w:cs="宋体"/>
                <w:color w:val="181717" w:themeColor="background2" w:themeShade="1A"/>
                <w:sz w:val="22"/>
                <w:szCs w:val="22"/>
              </w:rPr>
              <w:t>扣完本项分值为止。</w:t>
            </w:r>
          </w:p>
        </w:tc>
      </w:tr>
      <w:tr w14:paraId="19B97E60">
        <w:tblPrEx>
          <w:tblCellMar>
            <w:top w:w="0" w:type="dxa"/>
            <w:left w:w="0" w:type="dxa"/>
            <w:bottom w:w="0" w:type="dxa"/>
            <w:right w:w="0" w:type="dxa"/>
          </w:tblCellMar>
        </w:tblPrEx>
        <w:trPr>
          <w:trHeight w:val="1151" w:hRule="atLeast"/>
        </w:trPr>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13DF2B">
            <w:pPr>
              <w:spacing w:line="600" w:lineRule="exact"/>
              <w:jc w:val="center"/>
              <w:rPr>
                <w:rFonts w:ascii="宋体" w:hAnsi="宋体" w:cs="宋体"/>
                <w:color w:val="181717" w:themeColor="background2" w:themeShade="1A"/>
                <w:sz w:val="22"/>
                <w:szCs w:val="22"/>
              </w:rPr>
            </w:pPr>
          </w:p>
        </w:tc>
        <w:tc>
          <w:tcPr>
            <w:tcW w:w="1600"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14:paraId="66A61671">
            <w:pPr>
              <w:widowControl/>
              <w:spacing w:line="600" w:lineRule="exact"/>
              <w:jc w:val="left"/>
              <w:textAlignment w:val="center"/>
              <w:rPr>
                <w:rFonts w:ascii="宋体" w:hAnsi="宋体" w:cs="宋体"/>
                <w:color w:val="181717" w:themeColor="background2" w:themeShade="1A"/>
                <w:sz w:val="22"/>
                <w:szCs w:val="22"/>
              </w:rPr>
            </w:pPr>
            <w:r>
              <w:rPr>
                <w:rFonts w:hint="eastAsia" w:ascii="宋体" w:hAnsi="宋体" w:cs="宋体"/>
                <w:color w:val="181717" w:themeColor="background2" w:themeShade="1A"/>
                <w:kern w:val="0"/>
                <w:sz w:val="22"/>
                <w:szCs w:val="22"/>
              </w:rPr>
              <w:t>投诉处理（60分）</w:t>
            </w:r>
          </w:p>
        </w:tc>
        <w:tc>
          <w:tcPr>
            <w:tcW w:w="1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99E83">
            <w:pPr>
              <w:spacing w:line="600" w:lineRule="exact"/>
              <w:rPr>
                <w:rFonts w:ascii="宋体" w:hAnsi="宋体" w:cs="宋体"/>
                <w:color w:val="181717" w:themeColor="background2" w:themeShade="1A"/>
                <w:sz w:val="22"/>
                <w:szCs w:val="22"/>
              </w:rPr>
            </w:pPr>
            <w:r>
              <w:rPr>
                <w:rFonts w:ascii="宋体" w:hAnsi="宋体" w:cs="宋体"/>
                <w:color w:val="181717" w:themeColor="background2" w:themeShade="1A"/>
                <w:sz w:val="22"/>
                <w:szCs w:val="22"/>
              </w:rPr>
              <w:t>服务热线受理（</w:t>
            </w:r>
            <w:r>
              <w:rPr>
                <w:rFonts w:hint="eastAsia" w:ascii="宋体" w:hAnsi="宋体" w:cs="宋体"/>
                <w:color w:val="181717" w:themeColor="background2" w:themeShade="1A"/>
                <w:sz w:val="22"/>
                <w:szCs w:val="22"/>
              </w:rPr>
              <w:t>3</w:t>
            </w:r>
            <w:r>
              <w:rPr>
                <w:rFonts w:ascii="宋体" w:hAnsi="宋体" w:cs="宋体"/>
                <w:color w:val="181717" w:themeColor="background2" w:themeShade="1A"/>
                <w:sz w:val="22"/>
                <w:szCs w:val="22"/>
              </w:rPr>
              <w:t>0分）</w:t>
            </w:r>
          </w:p>
        </w:tc>
        <w:tc>
          <w:tcPr>
            <w:tcW w:w="7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613AF">
            <w:pPr>
              <w:spacing w:line="600" w:lineRule="exact"/>
              <w:rPr>
                <w:rFonts w:ascii="宋体" w:hAnsi="宋体" w:cs="宋体"/>
                <w:color w:val="181717" w:themeColor="background2" w:themeShade="1A"/>
                <w:sz w:val="22"/>
                <w:szCs w:val="22"/>
              </w:rPr>
            </w:pPr>
            <w:r>
              <w:rPr>
                <w:rFonts w:ascii="宋体" w:hAnsi="宋体" w:cs="宋体"/>
                <w:color w:val="181717" w:themeColor="background2" w:themeShade="1A"/>
                <w:sz w:val="22"/>
                <w:szCs w:val="22"/>
              </w:rPr>
              <w:t>服务热线应24小时值守，并有相关值班记录。</w:t>
            </w:r>
          </w:p>
        </w:tc>
        <w:tc>
          <w:tcPr>
            <w:tcW w:w="3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E1CA8">
            <w:pPr>
              <w:spacing w:line="600" w:lineRule="exact"/>
              <w:rPr>
                <w:rFonts w:ascii="宋体" w:hAnsi="宋体" w:cs="宋体"/>
                <w:color w:val="181717" w:themeColor="background2" w:themeShade="1A"/>
                <w:sz w:val="22"/>
                <w:szCs w:val="22"/>
              </w:rPr>
            </w:pPr>
            <w:r>
              <w:rPr>
                <w:rFonts w:ascii="宋体" w:hAnsi="宋体" w:cs="宋体"/>
                <w:color w:val="181717" w:themeColor="background2" w:themeShade="1A"/>
                <w:sz w:val="22"/>
                <w:szCs w:val="22"/>
              </w:rPr>
              <w:t>未建立服务热线的扣</w:t>
            </w:r>
            <w:r>
              <w:rPr>
                <w:rFonts w:hint="eastAsia" w:ascii="宋体" w:hAnsi="宋体" w:cs="宋体"/>
                <w:color w:val="181717" w:themeColor="background2" w:themeShade="1A"/>
                <w:sz w:val="22"/>
                <w:szCs w:val="22"/>
              </w:rPr>
              <w:t>2</w:t>
            </w:r>
            <w:r>
              <w:rPr>
                <w:rFonts w:ascii="宋体" w:hAnsi="宋体" w:cs="宋体"/>
                <w:color w:val="181717" w:themeColor="background2" w:themeShade="1A"/>
                <w:sz w:val="22"/>
                <w:szCs w:val="22"/>
              </w:rPr>
              <w:t>0分，抽查值班记录，记录不全、内容不完整的，每次扣10分，扣完本项分值为止。</w:t>
            </w:r>
          </w:p>
        </w:tc>
      </w:tr>
      <w:tr w14:paraId="63348DCA">
        <w:tblPrEx>
          <w:tblCellMar>
            <w:top w:w="0" w:type="dxa"/>
            <w:left w:w="0" w:type="dxa"/>
            <w:bottom w:w="0" w:type="dxa"/>
            <w:right w:w="0" w:type="dxa"/>
          </w:tblCellMar>
        </w:tblPrEx>
        <w:trPr>
          <w:trHeight w:val="467" w:hRule="atLeast"/>
        </w:trPr>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ED76C3">
            <w:pPr>
              <w:spacing w:line="600" w:lineRule="exact"/>
              <w:jc w:val="center"/>
              <w:rPr>
                <w:rFonts w:ascii="宋体" w:hAnsi="宋体" w:cs="宋体"/>
                <w:color w:val="181717" w:themeColor="background2" w:themeShade="1A"/>
                <w:sz w:val="22"/>
                <w:szCs w:val="22"/>
              </w:rPr>
            </w:pPr>
          </w:p>
        </w:tc>
        <w:tc>
          <w:tcPr>
            <w:tcW w:w="160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4EF981EF">
            <w:pPr>
              <w:widowControl/>
              <w:spacing w:line="600" w:lineRule="exact"/>
              <w:jc w:val="left"/>
              <w:textAlignment w:val="center"/>
              <w:rPr>
                <w:rFonts w:ascii="宋体" w:hAnsi="宋体" w:cs="宋体"/>
                <w:color w:val="181717" w:themeColor="background2" w:themeShade="1A"/>
                <w:kern w:val="0"/>
                <w:sz w:val="22"/>
                <w:szCs w:val="22"/>
              </w:rPr>
            </w:pPr>
          </w:p>
        </w:tc>
        <w:tc>
          <w:tcPr>
            <w:tcW w:w="1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22009">
            <w:pPr>
              <w:spacing w:line="600" w:lineRule="exact"/>
              <w:rPr>
                <w:rFonts w:ascii="宋体" w:hAnsi="宋体" w:cs="宋体"/>
                <w:color w:val="181717" w:themeColor="background2" w:themeShade="1A"/>
                <w:sz w:val="22"/>
                <w:szCs w:val="22"/>
              </w:rPr>
            </w:pPr>
            <w:r>
              <w:rPr>
                <w:rFonts w:ascii="宋体" w:hAnsi="宋体" w:cs="宋体"/>
                <w:color w:val="181717" w:themeColor="background2" w:themeShade="1A"/>
                <w:sz w:val="22"/>
                <w:szCs w:val="22"/>
              </w:rPr>
              <w:t>公众投诉处理质量（</w:t>
            </w:r>
            <w:r>
              <w:rPr>
                <w:rFonts w:hint="eastAsia" w:ascii="宋体" w:hAnsi="宋体" w:cs="宋体"/>
                <w:color w:val="181717" w:themeColor="background2" w:themeShade="1A"/>
                <w:sz w:val="22"/>
                <w:szCs w:val="22"/>
              </w:rPr>
              <w:t>3</w:t>
            </w:r>
            <w:r>
              <w:rPr>
                <w:rFonts w:ascii="宋体" w:hAnsi="宋体" w:cs="宋体"/>
                <w:color w:val="181717" w:themeColor="background2" w:themeShade="1A"/>
                <w:sz w:val="22"/>
                <w:szCs w:val="22"/>
              </w:rPr>
              <w:t>0分</w:t>
            </w:r>
            <w:r>
              <w:rPr>
                <w:rFonts w:hint="eastAsia" w:ascii="宋体" w:hAnsi="宋体" w:cs="宋体"/>
                <w:color w:val="181717" w:themeColor="background2" w:themeShade="1A"/>
                <w:sz w:val="22"/>
                <w:szCs w:val="22"/>
              </w:rPr>
              <w:t>）</w:t>
            </w:r>
          </w:p>
        </w:tc>
        <w:tc>
          <w:tcPr>
            <w:tcW w:w="7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10DF1">
            <w:pPr>
              <w:spacing w:line="600" w:lineRule="exact"/>
              <w:rPr>
                <w:rFonts w:ascii="宋体" w:hAnsi="宋体" w:cs="宋体"/>
                <w:color w:val="181717" w:themeColor="background2" w:themeShade="1A"/>
                <w:sz w:val="22"/>
                <w:szCs w:val="22"/>
              </w:rPr>
            </w:pPr>
            <w:r>
              <w:rPr>
                <w:rFonts w:ascii="宋体" w:hAnsi="宋体" w:cs="宋体"/>
                <w:color w:val="181717" w:themeColor="background2" w:themeShade="1A"/>
                <w:sz w:val="22"/>
                <w:szCs w:val="22"/>
              </w:rPr>
              <w:t>企业应及时受理投诉，在规定时间内处理并回复。</w:t>
            </w:r>
          </w:p>
        </w:tc>
        <w:tc>
          <w:tcPr>
            <w:tcW w:w="3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F5B70">
            <w:pPr>
              <w:spacing w:line="600" w:lineRule="exact"/>
              <w:rPr>
                <w:rFonts w:ascii="宋体" w:hAnsi="宋体" w:cs="宋体"/>
                <w:color w:val="181717" w:themeColor="background2" w:themeShade="1A"/>
                <w:sz w:val="22"/>
                <w:szCs w:val="22"/>
              </w:rPr>
            </w:pPr>
            <w:r>
              <w:rPr>
                <w:rFonts w:ascii="宋体" w:hAnsi="宋体" w:cs="宋体"/>
                <w:color w:val="181717" w:themeColor="background2" w:themeShade="1A"/>
                <w:sz w:val="22"/>
                <w:szCs w:val="22"/>
              </w:rPr>
              <w:t>企业建立投诉处理台账，且有投诉受理、处理情况、回复记录等完整投诉处理资料。未建立投诉处理台账及相关处理资料扣20分，有台账但不完善每次扣</w:t>
            </w:r>
            <w:r>
              <w:rPr>
                <w:rFonts w:hint="eastAsia" w:ascii="宋体" w:hAnsi="宋体" w:cs="宋体"/>
                <w:color w:val="181717" w:themeColor="background2" w:themeShade="1A"/>
                <w:sz w:val="22"/>
                <w:szCs w:val="22"/>
              </w:rPr>
              <w:t>5</w:t>
            </w:r>
            <w:r>
              <w:rPr>
                <w:rFonts w:ascii="宋体" w:hAnsi="宋体" w:cs="宋体"/>
                <w:color w:val="181717" w:themeColor="background2" w:themeShade="1A"/>
                <w:sz w:val="22"/>
                <w:szCs w:val="22"/>
              </w:rPr>
              <w:t>分，扣完本项分值为止</w:t>
            </w:r>
            <w:r>
              <w:rPr>
                <w:rFonts w:hint="eastAsia" w:ascii="宋体" w:hAnsi="宋体" w:cs="宋体"/>
                <w:color w:val="181717" w:themeColor="background2" w:themeShade="1A"/>
                <w:sz w:val="22"/>
                <w:szCs w:val="22"/>
              </w:rPr>
              <w:t>，未按管理部门要求时限处理舆情的每次扣10分</w:t>
            </w:r>
            <w:r>
              <w:rPr>
                <w:rFonts w:hint="eastAsia"/>
                <w:color w:val="181717" w:themeColor="background2" w:themeShade="1A"/>
                <w:kern w:val="0"/>
                <w:sz w:val="22"/>
                <w:szCs w:val="22"/>
              </w:rPr>
              <w:t>。</w:t>
            </w:r>
          </w:p>
        </w:tc>
      </w:tr>
      <w:tr w14:paraId="4B018E24">
        <w:tblPrEx>
          <w:tblCellMar>
            <w:top w:w="0" w:type="dxa"/>
            <w:left w:w="0" w:type="dxa"/>
            <w:bottom w:w="0" w:type="dxa"/>
            <w:right w:w="0" w:type="dxa"/>
          </w:tblCellMar>
        </w:tblPrEx>
        <w:trPr>
          <w:trHeight w:val="779" w:hRule="atLeast"/>
        </w:trPr>
        <w:tc>
          <w:tcPr>
            <w:tcW w:w="99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0808256">
            <w:pPr>
              <w:widowControl/>
              <w:spacing w:line="600" w:lineRule="exact"/>
              <w:jc w:val="center"/>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服务评价（150分）</w:t>
            </w:r>
          </w:p>
        </w:tc>
        <w:tc>
          <w:tcPr>
            <w:tcW w:w="1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8F886">
            <w:pPr>
              <w:widowControl/>
              <w:spacing w:line="600" w:lineRule="exact"/>
              <w:jc w:val="center"/>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负面影响减分（50分）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28201">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 xml:space="preserve">受到主管部门通报批评的（30分）。 </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06B7D">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每次扣10分，各项扣分合计扣完30分值为止。</w:t>
            </w:r>
          </w:p>
        </w:tc>
      </w:tr>
      <w:tr w14:paraId="6A84695A">
        <w:tblPrEx>
          <w:tblCellMar>
            <w:top w:w="0" w:type="dxa"/>
            <w:left w:w="0" w:type="dxa"/>
            <w:bottom w:w="0" w:type="dxa"/>
            <w:right w:w="0" w:type="dxa"/>
          </w:tblCellMar>
        </w:tblPrEx>
        <w:trPr>
          <w:trHeight w:val="702" w:hRule="atLeast"/>
        </w:trPr>
        <w:tc>
          <w:tcPr>
            <w:tcW w:w="9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3571A6F">
            <w:pPr>
              <w:spacing w:line="600" w:lineRule="exact"/>
              <w:jc w:val="center"/>
              <w:rPr>
                <w:rFonts w:ascii="宋体" w:hAnsi="宋体" w:cs="宋体"/>
                <w:color w:val="181717" w:themeColor="background2" w:themeShade="1A"/>
                <w:sz w:val="24"/>
              </w:rPr>
            </w:pPr>
          </w:p>
        </w:tc>
        <w:tc>
          <w:tcPr>
            <w:tcW w:w="160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6FE5152">
            <w:pPr>
              <w:spacing w:line="600" w:lineRule="exact"/>
              <w:jc w:val="center"/>
              <w:rPr>
                <w:rFonts w:ascii="宋体" w:hAnsi="宋体" w:cs="宋体"/>
                <w:color w:val="181717" w:themeColor="background2" w:themeShade="1A"/>
                <w:sz w:val="24"/>
              </w:rPr>
            </w:pPr>
          </w:p>
        </w:tc>
        <w:tc>
          <w:tcPr>
            <w:tcW w:w="846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6AB3B9B">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 xml:space="preserve">因服务质量问题被市级以上主流媒体曝光的（20分）。 </w:t>
            </w:r>
          </w:p>
        </w:tc>
        <w:tc>
          <w:tcPr>
            <w:tcW w:w="32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D06FD5">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每次扣5分，各项扣分合计扣完20分值为止。</w:t>
            </w:r>
          </w:p>
        </w:tc>
      </w:tr>
      <w:tr w14:paraId="0E72EC3D">
        <w:tblPrEx>
          <w:tblCellMar>
            <w:top w:w="0" w:type="dxa"/>
            <w:left w:w="0" w:type="dxa"/>
            <w:bottom w:w="0" w:type="dxa"/>
            <w:right w:w="0" w:type="dxa"/>
          </w:tblCellMar>
        </w:tblPrEx>
        <w:trPr>
          <w:trHeight w:val="420" w:hRule="atLeast"/>
        </w:trPr>
        <w:tc>
          <w:tcPr>
            <w:tcW w:w="990"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B462986">
            <w:pPr>
              <w:spacing w:line="600" w:lineRule="exact"/>
              <w:jc w:val="center"/>
              <w:rPr>
                <w:rFonts w:ascii="宋体" w:hAnsi="宋体" w:cs="宋体"/>
                <w:color w:val="181717" w:themeColor="background2" w:themeShade="1A"/>
                <w:sz w:val="24"/>
              </w:rPr>
            </w:pPr>
          </w:p>
        </w:tc>
        <w:tc>
          <w:tcPr>
            <w:tcW w:w="16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9ED8E9">
            <w:pPr>
              <w:widowControl/>
              <w:spacing w:line="600" w:lineRule="exact"/>
              <w:jc w:val="center"/>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社会评价（100分）</w:t>
            </w:r>
          </w:p>
        </w:tc>
        <w:tc>
          <w:tcPr>
            <w:tcW w:w="846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B17E28">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企业服务（20分）</w:t>
            </w:r>
          </w:p>
        </w:tc>
        <w:tc>
          <w:tcPr>
            <w:tcW w:w="323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8B599B">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由主管部门组织公共交通监督员以及市民代表进行评价打分，取平均分作为最终得分。</w:t>
            </w:r>
          </w:p>
        </w:tc>
      </w:tr>
      <w:tr w14:paraId="3FC9368D">
        <w:tblPrEx>
          <w:tblCellMar>
            <w:top w:w="0" w:type="dxa"/>
            <w:left w:w="0" w:type="dxa"/>
            <w:bottom w:w="0" w:type="dxa"/>
            <w:right w:w="0" w:type="dxa"/>
          </w:tblCellMar>
        </w:tblPrEx>
        <w:trPr>
          <w:trHeight w:val="420" w:hRule="atLeast"/>
        </w:trPr>
        <w:tc>
          <w:tcPr>
            <w:tcW w:w="990"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654C9EC">
            <w:pPr>
              <w:spacing w:line="600" w:lineRule="exact"/>
              <w:jc w:val="center"/>
              <w:rPr>
                <w:rFonts w:ascii="宋体" w:hAnsi="宋体" w:cs="宋体"/>
                <w:color w:val="181717" w:themeColor="background2" w:themeShade="1A"/>
                <w:sz w:val="24"/>
              </w:rPr>
            </w:pPr>
          </w:p>
        </w:tc>
        <w:tc>
          <w:tcPr>
            <w:tcW w:w="16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82F1DB">
            <w:pPr>
              <w:spacing w:line="600" w:lineRule="exact"/>
              <w:jc w:val="center"/>
              <w:rPr>
                <w:rFonts w:ascii="宋体" w:hAnsi="宋体" w:cs="宋体"/>
                <w:color w:val="181717" w:themeColor="background2" w:themeShade="1A"/>
                <w:sz w:val="24"/>
              </w:rPr>
            </w:pPr>
          </w:p>
        </w:tc>
        <w:tc>
          <w:tcPr>
            <w:tcW w:w="8466" w:type="dxa"/>
            <w:gridSpan w:val="2"/>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14:paraId="2CA14719">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企业信用（10分）</w:t>
            </w:r>
          </w:p>
        </w:tc>
        <w:tc>
          <w:tcPr>
            <w:tcW w:w="32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3996B1">
            <w:pPr>
              <w:spacing w:line="600" w:lineRule="exact"/>
              <w:jc w:val="center"/>
              <w:rPr>
                <w:rFonts w:ascii="宋体" w:hAnsi="宋体" w:cs="宋体"/>
                <w:color w:val="181717" w:themeColor="background2" w:themeShade="1A"/>
                <w:sz w:val="24"/>
              </w:rPr>
            </w:pPr>
          </w:p>
        </w:tc>
      </w:tr>
      <w:tr w14:paraId="72A6B4A7">
        <w:tblPrEx>
          <w:tblCellMar>
            <w:top w:w="0" w:type="dxa"/>
            <w:left w:w="0" w:type="dxa"/>
            <w:bottom w:w="0" w:type="dxa"/>
            <w:right w:w="0" w:type="dxa"/>
          </w:tblCellMar>
        </w:tblPrEx>
        <w:trPr>
          <w:trHeight w:val="420" w:hRule="atLeast"/>
        </w:trPr>
        <w:tc>
          <w:tcPr>
            <w:tcW w:w="990"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B466099">
            <w:pPr>
              <w:spacing w:line="600" w:lineRule="exact"/>
              <w:jc w:val="center"/>
              <w:rPr>
                <w:rFonts w:ascii="宋体" w:hAnsi="宋体" w:cs="宋体"/>
                <w:color w:val="181717" w:themeColor="background2" w:themeShade="1A"/>
                <w:sz w:val="24"/>
              </w:rPr>
            </w:pPr>
          </w:p>
        </w:tc>
        <w:tc>
          <w:tcPr>
            <w:tcW w:w="16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A90625">
            <w:pPr>
              <w:spacing w:line="600" w:lineRule="exact"/>
              <w:jc w:val="center"/>
              <w:rPr>
                <w:rFonts w:ascii="宋体" w:hAnsi="宋体" w:cs="宋体"/>
                <w:color w:val="181717" w:themeColor="background2" w:themeShade="1A"/>
                <w:sz w:val="24"/>
              </w:rPr>
            </w:pPr>
          </w:p>
        </w:tc>
        <w:tc>
          <w:tcPr>
            <w:tcW w:w="8466"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6F0BFF8">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社会责任（10分）</w:t>
            </w:r>
          </w:p>
        </w:tc>
        <w:tc>
          <w:tcPr>
            <w:tcW w:w="32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2CC928">
            <w:pPr>
              <w:spacing w:line="600" w:lineRule="exact"/>
              <w:jc w:val="center"/>
              <w:rPr>
                <w:rFonts w:ascii="宋体" w:hAnsi="宋体" w:cs="宋体"/>
                <w:color w:val="181717" w:themeColor="background2" w:themeShade="1A"/>
                <w:sz w:val="24"/>
              </w:rPr>
            </w:pPr>
          </w:p>
        </w:tc>
      </w:tr>
      <w:tr w14:paraId="671552EB">
        <w:tblPrEx>
          <w:tblCellMar>
            <w:top w:w="0" w:type="dxa"/>
            <w:left w:w="0" w:type="dxa"/>
            <w:bottom w:w="0" w:type="dxa"/>
            <w:right w:w="0" w:type="dxa"/>
          </w:tblCellMar>
        </w:tblPrEx>
        <w:trPr>
          <w:trHeight w:val="420" w:hRule="atLeast"/>
        </w:trPr>
        <w:tc>
          <w:tcPr>
            <w:tcW w:w="990"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976129F">
            <w:pPr>
              <w:spacing w:line="600" w:lineRule="exact"/>
              <w:jc w:val="center"/>
              <w:rPr>
                <w:rFonts w:ascii="宋体" w:hAnsi="宋体" w:cs="宋体"/>
                <w:color w:val="181717" w:themeColor="background2" w:themeShade="1A"/>
                <w:sz w:val="24"/>
              </w:rPr>
            </w:pPr>
          </w:p>
        </w:tc>
        <w:tc>
          <w:tcPr>
            <w:tcW w:w="16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B7322C">
            <w:pPr>
              <w:spacing w:line="600" w:lineRule="exact"/>
              <w:jc w:val="center"/>
              <w:rPr>
                <w:rFonts w:ascii="宋体" w:hAnsi="宋体" w:cs="宋体"/>
                <w:color w:val="181717" w:themeColor="background2" w:themeShade="1A"/>
                <w:sz w:val="24"/>
              </w:rPr>
            </w:pPr>
          </w:p>
        </w:tc>
        <w:tc>
          <w:tcPr>
            <w:tcW w:w="8466"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A655100">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运维力量（10分）</w:t>
            </w:r>
          </w:p>
        </w:tc>
        <w:tc>
          <w:tcPr>
            <w:tcW w:w="32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0D4255">
            <w:pPr>
              <w:spacing w:line="600" w:lineRule="exact"/>
              <w:jc w:val="center"/>
              <w:rPr>
                <w:rFonts w:ascii="宋体" w:hAnsi="宋体" w:cs="宋体"/>
                <w:color w:val="181717" w:themeColor="background2" w:themeShade="1A"/>
                <w:sz w:val="24"/>
              </w:rPr>
            </w:pPr>
          </w:p>
        </w:tc>
      </w:tr>
      <w:tr w14:paraId="5339D44E">
        <w:tblPrEx>
          <w:tblCellMar>
            <w:top w:w="0" w:type="dxa"/>
            <w:left w:w="0" w:type="dxa"/>
            <w:bottom w:w="0" w:type="dxa"/>
            <w:right w:w="0" w:type="dxa"/>
          </w:tblCellMar>
        </w:tblPrEx>
        <w:trPr>
          <w:trHeight w:val="420" w:hRule="atLeast"/>
        </w:trPr>
        <w:tc>
          <w:tcPr>
            <w:tcW w:w="990"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401C005">
            <w:pPr>
              <w:spacing w:line="600" w:lineRule="exact"/>
              <w:jc w:val="center"/>
              <w:rPr>
                <w:rFonts w:ascii="宋体" w:hAnsi="宋体" w:cs="宋体"/>
                <w:color w:val="181717" w:themeColor="background2" w:themeShade="1A"/>
                <w:sz w:val="24"/>
              </w:rPr>
            </w:pPr>
          </w:p>
        </w:tc>
        <w:tc>
          <w:tcPr>
            <w:tcW w:w="16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684A4D">
            <w:pPr>
              <w:spacing w:line="600" w:lineRule="exact"/>
              <w:jc w:val="center"/>
              <w:rPr>
                <w:rFonts w:ascii="宋体" w:hAnsi="宋体" w:cs="宋体"/>
                <w:color w:val="181717" w:themeColor="background2" w:themeShade="1A"/>
                <w:sz w:val="24"/>
              </w:rPr>
            </w:pPr>
          </w:p>
        </w:tc>
        <w:tc>
          <w:tcPr>
            <w:tcW w:w="8466"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97146AF">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车辆管理规范（20分）</w:t>
            </w:r>
          </w:p>
        </w:tc>
        <w:tc>
          <w:tcPr>
            <w:tcW w:w="32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E45069">
            <w:pPr>
              <w:spacing w:line="600" w:lineRule="exact"/>
              <w:jc w:val="center"/>
              <w:rPr>
                <w:rFonts w:ascii="宋体" w:hAnsi="宋体" w:cs="宋体"/>
                <w:color w:val="181717" w:themeColor="background2" w:themeShade="1A"/>
                <w:sz w:val="24"/>
              </w:rPr>
            </w:pPr>
          </w:p>
        </w:tc>
      </w:tr>
      <w:tr w14:paraId="363917FB">
        <w:tblPrEx>
          <w:tblCellMar>
            <w:top w:w="0" w:type="dxa"/>
            <w:left w:w="0" w:type="dxa"/>
            <w:bottom w:w="0" w:type="dxa"/>
            <w:right w:w="0" w:type="dxa"/>
          </w:tblCellMar>
        </w:tblPrEx>
        <w:trPr>
          <w:trHeight w:val="420" w:hRule="atLeast"/>
        </w:trPr>
        <w:tc>
          <w:tcPr>
            <w:tcW w:w="990"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42D6260">
            <w:pPr>
              <w:spacing w:line="600" w:lineRule="exact"/>
              <w:jc w:val="center"/>
              <w:rPr>
                <w:rFonts w:ascii="宋体" w:hAnsi="宋体" w:cs="宋体"/>
                <w:color w:val="181717" w:themeColor="background2" w:themeShade="1A"/>
                <w:sz w:val="24"/>
              </w:rPr>
            </w:pPr>
          </w:p>
        </w:tc>
        <w:tc>
          <w:tcPr>
            <w:tcW w:w="16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F9ECAC">
            <w:pPr>
              <w:spacing w:line="600" w:lineRule="exact"/>
              <w:jc w:val="center"/>
              <w:rPr>
                <w:rFonts w:ascii="宋体" w:hAnsi="宋体" w:cs="宋体"/>
                <w:color w:val="181717" w:themeColor="background2" w:themeShade="1A"/>
                <w:sz w:val="24"/>
              </w:rPr>
            </w:pPr>
          </w:p>
        </w:tc>
        <w:tc>
          <w:tcPr>
            <w:tcW w:w="8466"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F12AFEE">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社会秩序维护（10分）</w:t>
            </w:r>
          </w:p>
        </w:tc>
        <w:tc>
          <w:tcPr>
            <w:tcW w:w="32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EDD9D1">
            <w:pPr>
              <w:spacing w:line="600" w:lineRule="exact"/>
              <w:jc w:val="center"/>
              <w:rPr>
                <w:rFonts w:ascii="宋体" w:hAnsi="宋体" w:cs="宋体"/>
                <w:color w:val="181717" w:themeColor="background2" w:themeShade="1A"/>
                <w:sz w:val="24"/>
              </w:rPr>
            </w:pPr>
          </w:p>
        </w:tc>
      </w:tr>
      <w:tr w14:paraId="216FB645">
        <w:tblPrEx>
          <w:tblCellMar>
            <w:top w:w="0" w:type="dxa"/>
            <w:left w:w="0" w:type="dxa"/>
            <w:bottom w:w="0" w:type="dxa"/>
            <w:right w:w="0" w:type="dxa"/>
          </w:tblCellMar>
        </w:tblPrEx>
        <w:trPr>
          <w:trHeight w:val="420" w:hRule="atLeast"/>
        </w:trPr>
        <w:tc>
          <w:tcPr>
            <w:tcW w:w="990"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BFE03F0">
            <w:pPr>
              <w:spacing w:line="600" w:lineRule="exact"/>
              <w:jc w:val="center"/>
              <w:rPr>
                <w:rFonts w:ascii="宋体" w:hAnsi="宋体" w:cs="宋体"/>
                <w:color w:val="181717" w:themeColor="background2" w:themeShade="1A"/>
                <w:sz w:val="24"/>
              </w:rPr>
            </w:pPr>
          </w:p>
        </w:tc>
        <w:tc>
          <w:tcPr>
            <w:tcW w:w="16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05F20E">
            <w:pPr>
              <w:spacing w:line="600" w:lineRule="exact"/>
              <w:jc w:val="center"/>
              <w:rPr>
                <w:rFonts w:ascii="宋体" w:hAnsi="宋体" w:cs="宋体"/>
                <w:color w:val="181717" w:themeColor="background2" w:themeShade="1A"/>
                <w:sz w:val="24"/>
              </w:rPr>
            </w:pPr>
          </w:p>
        </w:tc>
        <w:tc>
          <w:tcPr>
            <w:tcW w:w="8466"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D40AF6A">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热线服务（10分）</w:t>
            </w:r>
          </w:p>
        </w:tc>
        <w:tc>
          <w:tcPr>
            <w:tcW w:w="32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11B279">
            <w:pPr>
              <w:spacing w:line="600" w:lineRule="exact"/>
              <w:jc w:val="center"/>
              <w:rPr>
                <w:rFonts w:ascii="宋体" w:hAnsi="宋体" w:cs="宋体"/>
                <w:color w:val="181717" w:themeColor="background2" w:themeShade="1A"/>
                <w:sz w:val="24"/>
              </w:rPr>
            </w:pPr>
          </w:p>
        </w:tc>
      </w:tr>
      <w:tr w14:paraId="2FCC42A6">
        <w:tblPrEx>
          <w:tblCellMar>
            <w:top w:w="0" w:type="dxa"/>
            <w:left w:w="0" w:type="dxa"/>
            <w:bottom w:w="0" w:type="dxa"/>
            <w:right w:w="0" w:type="dxa"/>
          </w:tblCellMar>
        </w:tblPrEx>
        <w:trPr>
          <w:trHeight w:val="420" w:hRule="atLeast"/>
        </w:trPr>
        <w:tc>
          <w:tcPr>
            <w:tcW w:w="990"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5D3DB00">
            <w:pPr>
              <w:spacing w:line="600" w:lineRule="exact"/>
              <w:jc w:val="center"/>
              <w:rPr>
                <w:rFonts w:ascii="宋体" w:hAnsi="宋体" w:cs="宋体"/>
                <w:color w:val="181717" w:themeColor="background2" w:themeShade="1A"/>
                <w:sz w:val="24"/>
              </w:rPr>
            </w:pPr>
          </w:p>
        </w:tc>
        <w:tc>
          <w:tcPr>
            <w:tcW w:w="16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56F807">
            <w:pPr>
              <w:spacing w:line="600" w:lineRule="exact"/>
              <w:jc w:val="center"/>
              <w:rPr>
                <w:rFonts w:ascii="宋体" w:hAnsi="宋体" w:cs="宋体"/>
                <w:color w:val="181717" w:themeColor="background2" w:themeShade="1A"/>
                <w:sz w:val="24"/>
              </w:rPr>
            </w:pPr>
          </w:p>
        </w:tc>
        <w:tc>
          <w:tcPr>
            <w:tcW w:w="8466"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64BBF58">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在线服务（10分）</w:t>
            </w:r>
          </w:p>
        </w:tc>
        <w:tc>
          <w:tcPr>
            <w:tcW w:w="32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6FC0D3">
            <w:pPr>
              <w:spacing w:line="600" w:lineRule="exact"/>
              <w:jc w:val="center"/>
              <w:rPr>
                <w:rFonts w:ascii="宋体" w:hAnsi="宋体" w:cs="宋体"/>
                <w:color w:val="181717" w:themeColor="background2" w:themeShade="1A"/>
                <w:sz w:val="24"/>
              </w:rPr>
            </w:pPr>
          </w:p>
        </w:tc>
      </w:tr>
      <w:tr w14:paraId="5628C1BC">
        <w:tblPrEx>
          <w:tblCellMar>
            <w:top w:w="0" w:type="dxa"/>
            <w:left w:w="0" w:type="dxa"/>
            <w:bottom w:w="0" w:type="dxa"/>
            <w:right w:w="0" w:type="dxa"/>
          </w:tblCellMar>
        </w:tblPrEx>
        <w:trPr>
          <w:trHeight w:val="560" w:hRule="atLeast"/>
        </w:trPr>
        <w:tc>
          <w:tcPr>
            <w:tcW w:w="99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6D8FDBB">
            <w:pPr>
              <w:widowControl/>
              <w:spacing w:line="600" w:lineRule="exact"/>
              <w:jc w:val="center"/>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加分项目（100分）</w:t>
            </w:r>
          </w:p>
        </w:tc>
        <w:tc>
          <w:tcPr>
            <w:tcW w:w="160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A87CD2">
            <w:pPr>
              <w:widowControl/>
              <w:spacing w:line="600" w:lineRule="exact"/>
              <w:jc w:val="center"/>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表彰（扬）奖励（60分）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9CD36">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获得省、部级及市级荣誉称号或者表彰（扬）的（30分）。</w:t>
            </w:r>
          </w:p>
        </w:tc>
        <w:tc>
          <w:tcPr>
            <w:tcW w:w="323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985E7D9">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省、部级每次加10分，市级每次加5分，各种奖励累计加分总和不超过30分。</w:t>
            </w:r>
          </w:p>
        </w:tc>
      </w:tr>
      <w:tr w14:paraId="2F836BB8">
        <w:tblPrEx>
          <w:tblCellMar>
            <w:top w:w="0" w:type="dxa"/>
            <w:left w:w="0" w:type="dxa"/>
            <w:bottom w:w="0" w:type="dxa"/>
            <w:right w:w="0" w:type="dxa"/>
          </w:tblCellMar>
        </w:tblPrEx>
        <w:trPr>
          <w:trHeight w:val="540" w:hRule="atLeast"/>
        </w:trPr>
        <w:tc>
          <w:tcPr>
            <w:tcW w:w="9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C996862">
            <w:pPr>
              <w:spacing w:line="600" w:lineRule="exact"/>
              <w:jc w:val="center"/>
              <w:rPr>
                <w:rFonts w:ascii="宋体" w:hAnsi="宋体" w:cs="宋体"/>
                <w:color w:val="181717" w:themeColor="background2" w:themeShade="1A"/>
                <w:sz w:val="24"/>
              </w:rPr>
            </w:pPr>
          </w:p>
        </w:tc>
        <w:tc>
          <w:tcPr>
            <w:tcW w:w="160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63CFB14">
            <w:pPr>
              <w:spacing w:line="600" w:lineRule="exact"/>
              <w:jc w:val="center"/>
              <w:rPr>
                <w:rFonts w:ascii="宋体" w:hAnsi="宋体" w:cs="宋体"/>
                <w:color w:val="181717" w:themeColor="background2" w:themeShade="1A"/>
                <w:sz w:val="24"/>
              </w:rPr>
            </w:pP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394E9">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获得省、部级及市级主流媒体表扬的（30分）。</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70CD0">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省、部级每次加10分，市级每次加5分，各种奖励累计加分总和不超过30分</w:t>
            </w:r>
          </w:p>
        </w:tc>
      </w:tr>
      <w:tr w14:paraId="066F7A6E">
        <w:tblPrEx>
          <w:tblCellMar>
            <w:top w:w="0" w:type="dxa"/>
            <w:left w:w="0" w:type="dxa"/>
            <w:bottom w:w="0" w:type="dxa"/>
            <w:right w:w="0" w:type="dxa"/>
          </w:tblCellMar>
        </w:tblPrEx>
        <w:trPr>
          <w:trHeight w:val="480" w:hRule="atLeast"/>
        </w:trPr>
        <w:tc>
          <w:tcPr>
            <w:tcW w:w="9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3F0F7CF">
            <w:pPr>
              <w:spacing w:line="600" w:lineRule="exact"/>
              <w:jc w:val="center"/>
              <w:rPr>
                <w:rFonts w:ascii="宋体" w:hAnsi="宋体" w:cs="宋体"/>
                <w:color w:val="181717" w:themeColor="background2" w:themeShade="1A"/>
                <w:sz w:val="24"/>
              </w:rPr>
            </w:pPr>
          </w:p>
        </w:tc>
        <w:tc>
          <w:tcPr>
            <w:tcW w:w="16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5B78386">
            <w:pPr>
              <w:widowControl/>
              <w:spacing w:line="600" w:lineRule="exact"/>
              <w:jc w:val="center"/>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社会公益活动（30分）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49D65">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配合主管部门完成工作，或积极组织参加抢险救灾、赈灾、救死扶伤、优质服务等具有较大社会影响的公益活动。</w:t>
            </w:r>
          </w:p>
        </w:tc>
        <w:tc>
          <w:tcPr>
            <w:tcW w:w="3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A0963">
            <w:pPr>
              <w:spacing w:line="600" w:lineRule="exact"/>
              <w:rPr>
                <w:rFonts w:ascii="宋体" w:hAnsi="宋体" w:cs="宋体"/>
                <w:color w:val="181717" w:themeColor="background2" w:themeShade="1A"/>
                <w:kern w:val="0"/>
                <w:sz w:val="24"/>
              </w:rPr>
            </w:pPr>
            <w:r>
              <w:rPr>
                <w:rFonts w:ascii="宋体" w:hAnsi="宋体" w:cs="宋体"/>
                <w:color w:val="181717" w:themeColor="background2" w:themeShade="1A"/>
                <w:kern w:val="0"/>
                <w:sz w:val="24"/>
              </w:rPr>
              <w:t>每次加</w:t>
            </w:r>
            <w:r>
              <w:rPr>
                <w:rFonts w:hint="eastAsia" w:ascii="宋体" w:hAnsi="宋体" w:cs="宋体"/>
                <w:color w:val="181717" w:themeColor="background2" w:themeShade="1A"/>
                <w:kern w:val="0"/>
                <w:sz w:val="24"/>
              </w:rPr>
              <w:t>10</w:t>
            </w:r>
            <w:r>
              <w:rPr>
                <w:rFonts w:ascii="宋体" w:hAnsi="宋体" w:cs="宋体"/>
                <w:color w:val="181717" w:themeColor="background2" w:themeShade="1A"/>
                <w:kern w:val="0"/>
                <w:sz w:val="24"/>
              </w:rPr>
              <w:t>分，累计加分总和不超过</w:t>
            </w:r>
            <w:r>
              <w:rPr>
                <w:rFonts w:hint="eastAsia" w:ascii="宋体" w:hAnsi="宋体" w:cs="宋体"/>
                <w:color w:val="181717" w:themeColor="background2" w:themeShade="1A"/>
                <w:kern w:val="0"/>
                <w:sz w:val="24"/>
              </w:rPr>
              <w:t>30</w:t>
            </w:r>
            <w:r>
              <w:rPr>
                <w:rFonts w:ascii="宋体" w:hAnsi="宋体" w:cs="宋体"/>
                <w:color w:val="181717" w:themeColor="background2" w:themeShade="1A"/>
                <w:kern w:val="0"/>
                <w:sz w:val="24"/>
              </w:rPr>
              <w:t>分。</w:t>
            </w:r>
          </w:p>
        </w:tc>
      </w:tr>
      <w:tr w14:paraId="316ECC50">
        <w:tblPrEx>
          <w:tblCellMar>
            <w:top w:w="0" w:type="dxa"/>
            <w:left w:w="0" w:type="dxa"/>
            <w:bottom w:w="0" w:type="dxa"/>
            <w:right w:w="0" w:type="dxa"/>
          </w:tblCellMar>
        </w:tblPrEx>
        <w:trPr>
          <w:trHeight w:val="600" w:hRule="atLeast"/>
        </w:trPr>
        <w:tc>
          <w:tcPr>
            <w:tcW w:w="9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0E313A1">
            <w:pPr>
              <w:spacing w:line="600" w:lineRule="exact"/>
              <w:jc w:val="center"/>
              <w:rPr>
                <w:rFonts w:ascii="宋体" w:hAnsi="宋体" w:cs="宋体"/>
                <w:color w:val="181717" w:themeColor="background2" w:themeShade="1A"/>
                <w:sz w:val="24"/>
              </w:rPr>
            </w:pP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B2054">
            <w:pPr>
              <w:widowControl/>
              <w:spacing w:line="600" w:lineRule="exact"/>
              <w:jc w:val="center"/>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文明劝导活动（10分）</w:t>
            </w:r>
          </w:p>
        </w:tc>
        <w:tc>
          <w:tcPr>
            <w:tcW w:w="84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B1C7E">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建立文明劝导队伍并积极开展相关活动。</w:t>
            </w:r>
          </w:p>
        </w:tc>
        <w:tc>
          <w:tcPr>
            <w:tcW w:w="32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82409">
            <w:pPr>
              <w:widowControl/>
              <w:spacing w:line="600" w:lineRule="exact"/>
              <w:jc w:val="left"/>
              <w:textAlignment w:val="center"/>
              <w:rPr>
                <w:rFonts w:ascii="宋体" w:hAnsi="宋体" w:cs="宋体"/>
                <w:color w:val="181717" w:themeColor="background2" w:themeShade="1A"/>
                <w:sz w:val="24"/>
              </w:rPr>
            </w:pPr>
            <w:r>
              <w:rPr>
                <w:rFonts w:hint="eastAsia" w:ascii="宋体" w:hAnsi="宋体" w:cs="宋体"/>
                <w:color w:val="181717" w:themeColor="background2" w:themeShade="1A"/>
                <w:kern w:val="0"/>
                <w:sz w:val="24"/>
              </w:rPr>
              <w:t>提供不低于5次文明劝导相关佐证照片加10分。</w:t>
            </w:r>
          </w:p>
        </w:tc>
      </w:tr>
    </w:tbl>
    <w:p w14:paraId="4CC17BAD">
      <w:pPr>
        <w:tabs>
          <w:tab w:val="left" w:pos="5057"/>
        </w:tabs>
        <w:spacing w:line="600" w:lineRule="exact"/>
        <w:jc w:val="left"/>
        <w:rPr>
          <w:color w:val="181717" w:themeColor="background2" w:themeShade="1A"/>
          <w:sz w:val="24"/>
        </w:rPr>
      </w:pPr>
    </w:p>
    <w:p w14:paraId="2417C36A">
      <w:pPr>
        <w:pStyle w:val="3"/>
        <w:shd w:val="clear" w:color="auto" w:fill="FFFFFF"/>
        <w:spacing w:before="0" w:beforeAutospacing="0" w:after="0" w:afterAutospacing="0" w:line="600" w:lineRule="exact"/>
        <w:jc w:val="both"/>
        <w:rPr>
          <w:rFonts w:ascii="仿宋_GB2312" w:hAnsi="仿宋_GB2312" w:eastAsia="仿宋_GB2312" w:cs="仿宋_GB2312"/>
          <w:color w:val="181717" w:themeColor="background2" w:themeShade="1A"/>
          <w:kern w:val="2"/>
          <w:sz w:val="32"/>
          <w:szCs w:val="32"/>
        </w:rPr>
      </w:pPr>
    </w:p>
    <w:p w14:paraId="490F5F70">
      <w:pPr>
        <w:spacing w:line="600" w:lineRule="exact"/>
        <w:rPr>
          <w:color w:val="181717" w:themeColor="background2" w:themeShade="1A"/>
        </w:rPr>
      </w:pPr>
    </w:p>
    <w:p w14:paraId="358DB145">
      <w:pPr>
        <w:tabs>
          <w:tab w:val="left" w:pos="2415"/>
        </w:tabs>
        <w:spacing w:line="600" w:lineRule="exact"/>
        <w:rPr>
          <w:rFonts w:ascii="仿宋_GB2312" w:hAnsi="仿宋_GB2312" w:eastAsia="仿宋_GB2312" w:cs="仿宋_GB2312"/>
          <w:color w:val="181717" w:themeColor="background2" w:themeShade="1A"/>
          <w:sz w:val="32"/>
          <w:szCs w:val="32"/>
        </w:rPr>
      </w:pPr>
    </w:p>
    <w:p w14:paraId="50A479C3"/>
    <w:sectPr>
      <w:footerReference r:id="rId4" w:type="default"/>
      <w:pgSz w:w="16840" w:h="11907" w:orient="landscape"/>
      <w:pgMar w:top="1701" w:right="1701"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A42C">
    <w:pPr>
      <w:pStyle w:val="2"/>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D1174C">
                          <w:pPr>
                            <w:pStyle w:val="2"/>
                            <w:spacing w:line="600" w:lineRule="exact"/>
                            <w:ind w:left="315" w:leftChars="150" w:right="315" w:rightChars="15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CD1174C">
                    <w:pPr>
                      <w:pStyle w:val="2"/>
                      <w:spacing w:line="600" w:lineRule="exact"/>
                      <w:ind w:left="315" w:leftChars="150" w:right="315" w:rightChars="15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6031AA1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CE84">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C82102">
                          <w:pPr>
                            <w:pStyle w:val="2"/>
                            <w:spacing w:line="600" w:lineRule="exact"/>
                            <w:ind w:left="315" w:leftChars="150" w:right="315" w:rightChars="15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FC82102">
                    <w:pPr>
                      <w:pStyle w:val="2"/>
                      <w:spacing w:line="600" w:lineRule="exact"/>
                      <w:ind w:left="315" w:leftChars="150" w:right="315" w:rightChars="15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135B3"/>
    <w:rsid w:val="45F1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2025-09-16T09:31:00Z</dcterms:created>
  <dc:creator>如果没有如果</dc:creator>
  <cp:lastModifiedBy>如果没有如果</cp:lastModifiedBy>
  <dcterms:modified xsi:type="dcterms:W3CDTF">2025-09-16T09:31:38Z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F0230B2E1D5841B0B96DF0E63A9EF0AB_11</vt:lpwstr>
  </property>
  <property fmtid="{D5CDD505-2E9C-101B-9397-08002B2CF9AE}" pid="4" name="KSOTemplateDocerSaveRecord">
    <vt:lpwstr>eyJoZGlkIjoiYWMzYzM2MGIzMDJmZDM3NGYzNGZlMjFkYzgxNjJmNDQiLCJ1c2VySWQiOiI1MzQ1NzQwMTEifQ==</vt:lpwstr>
  </property>
</Properties>
</file>