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snapToGrid/>
        <w:spacing w:before="0" w:beforeAutospacing="0" w:after="0" w:line="600" w:lineRule="exact"/>
        <w:jc w:val="center"/>
        <w:textAlignment w:val="auto"/>
        <w:rPr>
          <w:rFonts w:hint="eastAsia" w:ascii="方正小标宋简体" w:hAnsi="方正小标宋简体" w:eastAsia="方正小标宋简体" w:cs="方正小标宋简体"/>
          <w:color w:val="000000"/>
          <w:spacing w:val="0"/>
          <w:w w:val="100"/>
          <w:position w:val="0"/>
          <w:sz w:val="44"/>
          <w:szCs w:val="44"/>
        </w:rPr>
      </w:pPr>
      <w:r>
        <w:rPr>
          <w:rFonts w:hint="eastAsia" w:ascii="方正小标宋简体" w:hAnsi="方正小标宋简体" w:eastAsia="方正小标宋简体" w:cs="方正小标宋简体"/>
          <w:color w:val="000000"/>
          <w:spacing w:val="0"/>
          <w:w w:val="100"/>
          <w:position w:val="0"/>
          <w:sz w:val="44"/>
          <w:szCs w:val="44"/>
          <w:lang w:eastAsia="zh-CN"/>
        </w:rPr>
        <w:t>夹江县</w:t>
      </w:r>
      <w:r>
        <w:rPr>
          <w:rFonts w:hint="eastAsia" w:ascii="方正小标宋简体" w:hAnsi="方正小标宋简体" w:eastAsia="方正小标宋简体" w:cs="方正小标宋简体"/>
          <w:color w:val="000000"/>
          <w:spacing w:val="0"/>
          <w:w w:val="100"/>
          <w:position w:val="0"/>
          <w:sz w:val="44"/>
          <w:szCs w:val="44"/>
        </w:rPr>
        <w:t>人民政府2023年森林防火命令</w:t>
      </w:r>
    </w:p>
    <w:p>
      <w:pPr>
        <w:ind w:firstLine="3200" w:firstLineChars="1000"/>
        <w:jc w:val="both"/>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征求意见</w:t>
      </w:r>
      <w:r>
        <w:rPr>
          <w:rFonts w:hint="eastAsia" w:ascii="仿宋" w:hAnsi="仿宋" w:eastAsia="仿宋" w:cs="仿宋"/>
          <w:sz w:val="32"/>
          <w:szCs w:val="32"/>
        </w:rPr>
        <w:t>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为有效预防和扑救森林火灾，全力维护人民生命财产和生态安全，根据《中华人民共和国森林法》《森林防火条例》《四川省森林防火条例》等有关规定，结合我</w:t>
      </w:r>
      <w:r>
        <w:rPr>
          <w:rFonts w:hint="eastAsia" w:ascii="仿宋" w:hAnsi="仿宋" w:eastAsia="仿宋" w:cs="仿宋"/>
          <w:sz w:val="32"/>
          <w:szCs w:val="32"/>
          <w:lang w:eastAsia="zh-CN"/>
        </w:rPr>
        <w:t>县</w:t>
      </w:r>
      <w:r>
        <w:rPr>
          <w:rFonts w:hint="eastAsia" w:ascii="仿宋" w:hAnsi="仿宋" w:eastAsia="仿宋" w:cs="仿宋"/>
          <w:sz w:val="32"/>
          <w:szCs w:val="32"/>
        </w:rPr>
        <w:t>实际，发布如下命令。</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黑体" w:hAnsi="黑体" w:eastAsia="黑体" w:cs="黑体"/>
          <w:b/>
          <w:bCs/>
          <w:sz w:val="32"/>
          <w:szCs w:val="32"/>
        </w:rPr>
        <w:t>一、明确森林防火期。</w:t>
      </w:r>
      <w:r>
        <w:rPr>
          <w:rFonts w:hint="eastAsia" w:ascii="仿宋" w:hAnsi="仿宋" w:eastAsia="仿宋" w:cs="仿宋"/>
          <w:sz w:val="32"/>
          <w:szCs w:val="32"/>
        </w:rPr>
        <w:t>2023年全</w:t>
      </w:r>
      <w:r>
        <w:rPr>
          <w:rFonts w:hint="eastAsia" w:ascii="仿宋" w:hAnsi="仿宋" w:eastAsia="仿宋" w:cs="仿宋"/>
          <w:sz w:val="32"/>
          <w:szCs w:val="32"/>
          <w:lang w:eastAsia="zh-CN"/>
        </w:rPr>
        <w:t>县</w:t>
      </w:r>
      <w:r>
        <w:rPr>
          <w:rFonts w:hint="eastAsia" w:ascii="仿宋" w:hAnsi="仿宋" w:eastAsia="仿宋" w:cs="仿宋"/>
          <w:sz w:val="32"/>
          <w:szCs w:val="32"/>
        </w:rPr>
        <w:t>森林防火期为</w:t>
      </w:r>
      <w:r>
        <w:rPr>
          <w:rFonts w:hint="eastAsia" w:ascii="仿宋" w:hAnsi="仿宋" w:eastAsia="仿宋" w:cs="仿宋"/>
          <w:sz w:val="32"/>
          <w:szCs w:val="32"/>
          <w:lang w:val="en-US" w:eastAsia="zh-CN"/>
        </w:rPr>
        <w:t>2022年</w:t>
      </w:r>
      <w:r>
        <w:rPr>
          <w:rFonts w:hint="eastAsia" w:ascii="仿宋" w:hAnsi="仿宋" w:eastAsia="仿宋" w:cs="仿宋"/>
          <w:sz w:val="32"/>
          <w:szCs w:val="32"/>
        </w:rPr>
        <w:t>1</w:t>
      </w:r>
      <w:r>
        <w:rPr>
          <w:rFonts w:hint="eastAsia" w:ascii="仿宋" w:hAnsi="仿宋" w:eastAsia="仿宋" w:cs="仿宋"/>
          <w:sz w:val="32"/>
          <w:szCs w:val="32"/>
          <w:lang w:val="en-US" w:eastAsia="zh-CN"/>
        </w:rPr>
        <w:t>2</w:t>
      </w:r>
      <w:r>
        <w:rPr>
          <w:rFonts w:hint="eastAsia" w:ascii="仿宋" w:hAnsi="仿宋" w:eastAsia="仿宋" w:cs="仿宋"/>
          <w:sz w:val="32"/>
          <w:szCs w:val="32"/>
        </w:rPr>
        <w:t>月1日至5月31日，其中2月1日至5月10日为森林高火险期。</w:t>
      </w:r>
      <w:r>
        <w:rPr>
          <w:rFonts w:hint="eastAsia" w:ascii="仿宋" w:hAnsi="仿宋" w:eastAsia="仿宋" w:cs="仿宋"/>
          <w:sz w:val="32"/>
          <w:szCs w:val="32"/>
          <w:lang w:val="en-US" w:eastAsia="zh-CN"/>
        </w:rPr>
        <w:t>我县</w:t>
      </w:r>
      <w:r>
        <w:rPr>
          <w:rFonts w:hint="eastAsia" w:ascii="仿宋" w:hAnsi="仿宋" w:eastAsia="仿宋" w:cs="仿宋"/>
          <w:sz w:val="32"/>
          <w:szCs w:val="32"/>
        </w:rPr>
        <w:t>结合实际，</w:t>
      </w:r>
      <w:r>
        <w:rPr>
          <w:rFonts w:hint="eastAsia" w:ascii="仿宋" w:hAnsi="仿宋" w:eastAsia="仿宋" w:cs="仿宋"/>
          <w:sz w:val="32"/>
          <w:szCs w:val="32"/>
          <w:lang w:eastAsia="zh-CN"/>
        </w:rPr>
        <w:t>如需</w:t>
      </w:r>
      <w:r>
        <w:rPr>
          <w:rFonts w:hint="eastAsia" w:ascii="仿宋" w:hAnsi="仿宋" w:eastAsia="仿宋" w:cs="仿宋"/>
          <w:sz w:val="32"/>
          <w:szCs w:val="32"/>
        </w:rPr>
        <w:t>延长森林防火期和高火险期，向社会公布，</w:t>
      </w:r>
      <w:r>
        <w:rPr>
          <w:rFonts w:hint="eastAsia" w:ascii="仿宋" w:hAnsi="仿宋" w:eastAsia="仿宋" w:cs="仿宋"/>
          <w:sz w:val="32"/>
          <w:szCs w:val="32"/>
          <w:lang w:eastAsia="zh-CN"/>
        </w:rPr>
        <w:t>要</w:t>
      </w:r>
      <w:r>
        <w:rPr>
          <w:rFonts w:hint="eastAsia" w:ascii="仿宋" w:hAnsi="仿宋" w:eastAsia="仿宋" w:cs="仿宋"/>
          <w:sz w:val="32"/>
          <w:szCs w:val="32"/>
        </w:rPr>
        <w:t>报上一级人民政府和森林防灭火指挥部备案。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lang w:eastAsia="zh-CN"/>
        </w:rPr>
      </w:pPr>
      <w:r>
        <w:rPr>
          <w:rFonts w:hint="eastAsia" w:ascii="黑体" w:hAnsi="黑体" w:eastAsia="黑体" w:cs="黑体"/>
          <w:b/>
          <w:bCs/>
          <w:sz w:val="32"/>
          <w:szCs w:val="32"/>
        </w:rPr>
        <w:t>二、划定森林防火区。</w:t>
      </w:r>
      <w:r>
        <w:rPr>
          <w:rFonts w:hint="eastAsia" w:ascii="仿宋" w:hAnsi="仿宋" w:eastAsia="仿宋" w:cs="仿宋"/>
          <w:b w:val="0"/>
          <w:bCs w:val="0"/>
          <w:sz w:val="32"/>
          <w:szCs w:val="32"/>
          <w:lang w:eastAsia="zh-CN"/>
        </w:rPr>
        <w:t>夹江县</w:t>
      </w:r>
      <w:r>
        <w:rPr>
          <w:rFonts w:hint="eastAsia" w:ascii="仿宋" w:hAnsi="仿宋" w:eastAsia="仿宋" w:cs="仿宋"/>
          <w:sz w:val="32"/>
          <w:szCs w:val="32"/>
        </w:rPr>
        <w:t>森林防火区、森林高火险区</w:t>
      </w:r>
      <w:r>
        <w:rPr>
          <w:rFonts w:hint="eastAsia" w:ascii="仿宋" w:hAnsi="仿宋" w:eastAsia="仿宋" w:cs="仿宋"/>
          <w:sz w:val="32"/>
          <w:szCs w:val="32"/>
          <w:lang w:val="en-US" w:eastAsia="zh-CN"/>
        </w:rPr>
        <w:t>为</w:t>
      </w:r>
      <w:r>
        <w:rPr>
          <w:rFonts w:hint="eastAsia" w:ascii="仿宋" w:hAnsi="仿宋" w:eastAsia="仿宋" w:cs="仿宋"/>
          <w:sz w:val="32"/>
          <w:szCs w:val="32"/>
          <w:lang w:eastAsia="zh-CN"/>
        </w:rPr>
        <w:t>华头镇、木城镇，其他镇（街）辖区内林地及林地边缘向外</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0米范围内为森林防火区。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黑体" w:hAnsi="黑体" w:eastAsia="黑体" w:cs="黑体"/>
          <w:b/>
          <w:bCs/>
          <w:sz w:val="32"/>
          <w:szCs w:val="32"/>
        </w:rPr>
        <w:t>三、适时发布禁火令。</w:t>
      </w:r>
      <w:r>
        <w:rPr>
          <w:rFonts w:hint="eastAsia" w:ascii="仿宋" w:hAnsi="仿宋" w:eastAsia="仿宋" w:cs="仿宋"/>
          <w:sz w:val="32"/>
          <w:szCs w:val="32"/>
        </w:rPr>
        <w:t>预报有高温、干旱、大风、强雷暴等高火险天气时，县级以上地方人民政府应当适时发布禁火令，严禁一切野外用火；对可能引起森林火灾的居民生活用火应当严格管理；必要时对高火险区实施封山管理，除封山区域内居民和森林防灭火有关工作人员外，其余人员未经批准一律不得进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黑体" w:hAnsi="黑体" w:eastAsia="黑体" w:cs="黑体"/>
          <w:b/>
          <w:bCs/>
          <w:sz w:val="32"/>
          <w:szCs w:val="32"/>
        </w:rPr>
        <w:t>四、严格野外火源管控。</w:t>
      </w:r>
      <w:r>
        <w:rPr>
          <w:rFonts w:hint="eastAsia" w:ascii="仿宋" w:hAnsi="仿宋" w:eastAsia="仿宋" w:cs="仿宋"/>
          <w:sz w:val="32"/>
          <w:szCs w:val="32"/>
        </w:rPr>
        <w:t>森林防火期内，应当遵守以下规定：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（一）严禁在森林防火区内野外吸烟、烧纸、烧香、点烛、燃放烟花爆竹、点放孔明灯、烧蜂、电猫狩猎、火把照明、生火取暖、野炊、烧荒、烧地边、烧田埂、焚烧秸杆、烧灰积肥、焚烧垃圾及其他野外用火；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（二）农林牧生产、焚烧疫木、工程勘察设计、施工作业、民俗活动等确需在森林防火区内野外用火的，应当向当地县级人民政府</w:t>
      </w:r>
      <w:r>
        <w:rPr>
          <w:rFonts w:hint="eastAsia" w:ascii="仿宋" w:hAnsi="仿宋" w:eastAsia="仿宋" w:cs="仿宋"/>
          <w:sz w:val="32"/>
          <w:szCs w:val="32"/>
          <w:lang w:val="en-US" w:eastAsia="zh-CN"/>
        </w:rPr>
        <w:t>职能部门</w:t>
      </w:r>
      <w:r>
        <w:rPr>
          <w:rFonts w:hint="eastAsia" w:ascii="仿宋" w:hAnsi="仿宋" w:eastAsia="仿宋" w:cs="仿宋"/>
          <w:sz w:val="32"/>
          <w:szCs w:val="32"/>
        </w:rPr>
        <w:t>提交用火申请，经审查批准后，在指定时间、指定地点、明确现场责任人和采取防“跑火”等安全措施的前提下实施。在森林防火区内进行实弹演习、爆破等活动的，应当经</w:t>
      </w:r>
      <w:r>
        <w:rPr>
          <w:rFonts w:hint="eastAsia" w:ascii="仿宋" w:hAnsi="仿宋" w:eastAsia="仿宋" w:cs="仿宋"/>
          <w:sz w:val="32"/>
          <w:szCs w:val="32"/>
          <w:lang w:val="en-US" w:eastAsia="zh-CN"/>
        </w:rPr>
        <w:t>市人民</w:t>
      </w:r>
      <w:r>
        <w:rPr>
          <w:rFonts w:hint="eastAsia" w:ascii="仿宋" w:hAnsi="仿宋" w:eastAsia="仿宋" w:cs="仿宋"/>
          <w:sz w:val="32"/>
          <w:szCs w:val="32"/>
        </w:rPr>
        <w:t>政府林草行政主管部门批准，并采取必要的防火措施；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按规定在林区要道、国有林场林区、各类自然保护地、景区等出入口设立检查站，并设置森林防火警示牌、预警信息提示牌和“防火码”。凡进入森林防火区的人员和车辆必须扫码登记，接受防火检查，主动交出火源由检查站代为保管，严禁携带火种或易燃易爆物品进入森林防火区</w:t>
      </w:r>
      <w:r>
        <w:rPr>
          <w:rFonts w:hint="eastAsia" w:ascii="仿宋" w:hAnsi="仿宋" w:eastAsia="仿宋" w:cs="仿宋"/>
          <w:sz w:val="32"/>
          <w:szCs w:val="32"/>
          <w:lang w:eastAsia="zh-CN"/>
        </w:rPr>
        <w:t>，</w:t>
      </w:r>
      <w:r>
        <w:rPr>
          <w:rFonts w:hint="eastAsia" w:ascii="仿宋" w:hAnsi="仿宋" w:eastAsia="仿宋" w:cs="仿宋"/>
          <w:sz w:val="32"/>
          <w:szCs w:val="32"/>
        </w:rPr>
        <w:t>机动车等司乘人员严禁在森林防火区丢弃火种火源。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凡违反以上规定和县级以上地方人民政府</w:t>
      </w:r>
      <w:r>
        <w:rPr>
          <w:rFonts w:hint="eastAsia" w:ascii="仿宋" w:hAnsi="仿宋" w:eastAsia="仿宋" w:cs="仿宋"/>
          <w:sz w:val="32"/>
          <w:szCs w:val="32"/>
          <w:lang w:val="en-US" w:eastAsia="zh-CN"/>
        </w:rPr>
        <w:t>防</w:t>
      </w:r>
      <w:r>
        <w:rPr>
          <w:rFonts w:hint="eastAsia" w:ascii="仿宋" w:hAnsi="仿宋" w:eastAsia="仿宋" w:cs="仿宋"/>
          <w:sz w:val="32"/>
          <w:szCs w:val="32"/>
        </w:rPr>
        <w:t>火令的，县级人民政府林业行政主管部门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公安</w:t>
      </w:r>
      <w:r>
        <w:rPr>
          <w:rFonts w:hint="eastAsia" w:ascii="仿宋" w:hAnsi="仿宋" w:eastAsia="仿宋" w:cs="仿宋"/>
          <w:sz w:val="32"/>
          <w:szCs w:val="32"/>
        </w:rPr>
        <w:t>或承接有关行政处罚权的镇（</w:t>
      </w:r>
      <w:r>
        <w:rPr>
          <w:rFonts w:hint="eastAsia" w:ascii="仿宋" w:hAnsi="仿宋" w:eastAsia="仿宋" w:cs="仿宋"/>
          <w:sz w:val="32"/>
          <w:szCs w:val="32"/>
          <w:lang w:val="en-US" w:eastAsia="zh-CN"/>
        </w:rPr>
        <w:t>街道</w:t>
      </w:r>
      <w:r>
        <w:rPr>
          <w:rFonts w:hint="eastAsia" w:ascii="仿宋" w:hAnsi="仿宋" w:eastAsia="仿宋" w:cs="仿宋"/>
          <w:sz w:val="32"/>
          <w:szCs w:val="32"/>
        </w:rPr>
        <w:t>）依法给予相应处罚；构成犯罪的，依法追究刑事责任。对森林防火期内在森林防火区野外烧纸、吸烟等违规用火的，一律依法给予行政处罚；公职人员一律依规依纪依法给予党纪政务处分直至开除公职；对在场不予制止或制止不力的领导干部一律依规依纪依法给予党纪政务处分；对引起火灾构成犯罪的，一律依法追究刑事责任。</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黑体" w:hAnsi="黑体" w:eastAsia="黑体" w:cs="黑体"/>
          <w:b/>
          <w:bCs/>
          <w:sz w:val="32"/>
          <w:szCs w:val="32"/>
        </w:rPr>
        <w:t>五、排查整治火灾隐患。</w:t>
      </w:r>
      <w:r>
        <w:rPr>
          <w:rFonts w:hint="eastAsia" w:ascii="仿宋" w:hAnsi="仿宋" w:eastAsia="仿宋" w:cs="仿宋"/>
          <w:sz w:val="32"/>
          <w:szCs w:val="32"/>
        </w:rPr>
        <w:t>各</w:t>
      </w:r>
      <w:r>
        <w:rPr>
          <w:rFonts w:hint="eastAsia" w:ascii="仿宋" w:hAnsi="仿宋" w:eastAsia="仿宋" w:cs="仿宋"/>
          <w:sz w:val="32"/>
          <w:szCs w:val="32"/>
          <w:lang w:eastAsia="zh-CN"/>
        </w:rPr>
        <w:t>镇（街</w:t>
      </w:r>
      <w:r>
        <w:rPr>
          <w:rFonts w:hint="eastAsia" w:ascii="仿宋" w:hAnsi="仿宋" w:eastAsia="仿宋" w:cs="仿宋"/>
          <w:sz w:val="32"/>
          <w:szCs w:val="32"/>
          <w:lang w:val="en-US" w:eastAsia="zh-CN"/>
        </w:rPr>
        <w:t>道</w:t>
      </w:r>
      <w:r>
        <w:rPr>
          <w:rFonts w:hint="eastAsia" w:ascii="仿宋" w:hAnsi="仿宋" w:eastAsia="仿宋" w:cs="仿宋"/>
          <w:sz w:val="32"/>
          <w:szCs w:val="32"/>
          <w:lang w:eastAsia="zh-CN"/>
        </w:rPr>
        <w:t>）</w:t>
      </w:r>
      <w:r>
        <w:rPr>
          <w:rFonts w:hint="eastAsia" w:ascii="仿宋" w:hAnsi="仿宋" w:eastAsia="仿宋" w:cs="仿宋"/>
          <w:sz w:val="32"/>
          <w:szCs w:val="32"/>
        </w:rPr>
        <w:t>各有关部门和单位，应常态化组织开展森林火灾隐患排查整治。森林防火区内的城镇、道路、村庄（住户）、学校、医院、养老院、文物保护单位、易燃易爆站库、工厂、矿山、电站、施工工地、行人休息驿站、景区旅游步道、祭祀点等重点地段、重点目标和重要设施，以及在森林火灾危险地段的</w:t>
      </w:r>
      <w:bookmarkStart w:id="0" w:name="_GoBack"/>
      <w:bookmarkEnd w:id="0"/>
      <w:r>
        <w:rPr>
          <w:rFonts w:hint="eastAsia" w:ascii="仿宋" w:hAnsi="仿宋" w:eastAsia="仿宋" w:cs="仿宋"/>
          <w:sz w:val="32"/>
          <w:szCs w:val="32"/>
        </w:rPr>
        <w:t>石油天然气管道、电力和电信线路设施等，有关责任单位应当开设防火隔离带，清除沿途、周边和下方的枯枝落叶、杂草等可燃物，对电力、通信线路和石油天然气管道定期组织看守巡护和安全检查，整治存在的火灾隐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黑体" w:hAnsi="黑体" w:eastAsia="黑体" w:cs="黑体"/>
          <w:b/>
          <w:bCs/>
          <w:sz w:val="32"/>
          <w:szCs w:val="32"/>
        </w:rPr>
        <w:t>六、实施分区分级精准防控。</w:t>
      </w:r>
      <w:r>
        <w:rPr>
          <w:rFonts w:hint="eastAsia" w:ascii="仿宋" w:hAnsi="仿宋" w:eastAsia="仿宋" w:cs="仿宋"/>
          <w:sz w:val="32"/>
          <w:szCs w:val="32"/>
        </w:rPr>
        <w:t>各</w:t>
      </w:r>
      <w:r>
        <w:rPr>
          <w:rFonts w:hint="eastAsia" w:ascii="仿宋" w:hAnsi="仿宋" w:eastAsia="仿宋" w:cs="仿宋"/>
          <w:sz w:val="32"/>
          <w:szCs w:val="32"/>
          <w:lang w:eastAsia="zh-CN"/>
        </w:rPr>
        <w:t>镇（街）</w:t>
      </w:r>
      <w:r>
        <w:rPr>
          <w:rFonts w:hint="eastAsia" w:ascii="仿宋" w:hAnsi="仿宋" w:eastAsia="仿宋" w:cs="仿宋"/>
          <w:sz w:val="32"/>
          <w:szCs w:val="32"/>
        </w:rPr>
        <w:t>各有关单位要根据本地本单位火险等级、火险区划等划分森林防火责任区域，明确责任人和职责任务，实行网格化管理。要加强森林火险预测预报预警，严格落实火险预警“叫应”机制和分区分级精准防控措施，落实村民挂牌轮流值班和巡山护林员制度。对无民事行为能力人和限制民事行为能力人，负有监护责任的单位和个人应当采取措施防止被监护人野外用火、玩火。林业行政主管部门要加强检查指导，督促国有林保护管理单位和镇</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街道</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要</w:t>
      </w:r>
      <w:r>
        <w:rPr>
          <w:rFonts w:hint="eastAsia" w:ascii="仿宋" w:hAnsi="仿宋" w:eastAsia="仿宋" w:cs="仿宋"/>
          <w:sz w:val="32"/>
          <w:szCs w:val="32"/>
        </w:rPr>
        <w:t>加强防火检查和巡山护林，守住山、看住人、管住火。</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rPr>
        <w:t>七、加强应急准备和科学处置。</w:t>
      </w:r>
      <w:r>
        <w:rPr>
          <w:rFonts w:hint="eastAsia" w:ascii="仿宋" w:hAnsi="仿宋" w:eastAsia="仿宋" w:cs="仿宋"/>
          <w:sz w:val="32"/>
          <w:szCs w:val="32"/>
        </w:rPr>
        <w:t>森林防火期内，各级森林防灭火指挥机构和</w:t>
      </w:r>
      <w:r>
        <w:rPr>
          <w:rFonts w:hint="eastAsia" w:ascii="仿宋" w:hAnsi="仿宋" w:eastAsia="仿宋" w:cs="仿宋"/>
          <w:sz w:val="32"/>
          <w:szCs w:val="32"/>
          <w:lang w:val="en-US" w:eastAsia="zh-CN"/>
        </w:rPr>
        <w:t>重点</w:t>
      </w:r>
      <w:r>
        <w:rPr>
          <w:rFonts w:hint="eastAsia" w:ascii="仿宋" w:hAnsi="仿宋" w:eastAsia="仿宋" w:cs="仿宋"/>
          <w:sz w:val="32"/>
          <w:szCs w:val="32"/>
        </w:rPr>
        <w:t>森林防灭火任务的部门</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镇</w:t>
      </w:r>
      <w:r>
        <w:rPr>
          <w:rFonts w:hint="eastAsia" w:ascii="仿宋" w:hAnsi="仿宋" w:eastAsia="仿宋" w:cs="仿宋"/>
          <w:sz w:val="32"/>
          <w:szCs w:val="32"/>
        </w:rPr>
        <w:t>（</w:t>
      </w:r>
      <w:r>
        <w:rPr>
          <w:rFonts w:hint="eastAsia" w:ascii="仿宋" w:hAnsi="仿宋" w:eastAsia="仿宋" w:cs="仿宋"/>
          <w:sz w:val="32"/>
          <w:szCs w:val="32"/>
          <w:lang w:val="en-US" w:eastAsia="zh-CN"/>
        </w:rPr>
        <w:t>街道</w:t>
      </w:r>
      <w:r>
        <w:rPr>
          <w:rFonts w:hint="eastAsia" w:ascii="仿宋" w:hAnsi="仿宋" w:eastAsia="仿宋" w:cs="仿宋"/>
          <w:sz w:val="32"/>
          <w:szCs w:val="32"/>
        </w:rPr>
        <w:t>）执行24小时值班和领导带班制度。各</w:t>
      </w:r>
      <w:r>
        <w:rPr>
          <w:rFonts w:hint="eastAsia" w:ascii="仿宋" w:hAnsi="仿宋" w:eastAsia="仿宋" w:cs="仿宋"/>
          <w:sz w:val="32"/>
          <w:szCs w:val="32"/>
          <w:lang w:eastAsia="zh-CN"/>
        </w:rPr>
        <w:t>镇（街）</w:t>
      </w:r>
      <w:r>
        <w:rPr>
          <w:rFonts w:hint="eastAsia" w:ascii="仿宋" w:hAnsi="仿宋" w:eastAsia="仿宋" w:cs="仿宋"/>
          <w:sz w:val="32"/>
          <w:szCs w:val="32"/>
        </w:rPr>
        <w:t>和有关单位要“空天地”结合开展火情监测，保持防灭火设施和装备完好有效，备足应急救援物资，补充蓄满消防用水，各类扑火队伍要做好扑火准备，火情早期处置队伍在防火期要靠前驻防、带装巡护，高火险时段在重点地段前置扑火力量、装备和物资。一旦出现火情，按预案规定启动应急响应，第一时间采取措施疏散转移受威胁群众和保护重要设施，在具备条件和扑火人员安全有保障的前提下，立即采取安全有效的措施有序组织开展扑救，控制火情，防止蔓延，减少损失。</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黑体" w:hAnsi="黑体" w:eastAsia="黑体" w:cs="黑体"/>
          <w:b/>
          <w:bCs/>
          <w:sz w:val="32"/>
          <w:szCs w:val="32"/>
        </w:rPr>
        <w:t>八、强化宣传教育。</w:t>
      </w:r>
      <w:r>
        <w:rPr>
          <w:rFonts w:hint="eastAsia" w:ascii="仿宋" w:hAnsi="仿宋" w:eastAsia="仿宋" w:cs="仿宋"/>
          <w:sz w:val="32"/>
          <w:szCs w:val="32"/>
        </w:rPr>
        <w:t>各</w:t>
      </w:r>
      <w:r>
        <w:rPr>
          <w:rFonts w:hint="eastAsia" w:ascii="仿宋" w:hAnsi="仿宋" w:eastAsia="仿宋" w:cs="仿宋"/>
          <w:sz w:val="32"/>
          <w:szCs w:val="32"/>
          <w:lang w:eastAsia="zh-CN"/>
        </w:rPr>
        <w:t>镇（街）</w:t>
      </w:r>
      <w:r>
        <w:rPr>
          <w:rFonts w:hint="eastAsia" w:ascii="仿宋" w:hAnsi="仿宋" w:eastAsia="仿宋" w:cs="仿宋"/>
          <w:sz w:val="32"/>
          <w:szCs w:val="32"/>
        </w:rPr>
        <w:t>各有关部门和单位要采取多种形式，广泛开展森林防灭火宣传教育，做好防灭火宣传月和“3.30”警示日等</w:t>
      </w:r>
      <w:r>
        <w:rPr>
          <w:rFonts w:hint="eastAsia" w:ascii="仿宋" w:hAnsi="仿宋" w:eastAsia="仿宋" w:cs="仿宋"/>
          <w:sz w:val="32"/>
          <w:szCs w:val="32"/>
          <w:lang w:val="en-US" w:eastAsia="zh-CN"/>
        </w:rPr>
        <w:t>重大节日</w:t>
      </w:r>
      <w:r>
        <w:rPr>
          <w:rFonts w:hint="eastAsia" w:ascii="仿宋" w:hAnsi="仿宋" w:eastAsia="仿宋" w:cs="仿宋"/>
          <w:sz w:val="32"/>
          <w:szCs w:val="32"/>
        </w:rPr>
        <w:t>系列宣传活动，强化警示教育，引导群众移风易俗和文明安全用火，增强公众的责任意识、安全意识和法治意识，提高公众预防、避险、自救、互救和减灾能力。</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黑体" w:hAnsi="黑体" w:eastAsia="黑体" w:cs="黑体"/>
          <w:b/>
          <w:bCs/>
          <w:sz w:val="32"/>
          <w:szCs w:val="32"/>
        </w:rPr>
        <w:t>九、依法落实防灭火责任。</w:t>
      </w:r>
      <w:r>
        <w:rPr>
          <w:rFonts w:hint="eastAsia" w:ascii="仿宋" w:hAnsi="仿宋" w:eastAsia="仿宋" w:cs="仿宋"/>
          <w:sz w:val="32"/>
          <w:szCs w:val="32"/>
        </w:rPr>
        <w:t>各</w:t>
      </w:r>
      <w:r>
        <w:rPr>
          <w:rFonts w:hint="eastAsia" w:ascii="仿宋" w:hAnsi="仿宋" w:eastAsia="仿宋" w:cs="仿宋"/>
          <w:sz w:val="32"/>
          <w:szCs w:val="32"/>
          <w:lang w:val="en-US" w:eastAsia="zh-CN"/>
        </w:rPr>
        <w:t>镇（街）</w:t>
      </w:r>
      <w:r>
        <w:rPr>
          <w:rFonts w:hint="eastAsia" w:ascii="仿宋" w:hAnsi="仿宋" w:eastAsia="仿宋" w:cs="仿宋"/>
          <w:sz w:val="32"/>
          <w:szCs w:val="32"/>
        </w:rPr>
        <w:t>全面执行森林防灭火工作行政首长负责制，落实属地领导责任、部门行业监管责任和生产经营管理单位（个人）主体责任；实行县包镇（</w:t>
      </w:r>
      <w:r>
        <w:rPr>
          <w:rFonts w:hint="eastAsia" w:ascii="仿宋" w:hAnsi="仿宋" w:eastAsia="仿宋" w:cs="仿宋"/>
          <w:sz w:val="32"/>
          <w:szCs w:val="32"/>
          <w:lang w:val="en-US" w:eastAsia="zh-CN"/>
        </w:rPr>
        <w:t>街道</w:t>
      </w:r>
      <w:r>
        <w:rPr>
          <w:rFonts w:hint="eastAsia" w:ascii="仿宋" w:hAnsi="仿宋" w:eastAsia="仿宋" w:cs="仿宋"/>
          <w:sz w:val="32"/>
          <w:szCs w:val="32"/>
        </w:rPr>
        <w:t>）、镇（</w:t>
      </w:r>
      <w:r>
        <w:rPr>
          <w:rFonts w:hint="eastAsia" w:ascii="仿宋" w:hAnsi="仿宋" w:eastAsia="仿宋" w:cs="仿宋"/>
          <w:sz w:val="32"/>
          <w:szCs w:val="32"/>
          <w:lang w:val="en-US" w:eastAsia="zh-CN"/>
        </w:rPr>
        <w:t>街道</w:t>
      </w:r>
      <w:r>
        <w:rPr>
          <w:rFonts w:hint="eastAsia" w:ascii="仿宋" w:hAnsi="仿宋" w:eastAsia="仿宋" w:cs="仿宋"/>
          <w:sz w:val="32"/>
          <w:szCs w:val="32"/>
        </w:rPr>
        <w:t>）包村（</w:t>
      </w:r>
      <w:r>
        <w:rPr>
          <w:rFonts w:hint="eastAsia" w:ascii="仿宋" w:hAnsi="仿宋" w:eastAsia="仿宋" w:cs="仿宋"/>
          <w:sz w:val="32"/>
          <w:szCs w:val="32"/>
          <w:lang w:val="en-US" w:eastAsia="zh-CN"/>
        </w:rPr>
        <w:t>社区</w:t>
      </w:r>
      <w:r>
        <w:rPr>
          <w:rFonts w:hint="eastAsia" w:ascii="仿宋" w:hAnsi="仿宋" w:eastAsia="仿宋" w:cs="仿宋"/>
          <w:sz w:val="32"/>
          <w:szCs w:val="32"/>
        </w:rPr>
        <w:t>）、村（</w:t>
      </w:r>
      <w:r>
        <w:rPr>
          <w:rFonts w:hint="eastAsia" w:ascii="仿宋" w:hAnsi="仿宋" w:eastAsia="仿宋" w:cs="仿宋"/>
          <w:sz w:val="32"/>
          <w:szCs w:val="32"/>
          <w:lang w:val="en-US" w:eastAsia="zh-CN"/>
        </w:rPr>
        <w:t>社区</w:t>
      </w:r>
      <w:r>
        <w:rPr>
          <w:rFonts w:hint="eastAsia" w:ascii="仿宋" w:hAnsi="仿宋" w:eastAsia="仿宋" w:cs="仿宋"/>
          <w:sz w:val="32"/>
          <w:szCs w:val="32"/>
        </w:rPr>
        <w:t>）包</w:t>
      </w:r>
      <w:r>
        <w:rPr>
          <w:rFonts w:hint="eastAsia" w:ascii="仿宋" w:hAnsi="仿宋" w:eastAsia="仿宋" w:cs="仿宋"/>
          <w:sz w:val="32"/>
          <w:szCs w:val="32"/>
          <w:lang w:val="en-US" w:eastAsia="zh-CN"/>
        </w:rPr>
        <w:t>组</w:t>
      </w:r>
      <w:r>
        <w:rPr>
          <w:rFonts w:hint="eastAsia" w:ascii="仿宋" w:hAnsi="仿宋" w:eastAsia="仿宋" w:cs="仿宋"/>
          <w:sz w:val="32"/>
          <w:szCs w:val="32"/>
        </w:rPr>
        <w:t>、</w:t>
      </w:r>
      <w:r>
        <w:rPr>
          <w:rFonts w:hint="eastAsia" w:ascii="仿宋" w:hAnsi="仿宋" w:eastAsia="仿宋" w:cs="仿宋"/>
          <w:sz w:val="32"/>
          <w:szCs w:val="32"/>
          <w:lang w:val="en-US" w:eastAsia="zh-CN"/>
        </w:rPr>
        <w:t>组包户，</w:t>
      </w:r>
      <w:r>
        <w:rPr>
          <w:rFonts w:hint="eastAsia" w:ascii="仿宋" w:hAnsi="仿宋" w:eastAsia="仿宋" w:cs="仿宋"/>
          <w:sz w:val="32"/>
          <w:szCs w:val="32"/>
        </w:rPr>
        <w:t>护林员包山。林区毗邻地区、单位签订联防协议，落实联防联控责任，协同做好联防区域内的森林防灭火工作。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 w:hAnsi="仿宋" w:eastAsia="仿宋" w:cs="仿宋"/>
          <w:sz w:val="32"/>
          <w:szCs w:val="32"/>
        </w:rPr>
      </w:pPr>
      <w:r>
        <w:rPr>
          <w:rFonts w:hint="eastAsia" w:ascii="黑体" w:hAnsi="黑体" w:eastAsia="黑体" w:cs="黑体"/>
          <w:b/>
          <w:bCs/>
          <w:sz w:val="32"/>
          <w:szCs w:val="32"/>
        </w:rPr>
        <w:t>十、加大监督检查力度。</w:t>
      </w:r>
      <w:r>
        <w:rPr>
          <w:rFonts w:hint="eastAsia" w:ascii="仿宋" w:hAnsi="仿宋" w:eastAsia="仿宋" w:cs="仿宋"/>
          <w:sz w:val="32"/>
          <w:szCs w:val="32"/>
        </w:rPr>
        <w:t>各</w:t>
      </w:r>
      <w:r>
        <w:rPr>
          <w:rFonts w:hint="eastAsia" w:ascii="仿宋" w:hAnsi="仿宋" w:eastAsia="仿宋" w:cs="仿宋"/>
          <w:sz w:val="32"/>
          <w:szCs w:val="32"/>
          <w:lang w:val="en-US" w:eastAsia="zh-CN"/>
        </w:rPr>
        <w:t>镇（街道）</w:t>
      </w:r>
      <w:r>
        <w:rPr>
          <w:rFonts w:hint="eastAsia" w:ascii="仿宋" w:hAnsi="仿宋" w:eastAsia="仿宋" w:cs="仿宋"/>
          <w:sz w:val="32"/>
          <w:szCs w:val="32"/>
        </w:rPr>
        <w:t>对检查发现的森林火灾隐患和问题，要</w:t>
      </w:r>
      <w:r>
        <w:rPr>
          <w:rFonts w:hint="eastAsia" w:ascii="仿宋" w:hAnsi="仿宋" w:eastAsia="仿宋" w:cs="仿宋"/>
          <w:sz w:val="32"/>
          <w:szCs w:val="32"/>
          <w:lang w:val="en-US" w:eastAsia="zh-CN"/>
        </w:rPr>
        <w:t>及时</w:t>
      </w:r>
      <w:r>
        <w:rPr>
          <w:rFonts w:hint="eastAsia" w:ascii="仿宋" w:hAnsi="仿宋" w:eastAsia="仿宋" w:cs="仿宋"/>
          <w:sz w:val="32"/>
          <w:szCs w:val="32"/>
        </w:rPr>
        <w:t>向</w:t>
      </w:r>
      <w:r>
        <w:rPr>
          <w:rFonts w:hint="eastAsia" w:ascii="仿宋" w:hAnsi="仿宋" w:eastAsia="仿宋" w:cs="仿宋"/>
          <w:sz w:val="32"/>
          <w:szCs w:val="32"/>
          <w:lang w:val="en-US" w:eastAsia="zh-CN"/>
        </w:rPr>
        <w:t>所属村（社区）或</w:t>
      </w:r>
      <w:r>
        <w:rPr>
          <w:rFonts w:hint="eastAsia" w:ascii="仿宋" w:hAnsi="仿宋" w:eastAsia="仿宋" w:cs="仿宋"/>
          <w:sz w:val="32"/>
          <w:szCs w:val="32"/>
        </w:rPr>
        <w:t>责任单位下发整改通知书，督促限期整改，对拒不整改的，依规依纪依法严肃处理。公安、林业等部门坚持依法行政、依法治火，严格查处森林火灾案件，做到每案必查、每案必究。凡发生重大及以上人为森林火灾或造成重大人员伤亡的，一律依规依纪依法严肃问责。任何单位和个人发现森林火情，应立即拨打火灾报警电话12119。</w:t>
      </w: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pStyle w:val="2"/>
      </w:pPr>
    </w:p>
    <w:p>
      <w:pPr>
        <w:pStyle w:val="3"/>
      </w:pPr>
    </w:p>
    <w:p/>
    <w:p>
      <w:pPr>
        <w:adjustRightInd w:val="0"/>
        <w:snapToGrid w:val="0"/>
        <w:spacing w:line="60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征求意见回复</w:t>
      </w:r>
      <w:r>
        <w:rPr>
          <w:rFonts w:hint="eastAsia" w:ascii="方正小标宋简体" w:eastAsia="方正小标宋简体"/>
          <w:sz w:val="44"/>
          <w:szCs w:val="44"/>
        </w:rPr>
        <w:t>表</w:t>
      </w:r>
    </w:p>
    <w:p>
      <w:pPr>
        <w:spacing w:line="400" w:lineRule="exact"/>
        <w:ind w:right="187" w:rightChars="89" w:firstLine="420"/>
        <w:jc w:val="center"/>
        <w:rPr>
          <w:rFonts w:hint="eastAsia" w:ascii="方正小标宋简体" w:eastAsia="方正小标宋简体"/>
          <w:sz w:val="10"/>
          <w:szCs w:val="10"/>
        </w:rPr>
      </w:pPr>
    </w:p>
    <w:tbl>
      <w:tblPr>
        <w:tblStyle w:val="7"/>
        <w:tblW w:w="87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94"/>
        <w:gridCol w:w="64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2" w:hRule="atLeast"/>
          <w:jc w:val="center"/>
        </w:trPr>
        <w:tc>
          <w:tcPr>
            <w:tcW w:w="2294" w:type="dxa"/>
            <w:vAlign w:val="center"/>
          </w:tcPr>
          <w:p>
            <w:pPr>
              <w:spacing w:line="400" w:lineRule="exact"/>
              <w:jc w:val="center"/>
              <w:rPr>
                <w:rFonts w:hint="eastAsia" w:ascii="黑体" w:eastAsia="黑体"/>
                <w:sz w:val="24"/>
                <w:lang w:eastAsia="zh-CN"/>
              </w:rPr>
            </w:pPr>
            <w:r>
              <w:rPr>
                <w:rFonts w:hint="eastAsia" w:ascii="黑体" w:eastAsia="黑体"/>
                <w:sz w:val="24"/>
                <w:lang w:eastAsia="zh-CN"/>
              </w:rPr>
              <w:t>文件标题</w:t>
            </w:r>
          </w:p>
        </w:tc>
        <w:tc>
          <w:tcPr>
            <w:tcW w:w="6445" w:type="dxa"/>
            <w:vAlign w:val="center"/>
          </w:tcPr>
          <w:p>
            <w:pPr>
              <w:spacing w:line="400" w:lineRule="exact"/>
              <w:ind w:right="-50" w:rightChars="-24"/>
              <w:jc w:val="center"/>
              <w:rPr>
                <w:rFonts w:hint="eastAsia" w:ascii="仿宋_GB2312" w:eastAsia="仿宋_GB2312"/>
                <w:bCs/>
                <w:sz w:val="24"/>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2" w:hRule="atLeast"/>
          <w:jc w:val="center"/>
        </w:trPr>
        <w:tc>
          <w:tcPr>
            <w:tcW w:w="2294" w:type="dxa"/>
            <w:vAlign w:val="center"/>
          </w:tcPr>
          <w:p>
            <w:pPr>
              <w:jc w:val="center"/>
              <w:rPr>
                <w:rFonts w:hint="eastAsia" w:ascii="黑体" w:eastAsia="黑体"/>
                <w:sz w:val="24"/>
                <w:lang w:eastAsia="zh-CN"/>
              </w:rPr>
            </w:pPr>
            <w:r>
              <w:rPr>
                <w:rFonts w:hint="eastAsia" w:ascii="黑体" w:eastAsia="黑体"/>
                <w:sz w:val="24"/>
                <w:lang w:eastAsia="zh-CN"/>
              </w:rPr>
              <w:t>回</w:t>
            </w:r>
            <w:r>
              <w:rPr>
                <w:rFonts w:hint="eastAsia" w:ascii="黑体" w:eastAsia="黑体"/>
                <w:sz w:val="24"/>
                <w:lang w:val="en-US" w:eastAsia="zh-CN"/>
              </w:rPr>
              <w:t xml:space="preserve">    </w:t>
            </w:r>
            <w:r>
              <w:rPr>
                <w:rFonts w:hint="eastAsia" w:ascii="黑体" w:eastAsia="黑体"/>
                <w:sz w:val="24"/>
                <w:lang w:eastAsia="zh-CN"/>
              </w:rPr>
              <w:t>复</w:t>
            </w:r>
          </w:p>
          <w:p>
            <w:pPr>
              <w:jc w:val="center"/>
              <w:rPr>
                <w:rFonts w:hint="eastAsia" w:ascii="黑体" w:eastAsia="黑体"/>
                <w:sz w:val="24"/>
              </w:rPr>
            </w:pPr>
            <w:r>
              <w:rPr>
                <w:rFonts w:hint="eastAsia" w:ascii="黑体" w:eastAsia="黑体"/>
                <w:sz w:val="24"/>
                <w:lang w:eastAsia="zh-CN"/>
              </w:rPr>
              <w:t>意见</w:t>
            </w:r>
            <w:r>
              <w:rPr>
                <w:rFonts w:hint="eastAsia" w:ascii="黑体" w:eastAsia="黑体"/>
                <w:sz w:val="24"/>
              </w:rPr>
              <w:t>单位</w:t>
            </w:r>
          </w:p>
        </w:tc>
        <w:tc>
          <w:tcPr>
            <w:tcW w:w="6445" w:type="dxa"/>
            <w:vAlign w:val="center"/>
          </w:tcPr>
          <w:p>
            <w:pPr>
              <w:ind w:right="-50" w:rightChars="-24"/>
              <w:jc w:val="center"/>
              <w:rPr>
                <w:rFonts w:hint="eastAsia"/>
              </w:rPr>
            </w:pPr>
          </w:p>
          <w:p>
            <w:pPr>
              <w:pStyle w:val="4"/>
              <w:rPr>
                <w:rFonts w:hint="eastAsi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15" w:hRule="atLeast"/>
          <w:jc w:val="center"/>
        </w:trPr>
        <w:tc>
          <w:tcPr>
            <w:tcW w:w="2294" w:type="dxa"/>
            <w:vAlign w:val="center"/>
          </w:tcPr>
          <w:p>
            <w:pPr>
              <w:spacing w:line="400" w:lineRule="exact"/>
              <w:jc w:val="center"/>
              <w:rPr>
                <w:rFonts w:hint="eastAsia" w:ascii="黑体" w:eastAsia="黑体"/>
                <w:sz w:val="24"/>
                <w:lang w:eastAsia="zh-CN"/>
              </w:rPr>
            </w:pPr>
            <w:r>
              <w:rPr>
                <w:rFonts w:hint="eastAsia" w:ascii="黑体" w:eastAsia="黑体"/>
                <w:sz w:val="24"/>
                <w:lang w:eastAsia="zh-CN"/>
              </w:rPr>
              <w:t>股室初核意见</w:t>
            </w:r>
          </w:p>
          <w:p>
            <w:pPr>
              <w:jc w:val="center"/>
              <w:rPr>
                <w:rFonts w:hint="eastAsia" w:ascii="黑体" w:eastAsia="黑体"/>
                <w:sz w:val="24"/>
              </w:rPr>
            </w:pPr>
          </w:p>
        </w:tc>
        <w:tc>
          <w:tcPr>
            <w:tcW w:w="6445" w:type="dxa"/>
            <w:vAlign w:val="center"/>
          </w:tcPr>
          <w:p>
            <w:pPr>
              <w:numPr>
                <w:ilvl w:val="0"/>
                <w:numId w:val="0"/>
              </w:numPr>
              <w:spacing w:line="340" w:lineRule="exact"/>
              <w:ind w:right="-50" w:rightChars="-24"/>
              <w:jc w:val="left"/>
              <w:rPr>
                <w:rFonts w:hint="eastAsia" w:ascii="仿宋_GB2312"/>
                <w:bCs/>
                <w:sz w:val="24"/>
              </w:rPr>
            </w:pPr>
          </w:p>
          <w:p>
            <w:pPr>
              <w:bidi w:val="0"/>
              <w:jc w:val="left"/>
              <w:rPr>
                <w:rFonts w:hint="eastAsia" w:ascii="Times New Roman" w:hAnsi="Times New Roman" w:eastAsia="仿宋_GB2312" w:cs="Times New Roman"/>
                <w:kern w:val="2"/>
                <w:sz w:val="32"/>
                <w:szCs w:val="24"/>
                <w:lang w:val="en-US" w:eastAsia="zh-CN" w:bidi="ar-SA"/>
              </w:rPr>
            </w:pPr>
          </w:p>
          <w:p>
            <w:pPr>
              <w:ind w:right="-50" w:rightChars="-24"/>
              <w:jc w:val="left"/>
              <w:rPr>
                <w:rFonts w:hint="eastAsia" w:ascii="仿宋_GB2312"/>
                <w:sz w:val="24"/>
                <w:lang w:val="en-US" w:eastAsia="zh-CN"/>
              </w:rPr>
            </w:pPr>
          </w:p>
          <w:p>
            <w:pPr>
              <w:bidi w:val="0"/>
              <w:jc w:val="left"/>
              <w:rPr>
                <w:rFonts w:hint="eastAsia" w:ascii="Times New Roman" w:hAnsi="Times New Roman" w:eastAsia="仿宋_GB2312" w:cs="Times New Roman"/>
                <w:kern w:val="2"/>
                <w:sz w:val="32"/>
                <w:szCs w:val="24"/>
                <w:lang w:val="en-US" w:eastAsia="zh-CN" w:bidi="ar-SA"/>
              </w:rPr>
            </w:pPr>
          </w:p>
          <w:p>
            <w:pPr>
              <w:pStyle w:val="4"/>
              <w:rPr>
                <w:rFonts w:hint="eastAsia"/>
                <w:lang w:val="en-US" w:eastAsia="zh-CN"/>
              </w:rPr>
            </w:pPr>
          </w:p>
          <w:p>
            <w:pPr>
              <w:bidi w:val="0"/>
              <w:jc w:val="left"/>
              <w:rPr>
                <w:rFonts w:hint="default" w:ascii="Times New Roman" w:hAnsi="Times New Roman" w:eastAsia="仿宋_GB2312" w:cs="Times New Roman"/>
                <w:kern w:val="2"/>
                <w:sz w:val="32"/>
                <w:szCs w:val="24"/>
                <w:lang w:val="en-US" w:eastAsia="zh-CN" w:bidi="ar-SA"/>
              </w:rPr>
            </w:pPr>
            <w:r>
              <w:rPr>
                <w:rFonts w:hint="eastAsia" w:ascii="仿宋_GB2312"/>
                <w:sz w:val="24"/>
                <w:lang w:val="en-US" w:eastAsia="zh-CN"/>
              </w:rPr>
              <w:t>签字：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19" w:hRule="atLeast"/>
          <w:jc w:val="center"/>
        </w:trPr>
        <w:tc>
          <w:tcPr>
            <w:tcW w:w="2294" w:type="dxa"/>
            <w:vAlign w:val="center"/>
          </w:tcPr>
          <w:p>
            <w:pPr>
              <w:jc w:val="both"/>
              <w:rPr>
                <w:rFonts w:hint="eastAsia" w:ascii="黑体" w:eastAsia="黑体"/>
                <w:sz w:val="24"/>
              </w:rPr>
            </w:pPr>
            <w:r>
              <w:rPr>
                <w:rFonts w:hint="eastAsia" w:ascii="黑体" w:eastAsia="黑体"/>
                <w:sz w:val="24"/>
                <w:lang w:eastAsia="zh-CN"/>
              </w:rPr>
              <w:t>分管领导审批</w:t>
            </w:r>
            <w:r>
              <w:rPr>
                <w:rFonts w:hint="eastAsia" w:ascii="黑体" w:eastAsia="黑体"/>
                <w:sz w:val="24"/>
              </w:rPr>
              <w:t>意见</w:t>
            </w:r>
          </w:p>
        </w:tc>
        <w:tc>
          <w:tcPr>
            <w:tcW w:w="6445" w:type="dxa"/>
            <w:vAlign w:val="top"/>
          </w:tcPr>
          <w:p>
            <w:pPr>
              <w:spacing w:line="380" w:lineRule="exact"/>
              <w:ind w:right="-50" w:rightChars="-24"/>
              <w:rPr>
                <w:rFonts w:hint="eastAsia" w:ascii="仿宋_GB2312"/>
                <w:sz w:val="24"/>
              </w:rPr>
            </w:pPr>
          </w:p>
          <w:p>
            <w:pPr>
              <w:ind w:right="-50" w:rightChars="-24"/>
              <w:rPr>
                <w:rFonts w:hint="eastAsia" w:ascii="仿宋_GB2312"/>
                <w:sz w:val="24"/>
              </w:rPr>
            </w:pPr>
          </w:p>
          <w:p>
            <w:pPr>
              <w:ind w:right="-50" w:rightChars="-24"/>
              <w:rPr>
                <w:rFonts w:hint="eastAsia" w:ascii="仿宋_GB2312"/>
                <w:sz w:val="24"/>
              </w:rPr>
            </w:pPr>
          </w:p>
          <w:p>
            <w:pPr>
              <w:rPr>
                <w:rFonts w:hint="eastAsia"/>
              </w:rPr>
            </w:pPr>
          </w:p>
          <w:p>
            <w:pPr>
              <w:rPr>
                <w:rFonts w:hint="eastAsia"/>
              </w:rPr>
            </w:pPr>
          </w:p>
          <w:p>
            <w:pPr>
              <w:ind w:right="-50" w:rightChars="-24"/>
              <w:rPr>
                <w:rFonts w:hint="eastAsia" w:ascii="仿宋_GB2312"/>
                <w:sz w:val="24"/>
              </w:rPr>
            </w:pPr>
            <w:r>
              <w:rPr>
                <w:rFonts w:hint="eastAsia" w:ascii="仿宋_GB2312"/>
                <w:sz w:val="24"/>
                <w:lang w:val="en-US" w:eastAsia="zh-CN"/>
              </w:rPr>
              <w:t>签字：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54" w:hRule="atLeast"/>
          <w:jc w:val="center"/>
        </w:trPr>
        <w:tc>
          <w:tcPr>
            <w:tcW w:w="2294" w:type="dxa"/>
            <w:vAlign w:val="center"/>
          </w:tcPr>
          <w:p>
            <w:pPr>
              <w:jc w:val="center"/>
              <w:rPr>
                <w:rFonts w:hint="eastAsia" w:ascii="黑体" w:eastAsia="黑体"/>
                <w:sz w:val="24"/>
              </w:rPr>
            </w:pPr>
            <w:r>
              <w:rPr>
                <w:rFonts w:hint="eastAsia" w:ascii="黑体" w:eastAsia="黑体"/>
                <w:sz w:val="24"/>
                <w:lang w:eastAsia="zh-CN"/>
              </w:rPr>
              <w:t>主要领导审批</w:t>
            </w:r>
            <w:r>
              <w:rPr>
                <w:rFonts w:hint="eastAsia" w:ascii="黑体" w:eastAsia="黑体"/>
                <w:sz w:val="24"/>
              </w:rPr>
              <w:t>意见</w:t>
            </w:r>
          </w:p>
        </w:tc>
        <w:tc>
          <w:tcPr>
            <w:tcW w:w="6445" w:type="dxa"/>
            <w:vAlign w:val="top"/>
          </w:tcPr>
          <w:p>
            <w:pPr>
              <w:spacing w:line="340" w:lineRule="exact"/>
              <w:ind w:right="-50" w:rightChars="-24"/>
              <w:rPr>
                <w:rFonts w:hint="eastAsia" w:ascii="仿宋_GB2312"/>
                <w:sz w:val="24"/>
              </w:rPr>
            </w:pPr>
          </w:p>
          <w:p>
            <w:pPr>
              <w:spacing w:line="340" w:lineRule="exact"/>
              <w:ind w:right="-50" w:rightChars="-24"/>
              <w:rPr>
                <w:rFonts w:hint="eastAsia" w:ascii="仿宋_GB2312"/>
                <w:sz w:val="24"/>
              </w:rPr>
            </w:pPr>
          </w:p>
          <w:p>
            <w:pPr>
              <w:spacing w:line="340" w:lineRule="exact"/>
              <w:ind w:right="-50" w:rightChars="-24"/>
              <w:rPr>
                <w:rFonts w:hint="eastAsia" w:ascii="仿宋_GB2312"/>
                <w:sz w:val="24"/>
              </w:rPr>
            </w:pPr>
          </w:p>
          <w:p>
            <w:pPr>
              <w:spacing w:line="340" w:lineRule="exact"/>
              <w:ind w:right="-50" w:rightChars="-24"/>
              <w:rPr>
                <w:rFonts w:hint="eastAsia" w:ascii="仿宋_GB2312"/>
                <w:sz w:val="22"/>
                <w:szCs w:val="22"/>
              </w:rPr>
            </w:pPr>
          </w:p>
          <w:p>
            <w:pPr>
              <w:pStyle w:val="4"/>
              <w:rPr>
                <w:rFonts w:hint="eastAsia" w:ascii="仿宋_GB2312"/>
                <w:sz w:val="24"/>
              </w:rPr>
            </w:pPr>
          </w:p>
          <w:p>
            <w:pPr>
              <w:rPr>
                <w:rFonts w:hint="eastAsia"/>
              </w:rPr>
            </w:pPr>
          </w:p>
          <w:p>
            <w:pPr>
              <w:spacing w:line="340" w:lineRule="exact"/>
              <w:ind w:right="-50" w:rightChars="-24"/>
              <w:rPr>
                <w:rFonts w:hint="eastAsia" w:ascii="仿宋_GB2312"/>
                <w:sz w:val="24"/>
              </w:rPr>
            </w:pPr>
          </w:p>
          <w:p>
            <w:pPr>
              <w:spacing w:line="340" w:lineRule="exact"/>
              <w:ind w:right="-50" w:rightChars="-24"/>
              <w:rPr>
                <w:rFonts w:hint="eastAsia" w:ascii="仿宋_GB2312"/>
                <w:sz w:val="24"/>
              </w:rPr>
            </w:pPr>
          </w:p>
          <w:p>
            <w:pPr>
              <w:ind w:right="-50" w:rightChars="-24"/>
              <w:rPr>
                <w:rFonts w:hint="eastAsia" w:ascii="仿宋_GB2312"/>
                <w:sz w:val="24"/>
              </w:rPr>
            </w:pPr>
            <w:r>
              <w:rPr>
                <w:rFonts w:hint="eastAsia" w:ascii="仿宋_GB2312"/>
                <w:sz w:val="24"/>
                <w:lang w:val="en-US" w:eastAsia="zh-CN"/>
              </w:rPr>
              <w:t>签字（盖章）：                  年    月   日</w:t>
            </w:r>
          </w:p>
        </w:tc>
      </w:tr>
    </w:tbl>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-55880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4pt;height:144pt;width:144pt;mso-position-horizontal:outside;mso-position-horizontal-relative:margin;mso-wrap-style:none;z-index:251659264;mso-width-relative:page;mso-height-relative:page;" filled="f" stroked="f" coordsize="21600,21600" o:gfxdata="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6C1IWtQAAAAHAQAADwAAAAAAAAABACAAAAAiAAAAZHJzL2Rvd25yZXYueG1sUEsB&#10;AhQAFAAAAAgAh07iQPWLh2QyAgAAYQQAAA4AAAAAAAAAAQAgAAAAIwEAAGRycy9lMm9Eb2MueG1s&#10;UEsFBgAAAAAGAAYAWQEAAMcFAAAAAA==&#10;">
              <v:fill on="f" focussize="0,0"/>
              <v:stroke on="f" weight="0.5pt"/>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  \* MERGEFORMAT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D6CA6"/>
    <w:rsid w:val="003A3A6F"/>
    <w:rsid w:val="02F900F0"/>
    <w:rsid w:val="04137D09"/>
    <w:rsid w:val="0A563B17"/>
    <w:rsid w:val="10C1060B"/>
    <w:rsid w:val="11314143"/>
    <w:rsid w:val="176410EF"/>
    <w:rsid w:val="19FD6CA6"/>
    <w:rsid w:val="1D110EBE"/>
    <w:rsid w:val="240308A3"/>
    <w:rsid w:val="289E14A1"/>
    <w:rsid w:val="29323A24"/>
    <w:rsid w:val="2C9A5E92"/>
    <w:rsid w:val="2E6455AA"/>
    <w:rsid w:val="2E7126C2"/>
    <w:rsid w:val="2FD17CFF"/>
    <w:rsid w:val="31206726"/>
    <w:rsid w:val="322B5AA3"/>
    <w:rsid w:val="346D04EA"/>
    <w:rsid w:val="39106EAD"/>
    <w:rsid w:val="398E1CFA"/>
    <w:rsid w:val="39EE5DD1"/>
    <w:rsid w:val="3B233415"/>
    <w:rsid w:val="3D560FAE"/>
    <w:rsid w:val="44030128"/>
    <w:rsid w:val="499A6EA5"/>
    <w:rsid w:val="4B7F38EA"/>
    <w:rsid w:val="4E6D653B"/>
    <w:rsid w:val="4F4C256D"/>
    <w:rsid w:val="537517FC"/>
    <w:rsid w:val="583A0709"/>
    <w:rsid w:val="5B0C7B92"/>
    <w:rsid w:val="5DB65C4E"/>
    <w:rsid w:val="5DD76183"/>
    <w:rsid w:val="5EC369E4"/>
    <w:rsid w:val="64845C90"/>
    <w:rsid w:val="64E84237"/>
    <w:rsid w:val="673C3EEB"/>
    <w:rsid w:val="69767FB8"/>
    <w:rsid w:val="6A982DC5"/>
    <w:rsid w:val="6ECF5D6D"/>
    <w:rsid w:val="6F3C270D"/>
    <w:rsid w:val="70510EF2"/>
    <w:rsid w:val="71394751"/>
    <w:rsid w:val="73F23645"/>
    <w:rsid w:val="75CD54D4"/>
    <w:rsid w:val="798C19B1"/>
    <w:rsid w:val="7A545774"/>
    <w:rsid w:val="7D541AAE"/>
    <w:rsid w:val="7EA03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unhideWhenUsed/>
    <w:qFormat/>
    <w:uiPriority w:val="0"/>
    <w:pPr>
      <w:keepNext/>
      <w:keepLines/>
      <w:outlineLvl w:val="1"/>
    </w:pPr>
    <w:rPr>
      <w:rFonts w:ascii="黑体" w:hAnsi="黑体" w:eastAsia="黑体"/>
      <w:bCs/>
      <w:kern w:val="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rPr>
      <w:rFonts w:ascii="方正仿宋_GBK" w:hAnsi="方正仿宋_GBK" w:eastAsia="方正仿宋_GBK" w:cs="方正仿宋_GBK"/>
      <w:sz w:val="32"/>
      <w:szCs w:val="32"/>
      <w:lang w:val="zh-CN" w:eastAsia="zh-CN" w:bidi="zh-CN"/>
    </w:rPr>
  </w:style>
  <w:style w:type="paragraph" w:customStyle="1" w:styleId="3">
    <w:name w:val="引用1"/>
    <w:next w:val="1"/>
    <w:qFormat/>
    <w:uiPriority w:val="0"/>
    <w:pPr>
      <w:wordWrap w:val="0"/>
      <w:spacing w:before="200" w:after="160"/>
      <w:ind w:left="864" w:right="864"/>
      <w:jc w:val="center"/>
    </w:pPr>
    <w:rPr>
      <w:rFonts w:ascii="Times New Roman" w:hAnsi="Times New Roman" w:eastAsia="宋体" w:cs="Times New Roman"/>
      <w:i/>
      <w:sz w:val="21"/>
      <w:szCs w:val="20"/>
      <w:lang w:val="en-US" w:eastAsia="zh-CN" w:bidi="ar-SA"/>
    </w:rPr>
  </w:style>
  <w:style w:type="paragraph" w:styleId="5">
    <w:name w:val="footer"/>
    <w:basedOn w:val="1"/>
    <w:qFormat/>
    <w:uiPriority w:val="0"/>
    <w:pPr>
      <w:tabs>
        <w:tab w:val="center" w:pos="4153"/>
        <w:tab w:val="right" w:pos="8306"/>
      </w:tabs>
      <w:snapToGrid w:val="0"/>
      <w:jc w:val="left"/>
    </w:pPr>
    <w:rPr>
      <w:rFonts w:cs="Times New Roman"/>
      <w:kern w:val="0"/>
      <w:sz w:val="18"/>
      <w:szCs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1469</TotalTime>
  <ScaleCrop>false</ScaleCrop>
  <LinksUpToDate>false</LinksUpToDate>
  <CharactersWithSpaces>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2022-12-06T01:04:00Z</dcterms:created>
  <dc:creator>鹰</dc:creator>
  <cp:lastModifiedBy>半个帅哥</cp:lastModifiedBy>
  <cp:lastPrinted>2022-12-09T02:22:40Z</cp:lastPrinted>
  <dcterms:modified xsi:type="dcterms:W3CDTF">2022-12-09T02:46:28Z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5FE6E78C0165487A86F82DBCBE76260F</vt:lpwstr>
  </property>
</Properties>
</file>