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hAnsi="方正小标宋简体" w:eastAsia="方正小标宋简体" w:cs="方正小标宋简体"/>
          <w:color w:val="auto"/>
          <w:kern w:val="0"/>
          <w:sz w:val="44"/>
          <w:szCs w:val="44"/>
          <w:lang w:bidi="ar"/>
        </w:rPr>
      </w:pPr>
      <w:bookmarkStart w:id="0" w:name="_Toc1162"/>
      <w:bookmarkStart w:id="1" w:name="_Toc134451123"/>
      <w:bookmarkStart w:id="2" w:name="_Toc135671987"/>
      <w:bookmarkStart w:id="3" w:name="_Toc135671146"/>
      <w:bookmarkStart w:id="4" w:name="_Toc135736805"/>
      <w:bookmarkStart w:id="5" w:name="_Toc5428"/>
      <w:bookmarkStart w:id="6" w:name="_Toc135737041"/>
      <w:bookmarkStart w:id="7" w:name="_Toc135672032"/>
      <w:bookmarkStart w:id="8" w:name="_Toc135737084"/>
      <w:bookmarkStart w:id="95" w:name="_GoBack"/>
      <w:bookmarkEnd w:id="95"/>
      <w:r>
        <w:rPr>
          <w:rFonts w:hint="eastAsia" w:ascii="方正小标宋简体" w:hAnsi="方正小标宋简体" w:eastAsia="方正小标宋简体" w:cs="方正小标宋简体"/>
          <w:color w:val="auto"/>
          <w:kern w:val="0"/>
          <w:sz w:val="44"/>
          <w:szCs w:val="44"/>
          <w:lang w:eastAsia="zh-CN" w:bidi="ar"/>
        </w:rPr>
        <w:t>夹江县</w:t>
      </w:r>
      <w:r>
        <w:rPr>
          <w:rFonts w:hint="eastAsia" w:ascii="方正小标宋简体" w:hAnsi="方正小标宋简体" w:eastAsia="方正小标宋简体" w:cs="方正小标宋简体"/>
          <w:color w:val="auto"/>
          <w:kern w:val="0"/>
          <w:sz w:val="44"/>
          <w:szCs w:val="44"/>
          <w:lang w:bidi="ar"/>
        </w:rPr>
        <w:t>“十四五”医疗卫生服务</w:t>
      </w:r>
      <w:bookmarkEnd w:id="0"/>
      <w:bookmarkStart w:id="9" w:name="_Toc4445"/>
      <w:r>
        <w:rPr>
          <w:rFonts w:hint="eastAsia" w:ascii="方正小标宋简体" w:hAnsi="方正小标宋简体" w:eastAsia="方正小标宋简体" w:cs="方正小标宋简体"/>
          <w:color w:val="auto"/>
          <w:kern w:val="0"/>
          <w:sz w:val="44"/>
          <w:szCs w:val="44"/>
          <w:lang w:bidi="ar"/>
        </w:rPr>
        <w:t>体系规划</w:t>
      </w:r>
      <w:bookmarkEnd w:id="1"/>
      <w:bookmarkEnd w:id="2"/>
      <w:bookmarkEnd w:id="3"/>
      <w:bookmarkEnd w:id="4"/>
      <w:bookmarkEnd w:id="5"/>
      <w:bookmarkEnd w:id="6"/>
      <w:bookmarkEnd w:id="7"/>
      <w:bookmarkEnd w:id="8"/>
      <w:bookmarkEnd w:id="9"/>
    </w:p>
    <w:p>
      <w:pPr>
        <w:pStyle w:val="7"/>
        <w:ind w:left="0" w:leftChars="0" w:firstLine="0" w:firstLineChars="0"/>
        <w:jc w:val="center"/>
        <w:rPr>
          <w:rFonts w:hint="eastAsia" w:ascii="楷体_GB2312" w:hAnsi="楷体_GB2312" w:eastAsia="楷体_GB2312" w:cs="楷体_GB2312"/>
          <w:color w:val="auto"/>
          <w:sz w:val="32"/>
          <w:szCs w:val="32"/>
          <w:lang w:val="en-US" w:eastAsia="zh-CN" w:bidi="ar"/>
        </w:rPr>
      </w:pPr>
      <w:bookmarkStart w:id="10" w:name="_Toc135671148"/>
      <w:bookmarkStart w:id="11" w:name="_Toc135671989"/>
      <w:bookmarkStart w:id="12" w:name="_Toc135737085"/>
      <w:bookmarkStart w:id="13" w:name="_Toc135736806"/>
      <w:bookmarkStart w:id="14" w:name="_Toc135672034"/>
      <w:bookmarkStart w:id="15" w:name="_Toc135737042"/>
      <w:r>
        <w:rPr>
          <w:rFonts w:hint="eastAsia" w:ascii="楷体_GB2312" w:hAnsi="楷体_GB2312" w:eastAsia="楷体_GB2312" w:cs="楷体_GB2312"/>
          <w:color w:val="auto"/>
          <w:sz w:val="32"/>
          <w:szCs w:val="32"/>
          <w:lang w:val="en-US" w:eastAsia="zh-CN" w:bidi="ar"/>
        </w:rPr>
        <w:t>（征求意见稿）</w:t>
      </w:r>
    </w:p>
    <w:p>
      <w:pPr>
        <w:pStyle w:val="7"/>
        <w:ind w:left="0" w:leftChars="0" w:firstLine="0" w:firstLineChars="0"/>
        <w:jc w:val="center"/>
        <w:rPr>
          <w:rFonts w:ascii="黑体" w:hAnsi="黑体" w:eastAsia="黑体"/>
          <w:color w:val="auto"/>
          <w:sz w:val="32"/>
          <w:szCs w:val="32"/>
          <w:lang w:bidi="ar"/>
        </w:rPr>
      </w:pPr>
      <w:r>
        <w:rPr>
          <w:rFonts w:hint="eastAsia" w:ascii="黑体" w:hAnsi="黑体" w:eastAsia="黑体"/>
          <w:color w:val="auto"/>
          <w:sz w:val="32"/>
          <w:szCs w:val="32"/>
          <w:lang w:bidi="ar"/>
        </w:rPr>
        <w:t>目  录</w:t>
      </w:r>
      <w:bookmarkEnd w:id="10"/>
      <w:bookmarkEnd w:id="11"/>
      <w:bookmarkEnd w:id="12"/>
      <w:bookmarkEnd w:id="13"/>
      <w:bookmarkEnd w:id="14"/>
      <w:bookmarkEnd w:id="15"/>
    </w:p>
    <w:sdt>
      <w:sdtPr>
        <w:rPr>
          <w:rFonts w:ascii="宋体" w:hAnsi="宋体" w:eastAsia="宋体" w:cstheme="minorBidi"/>
          <w:kern w:val="2"/>
          <w:sz w:val="21"/>
          <w:szCs w:val="24"/>
          <w:lang w:val="en-US" w:eastAsia="zh-CN" w:bidi="ar-SA"/>
        </w:rPr>
        <w:id w:val="147467396"/>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pPr>
            <w:pStyle w:val="28"/>
            <w:tabs>
              <w:tab w:val="right" w:leader="dot" w:pos="8306"/>
            </w:tabs>
            <w:rPr>
              <w:b w:val="0"/>
              <w:bCs w:val="0"/>
            </w:rPr>
          </w:pPr>
          <w:bookmarkStart w:id="16" w:name="_Toc21174_WPSOffice_Type2"/>
          <w:r>
            <w:rPr>
              <w:b w:val="0"/>
              <w:bCs w:val="0"/>
            </w:rPr>
            <w:fldChar w:fldCharType="begin"/>
          </w:r>
          <w:r>
            <w:rPr>
              <w:b w:val="0"/>
              <w:bCs w:val="0"/>
            </w:rPr>
            <w:instrText xml:space="preserve"> HYPERLINK \l _Toc29889_WPSOffice_Level1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92b68b16-ec6f-4a40-bd56-252b0934e430}"/>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黑体" w:hAnsi="黑体" w:eastAsia="黑体" w:cs="黑体"/>
                  <w:b w:val="0"/>
                  <w:bCs w:val="0"/>
                </w:rPr>
                <w:t>第一章 规划背景和总体要求</w:t>
              </w:r>
            </w:sdtContent>
          </w:sdt>
          <w:r>
            <w:rPr>
              <w:b w:val="0"/>
              <w:bCs w:val="0"/>
            </w:rPr>
            <w:tab/>
          </w:r>
          <w:bookmarkStart w:id="17" w:name="_Toc29889_WPSOffice_Level1Page"/>
          <w:r>
            <w:rPr>
              <w:b w:val="0"/>
              <w:bCs w:val="0"/>
            </w:rPr>
            <w:t>2</w:t>
          </w:r>
          <w:bookmarkEnd w:id="17"/>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_Toc21174_WPSOffice_Level2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69795cb4-3548-4822-b4e0-61dd6aa8027a}"/>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第一节 规划背景</w:t>
              </w:r>
            </w:sdtContent>
          </w:sdt>
          <w:r>
            <w:rPr>
              <w:b w:val="0"/>
              <w:bCs w:val="0"/>
            </w:rPr>
            <w:tab/>
          </w:r>
          <w:bookmarkStart w:id="18" w:name="_Toc21174_WPSOffice_Level2Page"/>
          <w:r>
            <w:rPr>
              <w:b w:val="0"/>
              <w:bCs w:val="0"/>
            </w:rPr>
            <w:t>2</w:t>
          </w:r>
          <w:bookmarkEnd w:id="18"/>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_Toc28244_WPSOffice_Level2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fb8cba60-8e19-44f1-9caf-7870cf7869d0}"/>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第二节 总体要求</w:t>
              </w:r>
            </w:sdtContent>
          </w:sdt>
          <w:r>
            <w:rPr>
              <w:b w:val="0"/>
              <w:bCs w:val="0"/>
            </w:rPr>
            <w:tab/>
          </w:r>
          <w:bookmarkStart w:id="19" w:name="_Toc28244_WPSOffice_Level2Page"/>
          <w:r>
            <w:rPr>
              <w:b w:val="0"/>
              <w:bCs w:val="0"/>
            </w:rPr>
            <w:t>3</w:t>
          </w:r>
          <w:bookmarkEnd w:id="19"/>
          <w:r>
            <w:rPr>
              <w:b w:val="0"/>
              <w:bCs w:val="0"/>
            </w:rPr>
            <w:fldChar w:fldCharType="end"/>
          </w:r>
        </w:p>
        <w:p>
          <w:pPr>
            <w:pStyle w:val="28"/>
            <w:tabs>
              <w:tab w:val="right" w:leader="dot" w:pos="8306"/>
            </w:tabs>
            <w:rPr>
              <w:b w:val="0"/>
              <w:bCs w:val="0"/>
            </w:rPr>
          </w:pPr>
          <w:r>
            <w:rPr>
              <w:b w:val="0"/>
              <w:bCs w:val="0"/>
            </w:rPr>
            <w:fldChar w:fldCharType="begin"/>
          </w:r>
          <w:r>
            <w:rPr>
              <w:b w:val="0"/>
              <w:bCs w:val="0"/>
            </w:rPr>
            <w:instrText xml:space="preserve"> HYPERLINK \l _Toc21174_WPSOffice_Level1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b4cd9f04-fbb9-454f-9c64-c66b7d0f7a37}"/>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黑体" w:hAnsi="黑体" w:eastAsia="黑体" w:cs="黑体"/>
                  <w:b w:val="0"/>
                  <w:bCs w:val="0"/>
                </w:rPr>
                <w:t>第二章 优化布局和资源配置</w:t>
              </w:r>
            </w:sdtContent>
          </w:sdt>
          <w:r>
            <w:rPr>
              <w:b w:val="0"/>
              <w:bCs w:val="0"/>
            </w:rPr>
            <w:tab/>
          </w:r>
          <w:bookmarkStart w:id="20" w:name="_Toc21174_WPSOffice_Level1Page"/>
          <w:r>
            <w:rPr>
              <w:b w:val="0"/>
              <w:bCs w:val="0"/>
            </w:rPr>
            <w:t>8</w:t>
          </w:r>
          <w:bookmarkEnd w:id="20"/>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_Toc12134_WPSOffice_Level2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41a4a374-3a03-412a-931f-6c216436711d}"/>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第一节 优化布局</w:t>
              </w:r>
            </w:sdtContent>
          </w:sdt>
          <w:r>
            <w:rPr>
              <w:b w:val="0"/>
              <w:bCs w:val="0"/>
            </w:rPr>
            <w:tab/>
          </w:r>
          <w:bookmarkStart w:id="21" w:name="_Toc12134_WPSOffice_Level2Page"/>
          <w:r>
            <w:rPr>
              <w:b w:val="0"/>
              <w:bCs w:val="0"/>
            </w:rPr>
            <w:t>8</w:t>
          </w:r>
          <w:bookmarkEnd w:id="21"/>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_Toc18399_WPSOffice_Level2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476a5f91-f46d-4c6a-8cb0-672be0ff36cc}"/>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第二节 资源配置</w:t>
              </w:r>
            </w:sdtContent>
          </w:sdt>
          <w:r>
            <w:rPr>
              <w:b w:val="0"/>
              <w:bCs w:val="0"/>
            </w:rPr>
            <w:tab/>
          </w:r>
          <w:bookmarkStart w:id="22" w:name="_Toc18399_WPSOffice_Level2Page"/>
          <w:r>
            <w:rPr>
              <w:b w:val="0"/>
              <w:bCs w:val="0"/>
            </w:rPr>
            <w:t>10</w:t>
          </w:r>
          <w:bookmarkEnd w:id="22"/>
          <w:r>
            <w:rPr>
              <w:b w:val="0"/>
              <w:bCs w:val="0"/>
            </w:rPr>
            <w:fldChar w:fldCharType="end"/>
          </w:r>
        </w:p>
        <w:p>
          <w:pPr>
            <w:pStyle w:val="28"/>
            <w:tabs>
              <w:tab w:val="right" w:leader="dot" w:pos="8306"/>
            </w:tabs>
            <w:rPr>
              <w:b w:val="0"/>
              <w:bCs w:val="0"/>
            </w:rPr>
          </w:pPr>
          <w:r>
            <w:rPr>
              <w:b w:val="0"/>
              <w:bCs w:val="0"/>
            </w:rPr>
            <w:fldChar w:fldCharType="begin"/>
          </w:r>
          <w:r>
            <w:rPr>
              <w:b w:val="0"/>
              <w:bCs w:val="0"/>
            </w:rPr>
            <w:instrText xml:space="preserve"> HYPERLINK \l _Toc28244_WPSOffice_Level1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691ab01d-e720-4602-be45-958a4533e46f}"/>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黑体" w:hAnsi="黑体" w:eastAsia="黑体" w:cs="黑体"/>
                  <w:b w:val="0"/>
                  <w:bCs w:val="0"/>
                </w:rPr>
                <w:t>第三章 加快优化升级公共卫生体系</w:t>
              </w:r>
            </w:sdtContent>
          </w:sdt>
          <w:r>
            <w:rPr>
              <w:b w:val="0"/>
              <w:bCs w:val="0"/>
            </w:rPr>
            <w:tab/>
          </w:r>
          <w:bookmarkStart w:id="23" w:name="_Toc28244_WPSOffice_Level1Page"/>
          <w:r>
            <w:rPr>
              <w:b w:val="0"/>
              <w:bCs w:val="0"/>
            </w:rPr>
            <w:t>14</w:t>
          </w:r>
          <w:bookmarkEnd w:id="23"/>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_Toc28679_WPSOffice_Level2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900df1ac-b542-4f98-b440-1f325a7033f2}"/>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第一节 优化完善疾病预防控制体系</w:t>
              </w:r>
            </w:sdtContent>
          </w:sdt>
          <w:r>
            <w:rPr>
              <w:b w:val="0"/>
              <w:bCs w:val="0"/>
            </w:rPr>
            <w:tab/>
          </w:r>
          <w:bookmarkStart w:id="24" w:name="_Toc28679_WPSOffice_Level2Page"/>
          <w:r>
            <w:rPr>
              <w:b w:val="0"/>
              <w:bCs w:val="0"/>
            </w:rPr>
            <w:t>14</w:t>
          </w:r>
          <w:bookmarkEnd w:id="24"/>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_Toc8646_WPSOffice_Level2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3133c240-622d-464d-8861-c6b163f9e95c}"/>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第二节 健全监测预警和应急处置体系</w:t>
              </w:r>
            </w:sdtContent>
          </w:sdt>
          <w:r>
            <w:rPr>
              <w:b w:val="0"/>
              <w:bCs w:val="0"/>
            </w:rPr>
            <w:tab/>
          </w:r>
          <w:bookmarkStart w:id="25" w:name="_Toc8646_WPSOffice_Level2Page"/>
          <w:r>
            <w:rPr>
              <w:b w:val="0"/>
              <w:bCs w:val="0"/>
            </w:rPr>
            <w:t>16</w:t>
          </w:r>
          <w:bookmarkEnd w:id="25"/>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_Toc20757_WPSOffice_Level2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95b66053-598b-4a13-9c65-b05244c1e748}"/>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第三节 完善传染病疫情和突发公共卫生事件救治体系</w:t>
              </w:r>
            </w:sdtContent>
          </w:sdt>
          <w:r>
            <w:rPr>
              <w:b w:val="0"/>
              <w:bCs w:val="0"/>
            </w:rPr>
            <w:tab/>
          </w:r>
          <w:bookmarkStart w:id="26" w:name="_Toc20757_WPSOffice_Level2Page"/>
          <w:r>
            <w:rPr>
              <w:b w:val="0"/>
              <w:bCs w:val="0"/>
            </w:rPr>
            <w:t>18</w:t>
          </w:r>
          <w:bookmarkEnd w:id="26"/>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_Toc27639_WPSOffice_Level2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79d2ce94-ec8e-4b9b-b74d-7746d1cbbd2b}"/>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第四节 构建中医药应急防控救治体系</w:t>
              </w:r>
            </w:sdtContent>
          </w:sdt>
          <w:r>
            <w:rPr>
              <w:b w:val="0"/>
              <w:bCs w:val="0"/>
            </w:rPr>
            <w:tab/>
          </w:r>
          <w:bookmarkStart w:id="27" w:name="_Toc27639_WPSOffice_Level2Page"/>
          <w:r>
            <w:rPr>
              <w:b w:val="0"/>
              <w:bCs w:val="0"/>
            </w:rPr>
            <w:t>19</w:t>
          </w:r>
          <w:bookmarkEnd w:id="27"/>
          <w:r>
            <w:rPr>
              <w:b w:val="0"/>
              <w:bCs w:val="0"/>
            </w:rPr>
            <w:fldChar w:fldCharType="end"/>
          </w:r>
        </w:p>
        <w:p>
          <w:pPr>
            <w:pStyle w:val="28"/>
            <w:tabs>
              <w:tab w:val="right" w:leader="dot" w:pos="8306"/>
            </w:tabs>
            <w:rPr>
              <w:b w:val="0"/>
              <w:bCs w:val="0"/>
            </w:rPr>
          </w:pPr>
          <w:r>
            <w:rPr>
              <w:b w:val="0"/>
              <w:bCs w:val="0"/>
            </w:rPr>
            <w:fldChar w:fldCharType="begin"/>
          </w:r>
          <w:r>
            <w:rPr>
              <w:b w:val="0"/>
              <w:bCs w:val="0"/>
            </w:rPr>
            <w:instrText xml:space="preserve"> HYPERLINK \l _Toc6715_WPSOffice_Level1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69680119-c29d-4a2a-873c-49b0b05465f7}"/>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黑体" w:hAnsi="黑体" w:eastAsia="黑体" w:cs="黑体"/>
                  <w:b w:val="0"/>
                  <w:bCs w:val="0"/>
                </w:rPr>
                <w:t>第四章 建设优质均衡高效的医疗服务体系</w:t>
              </w:r>
            </w:sdtContent>
          </w:sdt>
          <w:r>
            <w:rPr>
              <w:b w:val="0"/>
              <w:bCs w:val="0"/>
            </w:rPr>
            <w:tab/>
          </w:r>
          <w:bookmarkStart w:id="28" w:name="_Toc6715_WPSOffice_Level1Page"/>
          <w:r>
            <w:rPr>
              <w:b w:val="0"/>
              <w:bCs w:val="0"/>
            </w:rPr>
            <w:t>20</w:t>
          </w:r>
          <w:bookmarkEnd w:id="28"/>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_Toc32147_WPSOffice_Level2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863d21be-f3e1-4170-99d0-7113eb6ad97d}"/>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第一节 健全完善基层医疗卫生服务体系</w:t>
              </w:r>
            </w:sdtContent>
          </w:sdt>
          <w:r>
            <w:rPr>
              <w:b w:val="0"/>
              <w:bCs w:val="0"/>
            </w:rPr>
            <w:tab/>
          </w:r>
          <w:bookmarkStart w:id="29" w:name="_Toc32147_WPSOffice_Level2Page"/>
          <w:r>
            <w:rPr>
              <w:b w:val="0"/>
              <w:bCs w:val="0"/>
            </w:rPr>
            <w:t>20</w:t>
          </w:r>
          <w:bookmarkEnd w:id="29"/>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_Toc19433_WPSOffice_Level2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27ab30d4-7c49-4041-a17f-2d1ea57a73d3}"/>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第二节 推进公立医院高质量发展</w:t>
              </w:r>
            </w:sdtContent>
          </w:sdt>
          <w:r>
            <w:rPr>
              <w:b w:val="0"/>
              <w:bCs w:val="0"/>
            </w:rPr>
            <w:tab/>
          </w:r>
          <w:bookmarkStart w:id="30" w:name="_Toc19433_WPSOffice_Level2Page"/>
          <w:r>
            <w:rPr>
              <w:b w:val="0"/>
              <w:bCs w:val="0"/>
            </w:rPr>
            <w:t>21</w:t>
          </w:r>
          <w:bookmarkEnd w:id="30"/>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_Toc6551_WPSOffice_Level2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0b86d6ba-5235-40d8-aaa2-c0e6ac793d54}"/>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第三节 推动非公立医疗机构错位发展</w:t>
              </w:r>
            </w:sdtContent>
          </w:sdt>
          <w:r>
            <w:rPr>
              <w:b w:val="0"/>
              <w:bCs w:val="0"/>
            </w:rPr>
            <w:tab/>
          </w:r>
          <w:bookmarkStart w:id="31" w:name="_Toc6551_WPSOffice_Level2Page"/>
          <w:r>
            <w:rPr>
              <w:b w:val="0"/>
              <w:bCs w:val="0"/>
            </w:rPr>
            <w:t>22</w:t>
          </w:r>
          <w:bookmarkEnd w:id="31"/>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_Toc32750_WPSOffice_Level2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cf51c9b5-82d1-4008-a3ef-0663fc5aa0c0}"/>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第四节 持续优化医疗卫生服务模式</w:t>
              </w:r>
            </w:sdtContent>
          </w:sdt>
          <w:r>
            <w:rPr>
              <w:b w:val="0"/>
              <w:bCs w:val="0"/>
            </w:rPr>
            <w:tab/>
          </w:r>
          <w:bookmarkStart w:id="32" w:name="_Toc32750_WPSOffice_Level2Page"/>
          <w:r>
            <w:rPr>
              <w:b w:val="0"/>
              <w:bCs w:val="0"/>
            </w:rPr>
            <w:t>24</w:t>
          </w:r>
          <w:bookmarkEnd w:id="32"/>
          <w:r>
            <w:rPr>
              <w:b w:val="0"/>
              <w:bCs w:val="0"/>
            </w:rPr>
            <w:fldChar w:fldCharType="end"/>
          </w:r>
        </w:p>
        <w:p>
          <w:pPr>
            <w:pStyle w:val="28"/>
            <w:tabs>
              <w:tab w:val="right" w:leader="dot" w:pos="8306"/>
            </w:tabs>
            <w:rPr>
              <w:b w:val="0"/>
              <w:bCs w:val="0"/>
            </w:rPr>
          </w:pPr>
          <w:r>
            <w:rPr>
              <w:b w:val="0"/>
              <w:bCs w:val="0"/>
            </w:rPr>
            <w:fldChar w:fldCharType="begin"/>
          </w:r>
          <w:r>
            <w:rPr>
              <w:b w:val="0"/>
              <w:bCs w:val="0"/>
            </w:rPr>
            <w:instrText xml:space="preserve"> HYPERLINK \l _Toc24118_WPSOffice_Level1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9a6a2072-3b10-432f-92d2-71562d91bf24}"/>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黑体" w:hAnsi="黑体" w:eastAsia="黑体" w:cs="黑体"/>
                  <w:b w:val="0"/>
                  <w:bCs w:val="0"/>
                </w:rPr>
                <w:t>第五章 打造优质特色的中医药服务体系</w:t>
              </w:r>
            </w:sdtContent>
          </w:sdt>
          <w:r>
            <w:rPr>
              <w:b w:val="0"/>
              <w:bCs w:val="0"/>
            </w:rPr>
            <w:tab/>
          </w:r>
          <w:bookmarkStart w:id="33" w:name="_Toc24118_WPSOffice_Level1Page"/>
          <w:r>
            <w:rPr>
              <w:b w:val="0"/>
              <w:bCs w:val="0"/>
            </w:rPr>
            <w:t>26</w:t>
          </w:r>
          <w:bookmarkEnd w:id="33"/>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_Toc12918_WPSOffice_Level2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6c0da8d2-338a-4f97-a4bb-16a73ee54c1c}"/>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第一节 健全中医药服务体系</w:t>
              </w:r>
            </w:sdtContent>
          </w:sdt>
          <w:r>
            <w:rPr>
              <w:b w:val="0"/>
              <w:bCs w:val="0"/>
            </w:rPr>
            <w:tab/>
          </w:r>
          <w:bookmarkStart w:id="34" w:name="_Toc12918_WPSOffice_Level2Page"/>
          <w:r>
            <w:rPr>
              <w:b w:val="0"/>
              <w:bCs w:val="0"/>
            </w:rPr>
            <w:t>26</w:t>
          </w:r>
          <w:bookmarkEnd w:id="34"/>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_Toc12071_WPSOffice_Level2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54621691-d10a-48fa-ac5c-a3c175b835f6}"/>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第二节 促进中医药传承创新</w:t>
              </w:r>
            </w:sdtContent>
          </w:sdt>
          <w:r>
            <w:rPr>
              <w:b w:val="0"/>
              <w:bCs w:val="0"/>
            </w:rPr>
            <w:tab/>
          </w:r>
          <w:bookmarkStart w:id="35" w:name="_Toc12071_WPSOffice_Level2Page"/>
          <w:r>
            <w:rPr>
              <w:b w:val="0"/>
              <w:bCs w:val="0"/>
            </w:rPr>
            <w:t>27</w:t>
          </w:r>
          <w:bookmarkEnd w:id="35"/>
          <w:r>
            <w:rPr>
              <w:b w:val="0"/>
              <w:bCs w:val="0"/>
            </w:rPr>
            <w:fldChar w:fldCharType="end"/>
          </w:r>
        </w:p>
        <w:p>
          <w:pPr>
            <w:pStyle w:val="28"/>
            <w:tabs>
              <w:tab w:val="right" w:leader="dot" w:pos="8306"/>
            </w:tabs>
            <w:rPr>
              <w:b w:val="0"/>
              <w:bCs w:val="0"/>
            </w:rPr>
          </w:pPr>
          <w:r>
            <w:rPr>
              <w:b w:val="0"/>
              <w:bCs w:val="0"/>
            </w:rPr>
            <w:fldChar w:fldCharType="begin"/>
          </w:r>
          <w:r>
            <w:rPr>
              <w:b w:val="0"/>
              <w:bCs w:val="0"/>
            </w:rPr>
            <w:instrText xml:space="preserve"> HYPERLINK \l _Toc12134_WPSOffice_Level1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11951270-6671-4ff8-ac27-029bd16e2f8a}"/>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黑体" w:hAnsi="黑体" w:eastAsia="黑体" w:cs="黑体"/>
                  <w:b w:val="0"/>
                  <w:bCs w:val="0"/>
                </w:rPr>
                <w:t>第六章 建立全方位全周期健康服务体系</w:t>
              </w:r>
            </w:sdtContent>
          </w:sdt>
          <w:r>
            <w:rPr>
              <w:b w:val="0"/>
              <w:bCs w:val="0"/>
            </w:rPr>
            <w:tab/>
          </w:r>
          <w:bookmarkStart w:id="36" w:name="_Toc12134_WPSOffice_Level1Page"/>
          <w:r>
            <w:rPr>
              <w:b w:val="0"/>
              <w:bCs w:val="0"/>
            </w:rPr>
            <w:t>29</w:t>
          </w:r>
          <w:bookmarkEnd w:id="36"/>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_Toc28005_WPSOffice_Level2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06176efd-abe2-4915-b9e7-ab97c3ff11d8}"/>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第一节 健全完善妇幼健康服务体系</w:t>
              </w:r>
            </w:sdtContent>
          </w:sdt>
          <w:r>
            <w:rPr>
              <w:b w:val="0"/>
              <w:bCs w:val="0"/>
            </w:rPr>
            <w:tab/>
          </w:r>
          <w:bookmarkStart w:id="37" w:name="_Toc28005_WPSOffice_Level2Page"/>
          <w:r>
            <w:rPr>
              <w:b w:val="0"/>
              <w:bCs w:val="0"/>
            </w:rPr>
            <w:t>29</w:t>
          </w:r>
          <w:bookmarkEnd w:id="37"/>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_Toc554_WPSOffice_Level2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6d3220dd-b319-4a4d-9e58-89365843fad5}"/>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第二节 加快发展人口家庭服务管理体系</w:t>
              </w:r>
            </w:sdtContent>
          </w:sdt>
          <w:r>
            <w:rPr>
              <w:b w:val="0"/>
              <w:bCs w:val="0"/>
            </w:rPr>
            <w:tab/>
          </w:r>
          <w:bookmarkStart w:id="38" w:name="_Toc554_WPSOffice_Level2Page"/>
          <w:r>
            <w:rPr>
              <w:b w:val="0"/>
              <w:bCs w:val="0"/>
            </w:rPr>
            <w:t>30</w:t>
          </w:r>
          <w:bookmarkEnd w:id="38"/>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_Toc20495_WPSOffice_Level2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d283caf1-d97b-499d-9bbf-885e7f7e2466}"/>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第三节 完善老年卫生健康服务体系</w:t>
              </w:r>
            </w:sdtContent>
          </w:sdt>
          <w:r>
            <w:rPr>
              <w:b w:val="0"/>
              <w:bCs w:val="0"/>
            </w:rPr>
            <w:tab/>
          </w:r>
          <w:bookmarkStart w:id="39" w:name="_Toc20495_WPSOffice_Level2Page"/>
          <w:r>
            <w:rPr>
              <w:b w:val="0"/>
              <w:bCs w:val="0"/>
            </w:rPr>
            <w:t>31</w:t>
          </w:r>
          <w:bookmarkEnd w:id="39"/>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_Toc4533_WPSOffice_Level2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6728cd27-c050-4c8e-b340-c2effd6f1e28}"/>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第四节 建成职业健康技术支撑体系</w:t>
              </w:r>
            </w:sdtContent>
          </w:sdt>
          <w:r>
            <w:rPr>
              <w:b w:val="0"/>
              <w:bCs w:val="0"/>
            </w:rPr>
            <w:tab/>
          </w:r>
          <w:bookmarkStart w:id="40" w:name="_Toc4533_WPSOffice_Level2Page"/>
          <w:r>
            <w:rPr>
              <w:b w:val="0"/>
              <w:bCs w:val="0"/>
            </w:rPr>
            <w:t>33</w:t>
          </w:r>
          <w:bookmarkEnd w:id="40"/>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_Toc6896_WPSOffice_Level2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a53852b1-6692-434a-951a-200e9e70387f}"/>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第五节 加强健康促进与教育体系建设</w:t>
              </w:r>
            </w:sdtContent>
          </w:sdt>
          <w:r>
            <w:rPr>
              <w:b w:val="0"/>
              <w:bCs w:val="0"/>
            </w:rPr>
            <w:tab/>
          </w:r>
          <w:bookmarkStart w:id="41" w:name="_Toc6896_WPSOffice_Level2Page"/>
          <w:r>
            <w:rPr>
              <w:b w:val="0"/>
              <w:bCs w:val="0"/>
            </w:rPr>
            <w:t>33</w:t>
          </w:r>
          <w:bookmarkEnd w:id="41"/>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_Toc25640_WPSOffice_Level2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ace728ca-6801-42f2-9861-2c743aa8603f}"/>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第六节 优化精神卫生心理健康体系</w:t>
              </w:r>
            </w:sdtContent>
          </w:sdt>
          <w:r>
            <w:rPr>
              <w:b w:val="0"/>
              <w:bCs w:val="0"/>
            </w:rPr>
            <w:tab/>
          </w:r>
          <w:bookmarkStart w:id="42" w:name="_Toc25640_WPSOffice_Level2Page"/>
          <w:r>
            <w:rPr>
              <w:b w:val="0"/>
              <w:bCs w:val="0"/>
            </w:rPr>
            <w:t>35</w:t>
          </w:r>
          <w:bookmarkEnd w:id="42"/>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_Toc11126_WPSOffice_Level2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f87e5c59-741f-464c-b203-33ace8427bae}"/>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第七节 推动康复医疗服务体系健全完善</w:t>
              </w:r>
            </w:sdtContent>
          </w:sdt>
          <w:r>
            <w:rPr>
              <w:b w:val="0"/>
              <w:bCs w:val="0"/>
            </w:rPr>
            <w:tab/>
          </w:r>
          <w:bookmarkStart w:id="43" w:name="_Toc11126_WPSOffice_Level2Page"/>
          <w:r>
            <w:rPr>
              <w:b w:val="0"/>
              <w:bCs w:val="0"/>
            </w:rPr>
            <w:t>36</w:t>
          </w:r>
          <w:bookmarkEnd w:id="43"/>
          <w:r>
            <w:rPr>
              <w:b w:val="0"/>
              <w:bCs w:val="0"/>
            </w:rPr>
            <w:fldChar w:fldCharType="end"/>
          </w:r>
        </w:p>
        <w:p>
          <w:pPr>
            <w:pStyle w:val="28"/>
            <w:tabs>
              <w:tab w:val="right" w:leader="dot" w:pos="8306"/>
            </w:tabs>
            <w:rPr>
              <w:b w:val="0"/>
              <w:bCs w:val="0"/>
            </w:rPr>
          </w:pPr>
          <w:r>
            <w:rPr>
              <w:b w:val="0"/>
              <w:bCs w:val="0"/>
            </w:rPr>
            <w:fldChar w:fldCharType="begin"/>
          </w:r>
          <w:r>
            <w:rPr>
              <w:b w:val="0"/>
              <w:bCs w:val="0"/>
            </w:rPr>
            <w:instrText xml:space="preserve"> HYPERLINK \l _Toc18399_WPSOffice_Level1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5002b1ef-bb4a-461a-a5af-e82909f0b498}"/>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黑体" w:hAnsi="黑体" w:eastAsia="黑体" w:cs="黑体"/>
                  <w:b w:val="0"/>
                  <w:bCs w:val="0"/>
                </w:rPr>
                <w:t>第七章 健全体制机制保障和要素支撑</w:t>
              </w:r>
            </w:sdtContent>
          </w:sdt>
          <w:r>
            <w:rPr>
              <w:b w:val="0"/>
              <w:bCs w:val="0"/>
            </w:rPr>
            <w:tab/>
          </w:r>
          <w:bookmarkStart w:id="44" w:name="_Toc18399_WPSOffice_Level1Page"/>
          <w:r>
            <w:rPr>
              <w:b w:val="0"/>
              <w:bCs w:val="0"/>
            </w:rPr>
            <w:t>38</w:t>
          </w:r>
          <w:bookmarkEnd w:id="44"/>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_Toc14234_WPSOffice_Level2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1e7a4541-04d3-4d27-a2b8-e63975880994}"/>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第一节 深化“三医”联动改革</w:t>
              </w:r>
            </w:sdtContent>
          </w:sdt>
          <w:r>
            <w:rPr>
              <w:b w:val="0"/>
              <w:bCs w:val="0"/>
            </w:rPr>
            <w:tab/>
          </w:r>
          <w:bookmarkStart w:id="45" w:name="_Toc14234_WPSOffice_Level2Page"/>
          <w:r>
            <w:rPr>
              <w:b w:val="0"/>
              <w:bCs w:val="0"/>
            </w:rPr>
            <w:t>38</w:t>
          </w:r>
          <w:bookmarkEnd w:id="45"/>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_Toc19509_WPSOffice_Level2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84387efc-d347-4007-a756-9a9a59a6e21a}"/>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第二节 加强卫生人才队伍建设</w:t>
              </w:r>
            </w:sdtContent>
          </w:sdt>
          <w:r>
            <w:rPr>
              <w:b w:val="0"/>
              <w:bCs w:val="0"/>
            </w:rPr>
            <w:tab/>
          </w:r>
          <w:bookmarkStart w:id="46" w:name="_Toc19509_WPSOffice_Level2Page"/>
          <w:r>
            <w:rPr>
              <w:b w:val="0"/>
              <w:bCs w:val="0"/>
            </w:rPr>
            <w:t>41</w:t>
          </w:r>
          <w:bookmarkEnd w:id="46"/>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_Toc1473_WPSOffice_Level2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4b2a500a-245a-4d81-922d-39dd281de77b}"/>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第三节 推动数字卫生健康发展</w:t>
              </w:r>
            </w:sdtContent>
          </w:sdt>
          <w:r>
            <w:rPr>
              <w:b w:val="0"/>
              <w:bCs w:val="0"/>
            </w:rPr>
            <w:tab/>
          </w:r>
          <w:bookmarkStart w:id="47" w:name="_Toc1473_WPSOffice_Level2Page"/>
          <w:r>
            <w:rPr>
              <w:b w:val="0"/>
              <w:bCs w:val="0"/>
            </w:rPr>
            <w:t>43</w:t>
          </w:r>
          <w:bookmarkEnd w:id="47"/>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_Toc19378_WPSOffice_Level2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616ed68e-42f2-4e58-ac64-1cd12b2425c4}"/>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第四节 强化卫生健康法治建设</w:t>
              </w:r>
            </w:sdtContent>
          </w:sdt>
          <w:r>
            <w:rPr>
              <w:b w:val="0"/>
              <w:bCs w:val="0"/>
            </w:rPr>
            <w:tab/>
          </w:r>
          <w:bookmarkStart w:id="48" w:name="_Toc19378_WPSOffice_Level2Page"/>
          <w:r>
            <w:rPr>
              <w:b w:val="0"/>
              <w:bCs w:val="0"/>
            </w:rPr>
            <w:t>45</w:t>
          </w:r>
          <w:bookmarkEnd w:id="48"/>
          <w:r>
            <w:rPr>
              <w:b w:val="0"/>
              <w:bCs w:val="0"/>
            </w:rPr>
            <w:fldChar w:fldCharType="end"/>
          </w:r>
        </w:p>
        <w:p>
          <w:pPr>
            <w:pStyle w:val="28"/>
            <w:tabs>
              <w:tab w:val="right" w:leader="dot" w:pos="8306"/>
            </w:tabs>
            <w:rPr>
              <w:b w:val="0"/>
              <w:bCs w:val="0"/>
            </w:rPr>
          </w:pPr>
          <w:r>
            <w:rPr>
              <w:b w:val="0"/>
              <w:bCs w:val="0"/>
            </w:rPr>
            <w:fldChar w:fldCharType="begin"/>
          </w:r>
          <w:r>
            <w:rPr>
              <w:b w:val="0"/>
              <w:bCs w:val="0"/>
            </w:rPr>
            <w:instrText xml:space="preserve"> HYPERLINK \l _Toc28679_WPSOffice_Level1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45366fd7-7fa3-4f36-9413-937882d12d7a}"/>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黑体" w:hAnsi="黑体" w:eastAsia="黑体" w:cs="黑体"/>
                  <w:b w:val="0"/>
                  <w:bCs w:val="0"/>
                </w:rPr>
                <w:t>第八章 加强医疗卫生服务体系规划实施</w:t>
              </w:r>
            </w:sdtContent>
          </w:sdt>
          <w:r>
            <w:rPr>
              <w:b w:val="0"/>
              <w:bCs w:val="0"/>
            </w:rPr>
            <w:tab/>
          </w:r>
          <w:bookmarkStart w:id="49" w:name="_Toc28679_WPSOffice_Level1Page"/>
          <w:r>
            <w:rPr>
              <w:b w:val="0"/>
              <w:bCs w:val="0"/>
            </w:rPr>
            <w:t>46</w:t>
          </w:r>
          <w:bookmarkEnd w:id="49"/>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_Toc22544_WPSOffice_Level2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373de8bb-c99d-40bd-be52-17081a9b5c6c}"/>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第一节 强化组织领导</w:t>
              </w:r>
            </w:sdtContent>
          </w:sdt>
          <w:r>
            <w:rPr>
              <w:b w:val="0"/>
              <w:bCs w:val="0"/>
            </w:rPr>
            <w:tab/>
          </w:r>
          <w:bookmarkStart w:id="50" w:name="_Toc22544_WPSOffice_Level2Page"/>
          <w:r>
            <w:rPr>
              <w:b w:val="0"/>
              <w:bCs w:val="0"/>
            </w:rPr>
            <w:t>46</w:t>
          </w:r>
          <w:bookmarkEnd w:id="50"/>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_Toc13970_WPSOffice_Level2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89663baa-8ec2-4806-b1dc-1e29828affaf}"/>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第二节 夯实部门责任</w:t>
              </w:r>
            </w:sdtContent>
          </w:sdt>
          <w:r>
            <w:rPr>
              <w:b w:val="0"/>
              <w:bCs w:val="0"/>
            </w:rPr>
            <w:tab/>
          </w:r>
          <w:bookmarkStart w:id="51" w:name="_Toc13970_WPSOffice_Level2Page"/>
          <w:r>
            <w:rPr>
              <w:b w:val="0"/>
              <w:bCs w:val="0"/>
            </w:rPr>
            <w:t>46</w:t>
          </w:r>
          <w:bookmarkEnd w:id="51"/>
          <w:r>
            <w:rPr>
              <w:b w:val="0"/>
              <w:bCs w:val="0"/>
            </w:rPr>
            <w:fldChar w:fldCharType="end"/>
          </w:r>
        </w:p>
        <w:p>
          <w:pPr>
            <w:pStyle w:val="29"/>
            <w:tabs>
              <w:tab w:val="right" w:leader="dot" w:pos="8306"/>
            </w:tabs>
            <w:rPr>
              <w:b w:val="0"/>
              <w:bCs w:val="0"/>
            </w:rPr>
          </w:pPr>
          <w:r>
            <w:rPr>
              <w:b w:val="0"/>
              <w:bCs w:val="0"/>
            </w:rPr>
            <w:fldChar w:fldCharType="begin"/>
          </w:r>
          <w:r>
            <w:rPr>
              <w:b w:val="0"/>
              <w:bCs w:val="0"/>
            </w:rPr>
            <w:instrText xml:space="preserve"> HYPERLINK \l _Toc30124_WPSOffice_Level2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b65984c4-f3b3-4f32-b9f8-ec19e257700f}"/>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第三节 发动社会参与</w:t>
              </w:r>
            </w:sdtContent>
          </w:sdt>
          <w:r>
            <w:rPr>
              <w:b w:val="0"/>
              <w:bCs w:val="0"/>
            </w:rPr>
            <w:tab/>
          </w:r>
          <w:bookmarkStart w:id="52" w:name="_Toc30124_WPSOffice_Level2Page"/>
          <w:r>
            <w:rPr>
              <w:b w:val="0"/>
              <w:bCs w:val="0"/>
            </w:rPr>
            <w:t>47</w:t>
          </w:r>
          <w:bookmarkEnd w:id="52"/>
          <w:r>
            <w:rPr>
              <w:b w:val="0"/>
              <w:bCs w:val="0"/>
            </w:rPr>
            <w:fldChar w:fldCharType="end"/>
          </w:r>
        </w:p>
        <w:p>
          <w:pPr>
            <w:pStyle w:val="29"/>
            <w:tabs>
              <w:tab w:val="right" w:leader="dot" w:pos="8306"/>
            </w:tabs>
          </w:pPr>
          <w:r>
            <w:rPr>
              <w:b w:val="0"/>
              <w:bCs w:val="0"/>
            </w:rPr>
            <w:fldChar w:fldCharType="begin"/>
          </w:r>
          <w:r>
            <w:rPr>
              <w:b w:val="0"/>
              <w:bCs w:val="0"/>
            </w:rPr>
            <w:instrText xml:space="preserve"> HYPERLINK \l _Toc14381_WPSOffice_Level2 </w:instrText>
          </w:r>
          <w:r>
            <w:rPr>
              <w:b w:val="0"/>
              <w:bCs w:val="0"/>
            </w:rPr>
            <w:fldChar w:fldCharType="separate"/>
          </w:r>
          <w:sdt>
            <w:sdtPr>
              <w:rPr>
                <w:rFonts w:eastAsia="宋体" w:asciiTheme="minorHAnsi" w:hAnsiTheme="minorHAnsi" w:cstheme="minorBidi"/>
                <w:b w:val="0"/>
                <w:bCs w:val="0"/>
                <w:kern w:val="2"/>
                <w:sz w:val="21"/>
                <w:szCs w:val="24"/>
                <w:lang w:val="en-US" w:eastAsia="zh-CN" w:bidi="ar-SA"/>
              </w:rPr>
              <w:id w:val="147467396"/>
              <w:placeholder>
                <w:docPart w:val="{652ef02e-f787-466b-8375-3f848b05235b}"/>
              </w:placeholder>
            </w:sdtPr>
            <w:sdtEndPr>
              <w:rPr>
                <w:rFonts w:eastAsia="宋体" w:asciiTheme="minorHAnsi" w:hAnsiTheme="minorHAnsi" w:cstheme="minorBidi"/>
                <w:b w:val="0"/>
                <w:bCs w:val="0"/>
                <w:kern w:val="2"/>
                <w:sz w:val="21"/>
                <w:szCs w:val="24"/>
                <w:lang w:val="en-US" w:eastAsia="zh-CN" w:bidi="ar-SA"/>
              </w:rPr>
            </w:sdtEndPr>
            <w:sdtContent>
              <w:r>
                <w:rPr>
                  <w:rFonts w:hint="eastAsia" w:ascii="楷体_GB2312" w:hAnsi="楷体_GB2312" w:eastAsia="楷体_GB2312" w:cs="楷体_GB2312"/>
                  <w:b w:val="0"/>
                  <w:bCs w:val="0"/>
                </w:rPr>
                <w:t>第四节 加强监测评估</w:t>
              </w:r>
            </w:sdtContent>
          </w:sdt>
          <w:r>
            <w:rPr>
              <w:b w:val="0"/>
              <w:bCs w:val="0"/>
            </w:rPr>
            <w:tab/>
          </w:r>
          <w:bookmarkStart w:id="53" w:name="_Toc14381_WPSOffice_Level2Page"/>
          <w:r>
            <w:rPr>
              <w:b w:val="0"/>
              <w:bCs w:val="0"/>
            </w:rPr>
            <w:t>47</w:t>
          </w:r>
          <w:bookmarkEnd w:id="53"/>
          <w:r>
            <w:rPr>
              <w:b w:val="0"/>
              <w:bCs w:val="0"/>
            </w:rPr>
            <w:fldChar w:fldCharType="end"/>
          </w:r>
          <w:bookmarkEnd w:id="16"/>
        </w:p>
      </w:sdtContent>
    </w:sdt>
    <w:p>
      <w:pPr>
        <w:pStyle w:val="7"/>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7"/>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b w:val="0"/>
          <w:bCs w:val="0"/>
          <w:color w:val="auto"/>
          <w:sz w:val="32"/>
          <w:szCs w:val="32"/>
        </w:rPr>
        <w:t>“十四五”时期，是开启全面建设社会主义现代化国家新征程、向第二个百年奋斗目标进军的</w:t>
      </w:r>
      <w:r>
        <w:rPr>
          <w:rFonts w:hint="default" w:ascii="Times New Roman" w:hAnsi="Times New Roman" w:eastAsia="仿宋_GB2312" w:cs="Times New Roman"/>
          <w:b w:val="0"/>
          <w:bCs w:val="0"/>
          <w:color w:val="auto"/>
          <w:sz w:val="32"/>
          <w:szCs w:val="32"/>
          <w:lang w:eastAsia="zh-CN"/>
        </w:rPr>
        <w:t>关键</w:t>
      </w:r>
      <w:r>
        <w:rPr>
          <w:rFonts w:hint="default" w:ascii="Times New Roman" w:hAnsi="Times New Roman" w:eastAsia="仿宋_GB2312" w:cs="Times New Roman"/>
          <w:b w:val="0"/>
          <w:bCs w:val="0"/>
          <w:color w:val="auto"/>
          <w:sz w:val="32"/>
          <w:szCs w:val="32"/>
        </w:rPr>
        <w:t>五年。</w:t>
      </w:r>
      <w:r>
        <w:rPr>
          <w:rFonts w:hint="default" w:ascii="Times New Roman" w:hAnsi="Times New Roman" w:eastAsia="仿宋_GB2312" w:cs="Times New Roman"/>
          <w:color w:val="auto"/>
          <w:kern w:val="0"/>
          <w:sz w:val="32"/>
          <w:szCs w:val="32"/>
          <w:lang w:bidi="ar"/>
        </w:rPr>
        <w:t>为优化</w:t>
      </w:r>
      <w:r>
        <w:rPr>
          <w:rFonts w:hint="default" w:ascii="Times New Roman" w:hAnsi="Times New Roman" w:eastAsia="仿宋_GB2312" w:cs="Times New Roman"/>
          <w:color w:val="auto"/>
          <w:kern w:val="0"/>
          <w:sz w:val="32"/>
          <w:szCs w:val="32"/>
          <w:lang w:eastAsia="zh-CN" w:bidi="ar"/>
        </w:rPr>
        <w:t>夹江</w:t>
      </w:r>
      <w:r>
        <w:rPr>
          <w:rFonts w:hint="default" w:ascii="Times New Roman" w:hAnsi="Times New Roman" w:eastAsia="仿宋_GB2312" w:cs="Times New Roman"/>
          <w:color w:val="auto"/>
          <w:kern w:val="0"/>
          <w:sz w:val="32"/>
          <w:szCs w:val="32"/>
          <w:lang w:bidi="ar"/>
        </w:rPr>
        <w:t>医疗卫生资源配置，</w:t>
      </w:r>
      <w:r>
        <w:rPr>
          <w:rFonts w:hint="default" w:ascii="Times New Roman" w:hAnsi="Times New Roman" w:eastAsia="仿宋_GB2312" w:cs="Times New Roman"/>
          <w:b w:val="0"/>
          <w:bCs w:val="0"/>
          <w:color w:val="auto"/>
          <w:sz w:val="32"/>
          <w:szCs w:val="32"/>
        </w:rPr>
        <w:t>根据</w:t>
      </w:r>
      <w:r>
        <w:rPr>
          <w:rFonts w:hint="default" w:ascii="Times New Roman" w:hAnsi="Times New Roman" w:eastAsia="仿宋_GB2312" w:cs="Times New Roman"/>
          <w:color w:val="auto"/>
          <w:kern w:val="0"/>
          <w:sz w:val="32"/>
          <w:szCs w:val="32"/>
          <w:lang w:bidi="ar"/>
        </w:rPr>
        <w:t>《“健康乐山2030”规划纲要》《乐山市“十四五”卫生健康发展规划》</w:t>
      </w:r>
      <w:r>
        <w:rPr>
          <w:rFonts w:hint="default" w:ascii="Times New Roman" w:hAnsi="Times New Roman" w:eastAsia="仿宋_GB2312" w:cs="Times New Roman"/>
          <w:b w:val="0"/>
          <w:bCs w:val="0"/>
          <w:color w:val="auto"/>
          <w:sz w:val="32"/>
          <w:szCs w:val="32"/>
        </w:rPr>
        <w:t>《夹江县国民经济和社会发展第十四个五年规划和二〇三五年远景目标纲要》</w:t>
      </w:r>
      <w:r>
        <w:rPr>
          <w:rFonts w:hint="default" w:ascii="Times New Roman" w:hAnsi="Times New Roman" w:eastAsia="仿宋_GB2312" w:cs="Times New Roman"/>
          <w:color w:val="auto"/>
          <w:kern w:val="0"/>
          <w:sz w:val="32"/>
          <w:szCs w:val="32"/>
          <w:lang w:bidi="ar"/>
        </w:rPr>
        <w:t>，制定本规划。</w:t>
      </w:r>
    </w:p>
    <w:p>
      <w:pPr>
        <w:pStyle w:val="7"/>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0"/>
        <w:rPr>
          <w:rFonts w:hint="default" w:ascii="Times New Roman" w:hAnsi="Times New Roman" w:eastAsia="黑体" w:cs="Times New Roman"/>
          <w:color w:val="auto"/>
          <w:sz w:val="32"/>
          <w:szCs w:val="32"/>
          <w:lang w:bidi="ar"/>
        </w:rPr>
      </w:pPr>
      <w:bookmarkStart w:id="54" w:name="_Toc29889_WPSOffice_Level1"/>
      <w:r>
        <w:rPr>
          <w:rFonts w:hint="default" w:ascii="Times New Roman" w:hAnsi="Times New Roman" w:eastAsia="黑体" w:cs="Times New Roman"/>
          <w:color w:val="auto"/>
          <w:kern w:val="0"/>
          <w:sz w:val="32"/>
          <w:szCs w:val="32"/>
          <w:lang w:bidi="ar"/>
        </w:rPr>
        <w:t>第一章 规划背景和总体要求</w:t>
      </w:r>
      <w:bookmarkEnd w:id="54"/>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color w:val="auto"/>
          <w:kern w:val="0"/>
          <w:sz w:val="32"/>
          <w:szCs w:val="32"/>
          <w:lang w:bidi="ar"/>
        </w:rPr>
      </w:pPr>
      <w:bookmarkStart w:id="55" w:name="_Toc21174_WPSOffice_Level2"/>
      <w:r>
        <w:rPr>
          <w:rFonts w:hint="default" w:ascii="Times New Roman" w:hAnsi="Times New Roman" w:eastAsia="楷体_GB2312" w:cs="Times New Roman"/>
          <w:color w:val="auto"/>
          <w:kern w:val="0"/>
          <w:sz w:val="32"/>
          <w:szCs w:val="32"/>
          <w:lang w:bidi="ar"/>
        </w:rPr>
        <w:t>第一节 规划背景</w:t>
      </w:r>
      <w:bookmarkEnd w:id="55"/>
    </w:p>
    <w:p>
      <w:pPr>
        <w:pStyle w:val="2"/>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一、发展基础</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“十三五”期间，在市委市政府</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eastAsia="zh-CN" w:bidi="ar"/>
        </w:rPr>
        <w:t>县委县政府</w:t>
      </w:r>
      <w:r>
        <w:rPr>
          <w:rFonts w:hint="default" w:ascii="Times New Roman" w:hAnsi="Times New Roman" w:eastAsia="仿宋_GB2312" w:cs="Times New Roman"/>
          <w:color w:val="auto"/>
          <w:kern w:val="0"/>
          <w:sz w:val="32"/>
          <w:szCs w:val="32"/>
          <w:lang w:bidi="ar"/>
        </w:rPr>
        <w:t>的坚强领导下，全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卫生健康系统始终坚持“干在实处、走在前列”，以保障人民健康为中心，以深化医药卫生体制改革为动力，积极推进“健康</w:t>
      </w:r>
      <w:r>
        <w:rPr>
          <w:rFonts w:hint="default" w:ascii="Times New Roman" w:hAnsi="Times New Roman" w:eastAsia="仿宋_GB2312" w:cs="Times New Roman"/>
          <w:color w:val="auto"/>
          <w:kern w:val="0"/>
          <w:sz w:val="32"/>
          <w:szCs w:val="32"/>
          <w:lang w:eastAsia="zh-CN" w:bidi="ar"/>
        </w:rPr>
        <w:t>夹江</w:t>
      </w:r>
      <w:r>
        <w:rPr>
          <w:rFonts w:hint="default" w:ascii="Times New Roman" w:hAnsi="Times New Roman" w:eastAsia="仿宋_GB2312" w:cs="Times New Roman"/>
          <w:color w:val="auto"/>
          <w:kern w:val="0"/>
          <w:sz w:val="32"/>
          <w:szCs w:val="32"/>
          <w:lang w:bidi="ar"/>
        </w:rPr>
        <w:t>”建设，在抗击新冠肺炎疫情和防汛救灾过程中发挥重要作用，卫生健康事业发展取得显著成效，主要健康指标优于全</w:t>
      </w:r>
      <w:r>
        <w:rPr>
          <w:rFonts w:hint="default" w:ascii="Times New Roman" w:hAnsi="Times New Roman" w:eastAsia="仿宋_GB2312" w:cs="Times New Roman"/>
          <w:color w:val="auto"/>
          <w:kern w:val="0"/>
          <w:sz w:val="32"/>
          <w:szCs w:val="32"/>
          <w:lang w:eastAsia="zh-CN" w:bidi="ar"/>
        </w:rPr>
        <w:t>市</w:t>
      </w:r>
      <w:r>
        <w:rPr>
          <w:rFonts w:hint="default" w:ascii="Times New Roman" w:hAnsi="Times New Roman" w:eastAsia="仿宋_GB2312" w:cs="Times New Roman"/>
          <w:color w:val="auto"/>
          <w:kern w:val="0"/>
          <w:sz w:val="32"/>
          <w:szCs w:val="32"/>
          <w:lang w:bidi="ar"/>
        </w:rPr>
        <w:t>平均水平。截至2020年底，全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医疗卫生机构</w:t>
      </w:r>
      <w:r>
        <w:rPr>
          <w:rFonts w:hint="default" w:ascii="Times New Roman" w:hAnsi="Times New Roman" w:eastAsia="仿宋_GB2312" w:cs="Times New Roman"/>
          <w:color w:val="auto"/>
          <w:kern w:val="0"/>
          <w:sz w:val="32"/>
          <w:szCs w:val="32"/>
          <w:lang w:val="en-US" w:eastAsia="zh-CN" w:bidi="ar"/>
        </w:rPr>
        <w:t>317</w:t>
      </w:r>
      <w:r>
        <w:rPr>
          <w:rFonts w:hint="default" w:ascii="Times New Roman" w:hAnsi="Times New Roman" w:eastAsia="仿宋_GB2312" w:cs="Times New Roman"/>
          <w:color w:val="auto"/>
          <w:kern w:val="0"/>
          <w:sz w:val="32"/>
          <w:szCs w:val="32"/>
          <w:lang w:bidi="ar"/>
        </w:rPr>
        <w:t>个，实有床位</w:t>
      </w:r>
      <w:r>
        <w:rPr>
          <w:rFonts w:hint="default" w:ascii="Times New Roman" w:hAnsi="Times New Roman" w:eastAsia="仿宋_GB2312" w:cs="Times New Roman"/>
          <w:color w:val="auto"/>
          <w:kern w:val="0"/>
          <w:sz w:val="32"/>
          <w:szCs w:val="32"/>
          <w:lang w:val="en-US" w:eastAsia="zh-CN" w:bidi="ar"/>
        </w:rPr>
        <w:t>2212</w:t>
      </w:r>
      <w:r>
        <w:rPr>
          <w:rFonts w:hint="default" w:ascii="Times New Roman" w:hAnsi="Times New Roman" w:eastAsia="仿宋_GB2312" w:cs="Times New Roman"/>
          <w:color w:val="auto"/>
          <w:kern w:val="0"/>
          <w:sz w:val="32"/>
          <w:szCs w:val="32"/>
          <w:lang w:bidi="ar"/>
        </w:rPr>
        <w:t>张，卫生人员</w:t>
      </w:r>
      <w:r>
        <w:rPr>
          <w:rFonts w:hint="default" w:ascii="Times New Roman" w:hAnsi="Times New Roman" w:eastAsia="仿宋_GB2312" w:cs="Times New Roman"/>
          <w:color w:val="auto"/>
          <w:kern w:val="0"/>
          <w:sz w:val="32"/>
          <w:szCs w:val="32"/>
          <w:lang w:val="en-US" w:eastAsia="zh-CN" w:bidi="ar"/>
        </w:rPr>
        <w:t>2471</w:t>
      </w:r>
      <w:r>
        <w:rPr>
          <w:rFonts w:hint="default" w:ascii="Times New Roman" w:hAnsi="Times New Roman" w:eastAsia="仿宋_GB2312" w:cs="Times New Roman"/>
          <w:color w:val="auto"/>
          <w:kern w:val="0"/>
          <w:sz w:val="32"/>
          <w:szCs w:val="32"/>
          <w:lang w:bidi="ar"/>
        </w:rPr>
        <w:t>人。2015年—2020年，每千人口（指常住人口，下同）执业（助理）医师数从</w:t>
      </w:r>
      <w:r>
        <w:rPr>
          <w:rFonts w:hint="default" w:ascii="Times New Roman" w:hAnsi="Times New Roman" w:eastAsia="仿宋_GB2312" w:cs="Times New Roman"/>
          <w:color w:val="auto"/>
          <w:kern w:val="0"/>
          <w:sz w:val="32"/>
          <w:szCs w:val="32"/>
          <w:lang w:val="en-US" w:eastAsia="zh-CN" w:bidi="ar"/>
        </w:rPr>
        <w:t>2.3</w:t>
      </w:r>
      <w:r>
        <w:rPr>
          <w:rFonts w:hint="default" w:ascii="Times New Roman" w:hAnsi="Times New Roman" w:eastAsia="仿宋_GB2312" w:cs="Times New Roman"/>
          <w:color w:val="auto"/>
          <w:kern w:val="0"/>
          <w:sz w:val="32"/>
          <w:szCs w:val="32"/>
          <w:lang w:bidi="ar"/>
        </w:rPr>
        <w:t>人增长至</w:t>
      </w:r>
      <w:r>
        <w:rPr>
          <w:rFonts w:hint="default" w:ascii="Times New Roman" w:hAnsi="Times New Roman" w:eastAsia="仿宋_GB2312" w:cs="Times New Roman"/>
          <w:color w:val="auto"/>
          <w:kern w:val="0"/>
          <w:sz w:val="32"/>
          <w:szCs w:val="32"/>
          <w:lang w:val="en-US" w:eastAsia="zh-CN" w:bidi="ar"/>
        </w:rPr>
        <w:t>2.7</w:t>
      </w:r>
      <w:r>
        <w:rPr>
          <w:rFonts w:hint="default" w:ascii="Times New Roman" w:hAnsi="Times New Roman" w:eastAsia="仿宋_GB2312" w:cs="Times New Roman"/>
          <w:color w:val="auto"/>
          <w:kern w:val="0"/>
          <w:sz w:val="32"/>
          <w:szCs w:val="32"/>
          <w:lang w:bidi="ar"/>
        </w:rPr>
        <w:t>人，每千人口注册护士数从</w:t>
      </w:r>
      <w:r>
        <w:rPr>
          <w:rFonts w:hint="default" w:ascii="Times New Roman" w:hAnsi="Times New Roman" w:eastAsia="仿宋_GB2312" w:cs="Times New Roman"/>
          <w:color w:val="auto"/>
          <w:kern w:val="0"/>
          <w:sz w:val="32"/>
          <w:szCs w:val="32"/>
          <w:lang w:val="en-US" w:eastAsia="zh-CN" w:bidi="ar"/>
        </w:rPr>
        <w:t>2.3</w:t>
      </w:r>
      <w:r>
        <w:rPr>
          <w:rFonts w:hint="default" w:ascii="Times New Roman" w:hAnsi="Times New Roman" w:eastAsia="仿宋_GB2312" w:cs="Times New Roman"/>
          <w:color w:val="auto"/>
          <w:kern w:val="0"/>
          <w:sz w:val="32"/>
          <w:szCs w:val="32"/>
          <w:lang w:bidi="ar"/>
        </w:rPr>
        <w:t>人增长至</w:t>
      </w:r>
      <w:r>
        <w:rPr>
          <w:rFonts w:hint="default" w:ascii="Times New Roman" w:hAnsi="Times New Roman" w:eastAsia="仿宋_GB2312" w:cs="Times New Roman"/>
          <w:color w:val="auto"/>
          <w:kern w:val="0"/>
          <w:sz w:val="32"/>
          <w:szCs w:val="32"/>
          <w:lang w:val="en-US" w:eastAsia="zh-CN" w:bidi="ar"/>
        </w:rPr>
        <w:t>3.5</w:t>
      </w:r>
      <w:r>
        <w:rPr>
          <w:rFonts w:hint="default" w:ascii="Times New Roman" w:hAnsi="Times New Roman" w:eastAsia="仿宋_GB2312" w:cs="Times New Roman"/>
          <w:color w:val="auto"/>
          <w:kern w:val="0"/>
          <w:sz w:val="32"/>
          <w:szCs w:val="32"/>
          <w:lang w:bidi="ar"/>
        </w:rPr>
        <w:t>人，每万人口全科医生数从</w:t>
      </w:r>
      <w:r>
        <w:rPr>
          <w:rFonts w:hint="default" w:ascii="Times New Roman" w:hAnsi="Times New Roman" w:eastAsia="仿宋_GB2312" w:cs="Times New Roman"/>
          <w:color w:val="auto"/>
          <w:kern w:val="0"/>
          <w:sz w:val="32"/>
          <w:szCs w:val="32"/>
          <w:lang w:val="en-US" w:eastAsia="zh-CN" w:bidi="ar"/>
        </w:rPr>
        <w:t>0.88</w:t>
      </w:r>
      <w:r>
        <w:rPr>
          <w:rFonts w:hint="default" w:ascii="Times New Roman" w:hAnsi="Times New Roman" w:eastAsia="仿宋_GB2312" w:cs="Times New Roman"/>
          <w:color w:val="auto"/>
          <w:kern w:val="0"/>
          <w:sz w:val="32"/>
          <w:szCs w:val="32"/>
          <w:lang w:bidi="ar"/>
        </w:rPr>
        <w:t>人增长至</w:t>
      </w:r>
      <w:r>
        <w:rPr>
          <w:rFonts w:hint="default" w:ascii="Times New Roman" w:hAnsi="Times New Roman" w:eastAsia="仿宋_GB2312" w:cs="Times New Roman"/>
          <w:color w:val="auto"/>
          <w:kern w:val="0"/>
          <w:sz w:val="32"/>
          <w:szCs w:val="32"/>
          <w:lang w:val="en-US" w:eastAsia="zh-CN" w:bidi="ar"/>
        </w:rPr>
        <w:t>2.62</w:t>
      </w:r>
      <w:r>
        <w:rPr>
          <w:rFonts w:hint="default" w:ascii="Times New Roman" w:hAnsi="Times New Roman" w:eastAsia="仿宋_GB2312" w:cs="Times New Roman"/>
          <w:color w:val="auto"/>
          <w:kern w:val="0"/>
          <w:sz w:val="32"/>
          <w:szCs w:val="32"/>
          <w:lang w:bidi="ar"/>
        </w:rPr>
        <w:t>人</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每万人口专业公共卫生机构人员数从</w:t>
      </w:r>
      <w:r>
        <w:rPr>
          <w:rFonts w:hint="default" w:ascii="Times New Roman" w:hAnsi="Times New Roman" w:eastAsia="仿宋_GB2312" w:cs="Times New Roman"/>
          <w:color w:val="auto"/>
          <w:kern w:val="0"/>
          <w:sz w:val="32"/>
          <w:szCs w:val="32"/>
          <w:lang w:val="en-US" w:eastAsia="zh-CN" w:bidi="ar"/>
        </w:rPr>
        <w:t>0.21</w:t>
      </w:r>
      <w:r>
        <w:rPr>
          <w:rFonts w:hint="default" w:ascii="Times New Roman" w:hAnsi="Times New Roman" w:eastAsia="仿宋_GB2312" w:cs="Times New Roman"/>
          <w:color w:val="auto"/>
          <w:kern w:val="0"/>
          <w:sz w:val="32"/>
          <w:szCs w:val="32"/>
          <w:lang w:bidi="ar"/>
        </w:rPr>
        <w:t>人增长至</w:t>
      </w:r>
      <w:r>
        <w:rPr>
          <w:rFonts w:hint="default" w:ascii="Times New Roman" w:hAnsi="Times New Roman" w:eastAsia="仿宋_GB2312" w:cs="Times New Roman"/>
          <w:color w:val="auto"/>
          <w:kern w:val="0"/>
          <w:sz w:val="32"/>
          <w:szCs w:val="32"/>
          <w:lang w:val="en-US" w:eastAsia="zh-CN" w:bidi="ar"/>
        </w:rPr>
        <w:t>0.42</w:t>
      </w:r>
      <w:r>
        <w:rPr>
          <w:rFonts w:hint="default" w:ascii="Times New Roman" w:hAnsi="Times New Roman" w:eastAsia="仿宋_GB2312" w:cs="Times New Roman"/>
          <w:color w:val="auto"/>
          <w:kern w:val="0"/>
          <w:sz w:val="32"/>
          <w:szCs w:val="32"/>
          <w:lang w:bidi="ar"/>
        </w:rPr>
        <w:t>人。全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三级</w:t>
      </w:r>
      <w:r>
        <w:rPr>
          <w:rFonts w:hint="default" w:ascii="Times New Roman" w:hAnsi="Times New Roman" w:eastAsia="仿宋_GB2312" w:cs="Times New Roman"/>
          <w:color w:val="auto"/>
          <w:kern w:val="0"/>
          <w:sz w:val="32"/>
          <w:szCs w:val="32"/>
          <w:lang w:eastAsia="zh-CN" w:bidi="ar"/>
        </w:rPr>
        <w:t>乙等</w:t>
      </w:r>
      <w:r>
        <w:rPr>
          <w:rFonts w:hint="default" w:ascii="Times New Roman" w:hAnsi="Times New Roman" w:eastAsia="仿宋_GB2312" w:cs="Times New Roman"/>
          <w:color w:val="auto"/>
          <w:kern w:val="0"/>
          <w:sz w:val="32"/>
          <w:szCs w:val="32"/>
          <w:lang w:bidi="ar"/>
        </w:rPr>
        <w:t>医院从</w:t>
      </w:r>
      <w:r>
        <w:rPr>
          <w:rFonts w:hint="default" w:ascii="Times New Roman" w:hAnsi="Times New Roman" w:eastAsia="仿宋_GB2312" w:cs="Times New Roman"/>
          <w:color w:val="auto"/>
          <w:kern w:val="0"/>
          <w:sz w:val="32"/>
          <w:szCs w:val="32"/>
          <w:lang w:val="en-US" w:eastAsia="zh-CN" w:bidi="ar"/>
        </w:rPr>
        <w:t>0</w:t>
      </w:r>
      <w:r>
        <w:rPr>
          <w:rFonts w:hint="default" w:ascii="Times New Roman" w:hAnsi="Times New Roman" w:eastAsia="仿宋_GB2312" w:cs="Times New Roman"/>
          <w:color w:val="auto"/>
          <w:kern w:val="0"/>
          <w:sz w:val="32"/>
          <w:szCs w:val="32"/>
          <w:lang w:bidi="ar"/>
        </w:rPr>
        <w:t>个增加到</w:t>
      </w:r>
      <w:r>
        <w:rPr>
          <w:rFonts w:hint="default"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bidi="ar"/>
        </w:rPr>
        <w:t>个，县</w:t>
      </w:r>
      <w:r>
        <w:rPr>
          <w:rFonts w:hint="default" w:ascii="Times New Roman" w:hAnsi="Times New Roman" w:eastAsia="仿宋_GB2312" w:cs="Times New Roman"/>
          <w:color w:val="auto"/>
          <w:kern w:val="0"/>
          <w:sz w:val="32"/>
          <w:szCs w:val="32"/>
          <w:lang w:eastAsia="zh-CN" w:bidi="ar"/>
        </w:rPr>
        <w:t>疾病预防控制</w:t>
      </w:r>
      <w:r>
        <w:rPr>
          <w:rFonts w:hint="default" w:ascii="Times New Roman" w:hAnsi="Times New Roman" w:eastAsia="仿宋_GB2312" w:cs="Times New Roman"/>
          <w:color w:val="auto"/>
          <w:kern w:val="0"/>
          <w:sz w:val="32"/>
          <w:szCs w:val="32"/>
          <w:lang w:bidi="ar"/>
        </w:rPr>
        <w:t>机构达到二级</w:t>
      </w:r>
      <w:r>
        <w:rPr>
          <w:rFonts w:hint="default" w:ascii="Times New Roman" w:hAnsi="Times New Roman" w:eastAsia="仿宋_GB2312" w:cs="Times New Roman"/>
          <w:color w:val="auto"/>
          <w:kern w:val="0"/>
          <w:sz w:val="32"/>
          <w:szCs w:val="32"/>
          <w:lang w:eastAsia="zh-CN" w:bidi="ar"/>
        </w:rPr>
        <w:t>乙等</w:t>
      </w:r>
      <w:r>
        <w:rPr>
          <w:rFonts w:hint="default" w:ascii="Times New Roman" w:hAnsi="Times New Roman" w:eastAsia="仿宋_GB2312" w:cs="Times New Roman"/>
          <w:color w:val="auto"/>
          <w:kern w:val="0"/>
          <w:sz w:val="32"/>
          <w:szCs w:val="32"/>
          <w:lang w:bidi="ar"/>
        </w:rPr>
        <w:t>标准。县妇幼保健机构达到</w:t>
      </w:r>
      <w:r>
        <w:rPr>
          <w:rFonts w:hint="default" w:ascii="Times New Roman" w:hAnsi="Times New Roman" w:eastAsia="仿宋_GB2312" w:cs="Times New Roman"/>
          <w:color w:val="auto"/>
          <w:kern w:val="0"/>
          <w:sz w:val="32"/>
          <w:szCs w:val="32"/>
          <w:lang w:eastAsia="zh-CN" w:bidi="ar"/>
        </w:rPr>
        <w:t>二</w:t>
      </w:r>
      <w:r>
        <w:rPr>
          <w:rFonts w:hint="default" w:ascii="Times New Roman" w:hAnsi="Times New Roman" w:eastAsia="仿宋_GB2312" w:cs="Times New Roman"/>
          <w:color w:val="auto"/>
          <w:kern w:val="0"/>
          <w:sz w:val="32"/>
          <w:szCs w:val="32"/>
          <w:lang w:bidi="ar"/>
        </w:rPr>
        <w:t>级甲等标准。县</w:t>
      </w:r>
      <w:r>
        <w:rPr>
          <w:rFonts w:hint="default" w:ascii="Times New Roman" w:hAnsi="Times New Roman" w:eastAsia="仿宋_GB2312" w:cs="Times New Roman"/>
          <w:color w:val="auto"/>
          <w:kern w:val="0"/>
          <w:sz w:val="32"/>
          <w:szCs w:val="32"/>
          <w:lang w:eastAsia="zh-CN" w:bidi="ar"/>
        </w:rPr>
        <w:t>级公立</w:t>
      </w:r>
      <w:r>
        <w:rPr>
          <w:rFonts w:hint="default" w:ascii="Times New Roman" w:hAnsi="Times New Roman" w:eastAsia="仿宋_GB2312" w:cs="Times New Roman"/>
          <w:color w:val="auto"/>
          <w:kern w:val="0"/>
          <w:sz w:val="32"/>
          <w:szCs w:val="32"/>
          <w:lang w:bidi="ar"/>
        </w:rPr>
        <w:t>医院达到医疗服务能力</w:t>
      </w:r>
      <w:r>
        <w:rPr>
          <w:rFonts w:hint="default" w:ascii="Times New Roman" w:hAnsi="Times New Roman" w:eastAsia="仿宋_GB2312" w:cs="Times New Roman"/>
          <w:color w:val="auto"/>
          <w:kern w:val="0"/>
          <w:sz w:val="32"/>
          <w:szCs w:val="32"/>
          <w:lang w:eastAsia="zh-CN" w:bidi="ar"/>
        </w:rPr>
        <w:t>推荐</w:t>
      </w:r>
      <w:r>
        <w:rPr>
          <w:rFonts w:hint="default" w:ascii="Times New Roman" w:hAnsi="Times New Roman" w:eastAsia="仿宋_GB2312" w:cs="Times New Roman"/>
          <w:color w:val="auto"/>
          <w:kern w:val="0"/>
          <w:sz w:val="32"/>
          <w:szCs w:val="32"/>
          <w:lang w:bidi="ar"/>
        </w:rPr>
        <w:t>标准，基层医疗卫生服务能力进一步提升。</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中医</w:t>
      </w:r>
      <w:r>
        <w:rPr>
          <w:rFonts w:hint="default" w:ascii="Times New Roman" w:hAnsi="Times New Roman" w:eastAsia="仿宋_GB2312" w:cs="Times New Roman"/>
          <w:color w:val="auto"/>
          <w:kern w:val="0"/>
          <w:sz w:val="32"/>
          <w:szCs w:val="32"/>
          <w:lang w:eastAsia="zh-CN" w:bidi="ar"/>
        </w:rPr>
        <w:t>医院</w:t>
      </w:r>
      <w:r>
        <w:rPr>
          <w:rFonts w:hint="default" w:ascii="Times New Roman" w:hAnsi="Times New Roman" w:eastAsia="仿宋_GB2312" w:cs="Times New Roman"/>
          <w:color w:val="auto"/>
          <w:kern w:val="0"/>
          <w:sz w:val="32"/>
          <w:szCs w:val="32"/>
          <w:lang w:bidi="ar"/>
        </w:rPr>
        <w:t>服务能力不断提升，全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共建成省级中医重点专科</w:t>
      </w:r>
      <w:r>
        <w:rPr>
          <w:rFonts w:hint="default"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bidi="ar"/>
        </w:rPr>
        <w:t>个</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eastAsia="zh-CN" w:bidi="ar"/>
        </w:rPr>
        <w:t>市</w:t>
      </w:r>
      <w:r>
        <w:rPr>
          <w:rFonts w:hint="default" w:ascii="Times New Roman" w:hAnsi="Times New Roman" w:eastAsia="仿宋_GB2312" w:cs="Times New Roman"/>
          <w:color w:val="auto"/>
          <w:kern w:val="0"/>
          <w:sz w:val="32"/>
          <w:szCs w:val="32"/>
          <w:lang w:bidi="ar"/>
        </w:rPr>
        <w:t>级中医重点专科</w:t>
      </w:r>
      <w:r>
        <w:rPr>
          <w:rFonts w:hint="default"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bidi="ar"/>
        </w:rPr>
        <w:t>个，全国基层名老中医药专家传承工作室</w:t>
      </w:r>
      <w:r>
        <w:rPr>
          <w:rFonts w:hint="default"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bidi="ar"/>
        </w:rPr>
        <w:t>个。建立完善县乡村中医服务体系，</w:t>
      </w:r>
      <w:r>
        <w:rPr>
          <w:rFonts w:hint="default" w:ascii="Times New Roman" w:hAnsi="Times New Roman" w:eastAsia="仿宋_GB2312" w:cs="Times New Roman"/>
          <w:color w:val="auto"/>
          <w:kern w:val="0"/>
          <w:sz w:val="32"/>
          <w:szCs w:val="32"/>
          <w:lang w:val="en-US" w:eastAsia="zh-CN" w:bidi="ar"/>
        </w:rPr>
        <w:t>100</w:t>
      </w:r>
      <w:r>
        <w:rPr>
          <w:rFonts w:hint="default" w:ascii="Times New Roman" w:hAnsi="Times New Roman" w:eastAsia="仿宋_GB2312" w:cs="Times New Roman"/>
          <w:color w:val="auto"/>
          <w:kern w:val="0"/>
          <w:sz w:val="32"/>
          <w:szCs w:val="32"/>
          <w:lang w:bidi="ar"/>
        </w:rPr>
        <w:t>%的乡镇卫生院设置中医科，</w:t>
      </w:r>
      <w:r>
        <w:rPr>
          <w:rFonts w:hint="default" w:ascii="Times New Roman" w:hAnsi="Times New Roman" w:eastAsia="仿宋_GB2312" w:cs="Times New Roman"/>
          <w:color w:val="auto"/>
          <w:kern w:val="0"/>
          <w:sz w:val="32"/>
          <w:szCs w:val="32"/>
          <w:lang w:val="en-US" w:eastAsia="zh-CN" w:bidi="ar"/>
        </w:rPr>
        <w:t>60</w:t>
      </w:r>
      <w:r>
        <w:rPr>
          <w:rFonts w:hint="default" w:ascii="Times New Roman" w:hAnsi="Times New Roman" w:eastAsia="仿宋_GB2312" w:cs="Times New Roman"/>
          <w:color w:val="auto"/>
          <w:kern w:val="0"/>
          <w:sz w:val="32"/>
          <w:szCs w:val="32"/>
          <w:lang w:bidi="ar"/>
        </w:rPr>
        <w:t>%的村卫生室能够提供中医药服务。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二、问题与挑战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目前，艾滋病、结核病等传染病和心脑血管疾病、癌症等慢性非传染性疾病防控形势依然严峻，精神疾病和心理健康、职业健康等问题日益凸显，地震、洪涝、泥石流等自然灾害频发。同时，随着城乡居民生活水平的提高，群众健康服务需求呈现多层次、多样化特点，对服务质量和品质要求逐步提高。与经济社会高质量发展和人民群众日益增长的健康需求相比，我</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卫生健康事业发展不足、发展水平不高、发展不平衡的问题依然存在，医疗卫生服务供给总体不强不优，公共卫生体系短板突出、优质医疗资源缺乏、基层医疗卫生机构服务能力薄弱、“一老一小”服务有效供给不足等问题仍然存在，医疗卫生服务体系有待健全。</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1"/>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color w:val="auto"/>
          <w:kern w:val="0"/>
          <w:sz w:val="32"/>
          <w:szCs w:val="32"/>
          <w:lang w:bidi="ar"/>
        </w:rPr>
      </w:pPr>
      <w:bookmarkStart w:id="56" w:name="_Toc28244_WPSOffice_Level2"/>
      <w:r>
        <w:rPr>
          <w:rFonts w:hint="default" w:ascii="Times New Roman" w:hAnsi="Times New Roman" w:eastAsia="楷体_GB2312" w:cs="Times New Roman"/>
          <w:color w:val="auto"/>
          <w:kern w:val="0"/>
          <w:sz w:val="32"/>
          <w:szCs w:val="32"/>
          <w:lang w:bidi="ar"/>
        </w:rPr>
        <w:t>第二节 总体要求</w:t>
      </w:r>
      <w:bookmarkEnd w:id="56"/>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一、指导思想</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以习近平新时代中国特色社会主义思想为指导，全面贯彻落实党的二十大精神和新时期卫生健康工作方针，坚持以人民健康为中心，坚持稳中求进工作总基调，牢固树立大卫生、大健康理念，立足新发展阶段、融入新发展格局，紧紧围绕</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委、</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政府“</w:t>
      </w:r>
      <w:r>
        <w:rPr>
          <w:rFonts w:hint="default" w:ascii="Times New Roman" w:hAnsi="Times New Roman" w:eastAsia="仿宋_GB2312" w:cs="Times New Roman"/>
          <w:color w:val="auto"/>
          <w:kern w:val="0"/>
          <w:sz w:val="32"/>
          <w:szCs w:val="32"/>
          <w:lang w:val="en-US" w:eastAsia="zh-CN" w:bidi="ar"/>
        </w:rPr>
        <w:t>123</w:t>
      </w:r>
      <w:r>
        <w:rPr>
          <w:rFonts w:hint="default" w:ascii="Times New Roman" w:hAnsi="Times New Roman" w:eastAsia="仿宋_GB2312" w:cs="Times New Roman"/>
          <w:color w:val="auto"/>
          <w:kern w:val="0"/>
          <w:sz w:val="32"/>
          <w:szCs w:val="32"/>
          <w:lang w:bidi="ar"/>
        </w:rPr>
        <w:t>”工作思路，以推动卫生健康事业高质量发展为主题，以深化卫生健康供给侧结构性改革和科技创新为动力，以卫生健康项目建设和壮大人才队伍为支撑，更加注重预防为主和风险防范，更加注重提高质量和均衡发展，更加注重资源下沉和系统协作，深入推进健康</w:t>
      </w:r>
      <w:r>
        <w:rPr>
          <w:rFonts w:hint="default" w:ascii="Times New Roman" w:hAnsi="Times New Roman" w:eastAsia="仿宋_GB2312" w:cs="Times New Roman"/>
          <w:color w:val="auto"/>
          <w:kern w:val="0"/>
          <w:sz w:val="32"/>
          <w:szCs w:val="32"/>
          <w:lang w:eastAsia="zh-CN" w:bidi="ar"/>
        </w:rPr>
        <w:t>夹江</w:t>
      </w:r>
      <w:r>
        <w:rPr>
          <w:rFonts w:hint="default" w:ascii="Times New Roman" w:hAnsi="Times New Roman" w:eastAsia="仿宋_GB2312" w:cs="Times New Roman"/>
          <w:color w:val="auto"/>
          <w:kern w:val="0"/>
          <w:sz w:val="32"/>
          <w:szCs w:val="32"/>
          <w:lang w:bidi="ar"/>
        </w:rPr>
        <w:t>建设，全力提升医疗卫生能力水平，为全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人民提供全方位全周期健康服务，全力提升人民群众看病就医获得感、幸福感，为奋力推进全面建设社会主义现代化国家的</w:t>
      </w:r>
      <w:r>
        <w:rPr>
          <w:rFonts w:hint="default" w:ascii="Times New Roman" w:hAnsi="Times New Roman" w:eastAsia="仿宋_GB2312" w:cs="Times New Roman"/>
          <w:color w:val="auto"/>
          <w:kern w:val="0"/>
          <w:sz w:val="32"/>
          <w:szCs w:val="32"/>
          <w:lang w:eastAsia="zh-CN" w:bidi="ar"/>
        </w:rPr>
        <w:t>夹江</w:t>
      </w:r>
      <w:r>
        <w:rPr>
          <w:rFonts w:hint="default" w:ascii="Times New Roman" w:hAnsi="Times New Roman" w:eastAsia="仿宋_GB2312" w:cs="Times New Roman"/>
          <w:color w:val="auto"/>
          <w:kern w:val="0"/>
          <w:sz w:val="32"/>
          <w:szCs w:val="32"/>
          <w:lang w:bidi="ar"/>
        </w:rPr>
        <w:t>实践贡献卫生健康力量。</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二、基本原则</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坚持政府主导，统筹发展。坚持基本医疗卫生事业的公益性，坚持政府主导，强化政府对卫生健康的领导责任、投入保障责任、管理责任、监督责任。统筹各级各类医疗卫生机构，统筹预防、治疗、康复、健康促进等服务，强化全行业与属地管理，提升服务体系整体效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坚持需求导向，优质提能。适应人民美好生活需要，以人民群众健康需求为导向，优化医疗卫生资源配置，增加优质医疗卫生资源供给，加强医疗卫生机构能力建设，推动公立医院高质量发展，全面提高供给质量和服务水平。</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坚持均衡布局，中西并重。加快优质资源均衡配置，缩小城乡、区域、人群间资源配置和服务水平差距，提升医疗卫生服务公平性和可及性。坚持中西医并重，推动中医药和西医药相互补充、协调发展。持续改善基层医疗卫生服务条件，加强人才队伍建设，加强重大慢性病健康管理，提高基层防病治病和健康管理能力。</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坚持预防为主，平急结合。强化预防为主，防治结合，促进卫健健康发展以治病为中心向以人民健康为中心转变，加大公共卫生资源配置和投入力度，创新医防协同、医防融合机制，强化重大疾病早期防控。立足平时需求，充分考虑重大疫情和突发事件应对需要，完善设施设备标准，提高应急处置和快速转化能力。</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坚持改革创新，联动发展。以改革创新激发卫生健康发展活力，深化医疗、医保、医药联动改革，更加注重改革的系统性、整体性、协同性，构建新发展格局能力和水平，全力推进卫生健康领域理论创新、制度创新、管理创新、技术创新，增强卫生健康治理体系整体效能。加强医疗卫生资源配置与医疗服务价格、医保支付、人事薪酬等政策协同，立足市情、因地制宜，加强人才引进，充分发挥人才、科技、信息等支撑作用，推动医疗卫生服务体系高质量发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三、发展目标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到2025年，全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健康服务能力显著提升，卫生健康事业高质量发展，基本建成与经济社会发展水平相适应、与居民健康需求相匹配的布局合理、功能互补、密切协作的优质高效型医疗卫生服务体系。力争实现以下具体目标：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公共卫生体系更加强大。疾病预防控制体系更加完善，疾病预防控制能力显著提高，医防协同机制更加健全。以大数据等信息技术为支撑的监测预警和应急处置体系全面建立，应急响应和快速处置能力大幅提升。疫情处置和公共卫生救治体系更加完善，突发事件紧急医学救援体系持续强化，艾滋病、结核病等一批重大疾病危害得到控制，重大慢性病发病率上升趋势得到遏制，严重精神障碍、职业病有效防治。建成能够有效应对重大疫情和突发公共卫生事件、满足公共安全需要的强大公共卫生体系。</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——医疗服务体系更加均衡。推进公立医院提标创等，</w:t>
      </w:r>
      <w:r>
        <w:rPr>
          <w:rFonts w:hint="default" w:ascii="Times New Roman" w:hAnsi="Times New Roman" w:eastAsia="仿宋_GB2312" w:cs="Times New Roman"/>
          <w:color w:val="auto"/>
          <w:kern w:val="0"/>
          <w:sz w:val="32"/>
          <w:szCs w:val="32"/>
          <w:lang w:eastAsia="zh-CN" w:bidi="ar"/>
        </w:rPr>
        <w:t>争创</w:t>
      </w:r>
      <w:r>
        <w:rPr>
          <w:rFonts w:hint="default" w:ascii="Times New Roman" w:hAnsi="Times New Roman" w:eastAsia="仿宋_GB2312" w:cs="Times New Roman"/>
          <w:color w:val="auto"/>
          <w:kern w:val="0"/>
          <w:sz w:val="32"/>
          <w:szCs w:val="32"/>
          <w:lang w:bidi="ar"/>
        </w:rPr>
        <w:t>三级</w:t>
      </w:r>
      <w:r>
        <w:rPr>
          <w:rFonts w:hint="default" w:ascii="Times New Roman" w:hAnsi="Times New Roman" w:eastAsia="仿宋_GB2312" w:cs="Times New Roman"/>
          <w:color w:val="auto"/>
          <w:kern w:val="0"/>
          <w:sz w:val="32"/>
          <w:szCs w:val="32"/>
          <w:lang w:eastAsia="zh-CN" w:bidi="ar"/>
        </w:rPr>
        <w:t>甲等</w:t>
      </w:r>
      <w:r>
        <w:rPr>
          <w:rFonts w:hint="default" w:ascii="Times New Roman" w:hAnsi="Times New Roman" w:eastAsia="仿宋_GB2312" w:cs="Times New Roman"/>
          <w:color w:val="auto"/>
          <w:kern w:val="0"/>
          <w:sz w:val="32"/>
          <w:szCs w:val="32"/>
          <w:lang w:bidi="ar"/>
        </w:rPr>
        <w:t>综合医院</w:t>
      </w:r>
      <w:r>
        <w:rPr>
          <w:rFonts w:hint="default"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bidi="ar"/>
        </w:rPr>
        <w:t>个，优质资源供给显著增加，</w:t>
      </w:r>
      <w:r>
        <w:rPr>
          <w:rFonts w:hint="default" w:ascii="Times New Roman" w:hAnsi="Times New Roman" w:eastAsia="仿宋_GB2312" w:cs="Times New Roman"/>
          <w:color w:val="auto"/>
          <w:kern w:val="0"/>
          <w:sz w:val="32"/>
          <w:szCs w:val="32"/>
          <w:lang w:eastAsia="zh-CN" w:bidi="ar"/>
        </w:rPr>
        <w:t>县域医共体</w:t>
      </w:r>
      <w:r>
        <w:rPr>
          <w:rFonts w:hint="default" w:ascii="Times New Roman" w:hAnsi="Times New Roman" w:eastAsia="仿宋_GB2312" w:cs="Times New Roman"/>
          <w:color w:val="auto"/>
          <w:kern w:val="0"/>
          <w:sz w:val="32"/>
          <w:szCs w:val="32"/>
          <w:lang w:bidi="ar"/>
        </w:rPr>
        <w:t>建设取得进展，建设</w:t>
      </w:r>
      <w:r>
        <w:rPr>
          <w:rFonts w:hint="default" w:ascii="Times New Roman" w:hAnsi="Times New Roman" w:eastAsia="仿宋_GB2312" w:cs="Times New Roman"/>
          <w:color w:val="auto"/>
          <w:kern w:val="0"/>
          <w:sz w:val="32"/>
          <w:szCs w:val="32"/>
          <w:lang w:val="en-US" w:eastAsia="zh-CN" w:bidi="ar"/>
        </w:rPr>
        <w:t>2个</w:t>
      </w:r>
      <w:r>
        <w:rPr>
          <w:rFonts w:hint="default" w:ascii="Times New Roman" w:hAnsi="Times New Roman" w:eastAsia="仿宋_GB2312" w:cs="Times New Roman"/>
          <w:color w:val="auto"/>
          <w:kern w:val="0"/>
          <w:sz w:val="32"/>
          <w:szCs w:val="32"/>
          <w:lang w:bidi="ar"/>
        </w:rPr>
        <w:t>县域医疗次中心，提升县域医疗服务能力，县域就诊率进一步提升，完善乡村医疗卫生服务体系，补齐社区卫生服务短板，开拓卫生健康体系新布局。</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——中医药服务体系更加健全。加快优质中医医疗资源扩容，推进中医药传承创新</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中医医院特色发展，中医药特色优势明显提升，融预防保健、疾病治疗和康复于一体的基层中医药服务网络更加健全，其他医疗机构中医药科室逐步完善。</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健康服务体系更加完善。妇幼健康服务体系持续完善，普惠托育服务供给不断扩大，综合连续覆盖城乡的老年健康服务体系建立健全，职业健康、心理和精神卫生、健康教育、康复医疗全方位全周期健康保障体系更加健全。</w:t>
      </w:r>
    </w:p>
    <w:p>
      <w:pPr>
        <w:widowControl/>
        <w:adjustRightInd w:val="0"/>
        <w:snapToGrid w:val="0"/>
        <w:spacing w:line="600" w:lineRule="exact"/>
        <w:jc w:val="center"/>
        <w:rPr>
          <w:rFonts w:hint="default" w:ascii="Times New Roman" w:hAnsi="Times New Roman" w:eastAsia="仿宋_GB2312" w:cs="Times New Roman"/>
          <w:color w:val="auto"/>
          <w:kern w:val="0"/>
          <w:sz w:val="28"/>
          <w:szCs w:val="28"/>
          <w:lang w:bidi="ar"/>
        </w:rPr>
      </w:pPr>
    </w:p>
    <w:p>
      <w:pPr>
        <w:widowControl/>
        <w:adjustRightInd w:val="0"/>
        <w:snapToGrid w:val="0"/>
        <w:spacing w:line="600" w:lineRule="exact"/>
        <w:jc w:val="center"/>
        <w:rPr>
          <w:rFonts w:hint="default" w:ascii="Times New Roman" w:hAnsi="Times New Roman" w:eastAsia="仿宋_GB2312" w:cs="Times New Roman"/>
          <w:color w:val="auto"/>
          <w:kern w:val="0"/>
          <w:sz w:val="28"/>
          <w:szCs w:val="28"/>
          <w:lang w:bidi="ar"/>
        </w:rPr>
      </w:pPr>
      <w:bookmarkStart w:id="57" w:name="_Toc6715_WPSOffice_Level2"/>
      <w:r>
        <w:rPr>
          <w:rFonts w:hint="default" w:ascii="Times New Roman" w:hAnsi="Times New Roman" w:eastAsia="仿宋_GB2312" w:cs="Times New Roman"/>
          <w:color w:val="auto"/>
          <w:kern w:val="0"/>
          <w:sz w:val="28"/>
          <w:szCs w:val="28"/>
          <w:lang w:bidi="ar"/>
        </w:rPr>
        <w:t>表1 主要发展指标</w:t>
      </w:r>
      <w:bookmarkEnd w:id="57"/>
    </w:p>
    <w:tbl>
      <w:tblPr>
        <w:tblStyle w:val="27"/>
        <w:tblpPr w:leftFromText="180" w:rightFromText="180" w:vertAnchor="text" w:horzAnchor="margin" w:tblpY="53"/>
        <w:tblOverlap w:val="never"/>
        <w:tblW w:w="8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8"/>
        <w:gridCol w:w="628"/>
        <w:gridCol w:w="2852"/>
        <w:gridCol w:w="1425"/>
        <w:gridCol w:w="1337"/>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928" w:type="dxa"/>
            <w:vAlign w:val="center"/>
          </w:tcPr>
          <w:p>
            <w:pPr>
              <w:widowControl/>
              <w:adjustRightInd w:val="0"/>
              <w:snapToGrid w:val="0"/>
              <w:jc w:val="center"/>
              <w:rPr>
                <w:rFonts w:hint="default" w:ascii="Times New Roman" w:hAnsi="Times New Roman" w:eastAsia="仿宋_GB2312" w:cs="Times New Roman"/>
                <w:b/>
                <w:bCs/>
                <w:color w:val="auto"/>
                <w:kern w:val="0"/>
                <w:sz w:val="24"/>
                <w:lang w:bidi="ar"/>
              </w:rPr>
            </w:pPr>
            <w:r>
              <w:rPr>
                <w:rFonts w:hint="default" w:ascii="Times New Roman" w:hAnsi="Times New Roman" w:eastAsia="仿宋_GB2312" w:cs="Times New Roman"/>
                <w:b/>
                <w:bCs/>
                <w:color w:val="auto"/>
                <w:kern w:val="0"/>
                <w:sz w:val="24"/>
                <w:lang w:bidi="ar"/>
              </w:rPr>
              <w:t>类别</w:t>
            </w:r>
          </w:p>
        </w:tc>
        <w:tc>
          <w:tcPr>
            <w:tcW w:w="628" w:type="dxa"/>
            <w:vAlign w:val="center"/>
          </w:tcPr>
          <w:p>
            <w:pPr>
              <w:widowControl/>
              <w:adjustRightInd w:val="0"/>
              <w:snapToGrid w:val="0"/>
              <w:jc w:val="center"/>
              <w:rPr>
                <w:rFonts w:hint="default" w:ascii="Times New Roman" w:hAnsi="Times New Roman" w:eastAsia="仿宋_GB2312" w:cs="Times New Roman"/>
                <w:b/>
                <w:bCs/>
                <w:color w:val="auto"/>
                <w:kern w:val="0"/>
                <w:sz w:val="24"/>
                <w:lang w:bidi="ar"/>
              </w:rPr>
            </w:pPr>
            <w:r>
              <w:rPr>
                <w:rFonts w:hint="default" w:ascii="Times New Roman" w:hAnsi="Times New Roman" w:eastAsia="仿宋_GB2312" w:cs="Times New Roman"/>
                <w:b/>
                <w:bCs/>
                <w:color w:val="auto"/>
                <w:kern w:val="0"/>
                <w:sz w:val="24"/>
                <w:lang w:bidi="ar"/>
              </w:rPr>
              <w:t>序号</w:t>
            </w:r>
          </w:p>
        </w:tc>
        <w:tc>
          <w:tcPr>
            <w:tcW w:w="2852" w:type="dxa"/>
            <w:vAlign w:val="center"/>
          </w:tcPr>
          <w:p>
            <w:pPr>
              <w:widowControl/>
              <w:adjustRightInd w:val="0"/>
              <w:snapToGrid w:val="0"/>
              <w:jc w:val="center"/>
              <w:rPr>
                <w:rFonts w:hint="default" w:ascii="Times New Roman" w:hAnsi="Times New Roman" w:eastAsia="仿宋_GB2312" w:cs="Times New Roman"/>
                <w:b/>
                <w:bCs/>
                <w:color w:val="auto"/>
                <w:kern w:val="0"/>
                <w:sz w:val="24"/>
                <w:lang w:bidi="ar"/>
              </w:rPr>
            </w:pPr>
            <w:r>
              <w:rPr>
                <w:rFonts w:hint="default" w:ascii="Times New Roman" w:hAnsi="Times New Roman" w:eastAsia="仿宋_GB2312" w:cs="Times New Roman"/>
                <w:b/>
                <w:bCs/>
                <w:color w:val="auto"/>
                <w:kern w:val="0"/>
                <w:sz w:val="24"/>
                <w:lang w:bidi="ar"/>
              </w:rPr>
              <w:t>主要指标</w:t>
            </w:r>
          </w:p>
        </w:tc>
        <w:tc>
          <w:tcPr>
            <w:tcW w:w="1425" w:type="dxa"/>
            <w:vAlign w:val="center"/>
          </w:tcPr>
          <w:p>
            <w:pPr>
              <w:widowControl/>
              <w:adjustRightInd w:val="0"/>
              <w:snapToGrid w:val="0"/>
              <w:jc w:val="center"/>
              <w:rPr>
                <w:rFonts w:hint="default" w:ascii="Times New Roman" w:hAnsi="Times New Roman" w:eastAsia="仿宋_GB2312" w:cs="Times New Roman"/>
                <w:b/>
                <w:bCs/>
                <w:color w:val="auto"/>
                <w:kern w:val="0"/>
                <w:sz w:val="24"/>
                <w:lang w:bidi="ar"/>
              </w:rPr>
            </w:pPr>
            <w:r>
              <w:rPr>
                <w:rFonts w:hint="default" w:ascii="Times New Roman" w:hAnsi="Times New Roman" w:eastAsia="仿宋_GB2312" w:cs="Times New Roman"/>
                <w:b/>
                <w:bCs/>
                <w:color w:val="auto"/>
                <w:kern w:val="0"/>
                <w:sz w:val="24"/>
                <w:lang w:bidi="ar"/>
              </w:rPr>
              <w:t>2020年现状</w:t>
            </w:r>
          </w:p>
        </w:tc>
        <w:tc>
          <w:tcPr>
            <w:tcW w:w="1337" w:type="dxa"/>
            <w:vAlign w:val="center"/>
          </w:tcPr>
          <w:p>
            <w:pPr>
              <w:widowControl/>
              <w:adjustRightInd w:val="0"/>
              <w:snapToGrid w:val="0"/>
              <w:jc w:val="center"/>
              <w:rPr>
                <w:rFonts w:hint="default" w:ascii="Times New Roman" w:hAnsi="Times New Roman" w:eastAsia="仿宋_GB2312" w:cs="Times New Roman"/>
                <w:b/>
                <w:bCs/>
                <w:color w:val="auto"/>
                <w:kern w:val="0"/>
                <w:sz w:val="24"/>
                <w:lang w:bidi="ar"/>
              </w:rPr>
            </w:pPr>
            <w:r>
              <w:rPr>
                <w:rFonts w:hint="default" w:ascii="Times New Roman" w:hAnsi="Times New Roman" w:eastAsia="仿宋_GB2312" w:cs="Times New Roman"/>
                <w:b/>
                <w:bCs/>
                <w:color w:val="auto"/>
                <w:kern w:val="0"/>
                <w:sz w:val="24"/>
                <w:lang w:bidi="ar"/>
              </w:rPr>
              <w:t>2025年目标</w:t>
            </w:r>
          </w:p>
        </w:tc>
        <w:tc>
          <w:tcPr>
            <w:tcW w:w="1318" w:type="dxa"/>
            <w:vAlign w:val="center"/>
          </w:tcPr>
          <w:p>
            <w:pPr>
              <w:widowControl/>
              <w:adjustRightInd w:val="0"/>
              <w:snapToGrid w:val="0"/>
              <w:jc w:val="center"/>
              <w:rPr>
                <w:rFonts w:hint="default" w:ascii="Times New Roman" w:hAnsi="Times New Roman" w:eastAsia="仿宋_GB2312" w:cs="Times New Roman"/>
                <w:b/>
                <w:bCs/>
                <w:color w:val="auto"/>
                <w:kern w:val="0"/>
                <w:sz w:val="24"/>
                <w:lang w:bidi="ar"/>
              </w:rPr>
            </w:pPr>
            <w:r>
              <w:rPr>
                <w:rFonts w:hint="default" w:ascii="Times New Roman" w:hAnsi="Times New Roman" w:eastAsia="仿宋_GB2312" w:cs="Times New Roman"/>
                <w:b/>
                <w:bCs/>
                <w:color w:val="auto"/>
                <w:kern w:val="0"/>
                <w:sz w:val="24"/>
                <w:lang w:bidi="ar"/>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28" w:type="dxa"/>
            <w:vMerge w:val="restart"/>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疾病预防控制体系</w:t>
            </w: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专业公共卫生机构人员数(万人)</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val="en-US" w:eastAsia="zh-CN" w:bidi="ar"/>
              </w:rPr>
              <w:t>0.42</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0.</w:t>
            </w:r>
            <w:r>
              <w:rPr>
                <w:rFonts w:hint="default" w:ascii="Times New Roman" w:hAnsi="Times New Roman" w:eastAsia="仿宋_GB2312" w:cs="Times New Roman"/>
                <w:color w:val="auto"/>
                <w:kern w:val="0"/>
                <w:sz w:val="24"/>
                <w:lang w:val="en-US" w:eastAsia="zh-CN" w:bidi="ar"/>
              </w:rPr>
              <w:t>55</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2</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疾病预防控制机构标准化基础设施</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全覆盖</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928" w:type="dxa"/>
            <w:vMerge w:val="restart"/>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应急医疗救治体系</w:t>
            </w: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3</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二级以上综合医院（含中医医院,下同)设置感染性疾病科的比例(％)</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100</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4</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乡镇卫生院和社区卫生服务中心设置发热诊室(门诊、哨点)比例(％)</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100</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rPr>
        <w:tc>
          <w:tcPr>
            <w:tcW w:w="928" w:type="dxa"/>
            <w:vMerge w:val="restart"/>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床位和人力配置</w:t>
            </w:r>
          </w:p>
        </w:tc>
        <w:tc>
          <w:tcPr>
            <w:tcW w:w="628" w:type="dxa"/>
            <w:vMerge w:val="restart"/>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p>
            <w:pPr>
              <w:widowControl/>
              <w:adjustRightInd w:val="0"/>
              <w:snapToGrid w:val="0"/>
              <w:jc w:val="center"/>
              <w:rPr>
                <w:rFonts w:hint="default" w:ascii="Times New Roman" w:hAnsi="Times New Roman" w:eastAsia="仿宋_GB2312" w:cs="Times New Roman"/>
                <w:color w:val="auto"/>
                <w:kern w:val="0"/>
                <w:sz w:val="24"/>
                <w:lang w:bidi="ar"/>
              </w:rPr>
            </w:pPr>
          </w:p>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5</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每千人口医疗卫生机构床位数(张)</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val="en-US" w:eastAsia="zh-CN" w:bidi="ar"/>
              </w:rPr>
              <w:t>7.5</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7.8-8左右</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公立医院及基层医疗卫生机构</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val="en-US" w:eastAsia="zh-CN" w:bidi="ar"/>
              </w:rPr>
              <w:t>5</w:t>
            </w:r>
            <w:r>
              <w:rPr>
                <w:rFonts w:hint="default" w:ascii="Times New Roman" w:hAnsi="Times New Roman" w:eastAsia="仿宋_GB2312" w:cs="Times New Roman"/>
                <w:color w:val="auto"/>
                <w:kern w:val="0"/>
                <w:sz w:val="24"/>
                <w:lang w:bidi="ar"/>
              </w:rPr>
              <w:t>.</w:t>
            </w:r>
            <w:r>
              <w:rPr>
                <w:rFonts w:hint="default" w:ascii="Times New Roman" w:hAnsi="Times New Roman" w:eastAsia="仿宋_GB2312" w:cs="Times New Roman"/>
                <w:color w:val="auto"/>
                <w:kern w:val="0"/>
                <w:sz w:val="24"/>
                <w:lang w:val="en-US" w:eastAsia="zh-CN" w:bidi="ar"/>
              </w:rPr>
              <w:t>94</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val="en-US" w:eastAsia="zh-CN" w:bidi="ar"/>
              </w:rPr>
              <w:t>6</w:t>
            </w:r>
            <w:r>
              <w:rPr>
                <w:rFonts w:hint="default" w:ascii="Times New Roman" w:hAnsi="Times New Roman" w:eastAsia="仿宋_GB2312" w:cs="Times New Roman"/>
                <w:color w:val="auto"/>
                <w:kern w:val="0"/>
                <w:sz w:val="24"/>
                <w:lang w:bidi="ar"/>
              </w:rPr>
              <w:t>.</w:t>
            </w:r>
            <w:r>
              <w:rPr>
                <w:rFonts w:hint="default" w:ascii="Times New Roman" w:hAnsi="Times New Roman" w:eastAsia="仿宋_GB2312" w:cs="Times New Roman"/>
                <w:color w:val="auto"/>
                <w:kern w:val="0"/>
                <w:sz w:val="24"/>
                <w:lang w:val="en-US" w:eastAsia="zh-CN" w:bidi="ar"/>
              </w:rPr>
              <w:t>5</w:t>
            </w:r>
            <w:r>
              <w:rPr>
                <w:rFonts w:hint="default" w:ascii="Times New Roman" w:hAnsi="Times New Roman" w:eastAsia="仿宋_GB2312" w:cs="Times New Roman"/>
                <w:color w:val="auto"/>
                <w:kern w:val="0"/>
                <w:sz w:val="24"/>
                <w:lang w:bidi="ar"/>
              </w:rPr>
              <w:t>左右</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6</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每千人口公立中医医院床位数(张)</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bidi="ar"/>
              </w:rPr>
              <w:t>0.</w:t>
            </w:r>
            <w:r>
              <w:rPr>
                <w:rFonts w:hint="default" w:ascii="Times New Roman" w:hAnsi="Times New Roman" w:eastAsia="仿宋_GB2312" w:cs="Times New Roman"/>
                <w:color w:val="auto"/>
                <w:kern w:val="0"/>
                <w:sz w:val="24"/>
                <w:lang w:val="en-US" w:eastAsia="zh-CN" w:bidi="ar"/>
              </w:rPr>
              <w:t>85</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0.98</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7</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每千人口执业(助理)医师数(人)</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eastAsia="zh-CN" w:bidi="ar"/>
              </w:rPr>
            </w:pPr>
            <w:r>
              <w:rPr>
                <w:rFonts w:hint="default" w:ascii="Times New Roman" w:hAnsi="Times New Roman" w:eastAsia="仿宋_GB2312" w:cs="Times New Roman"/>
                <w:color w:val="auto"/>
                <w:kern w:val="0"/>
                <w:sz w:val="24"/>
                <w:lang w:bidi="ar"/>
              </w:rPr>
              <w:t>2.</w:t>
            </w:r>
            <w:r>
              <w:rPr>
                <w:rFonts w:hint="default" w:ascii="Times New Roman" w:hAnsi="Times New Roman" w:eastAsia="仿宋_GB2312" w:cs="Times New Roman"/>
                <w:color w:val="auto"/>
                <w:kern w:val="0"/>
                <w:sz w:val="24"/>
                <w:lang w:val="en-US" w:eastAsia="zh-CN" w:bidi="ar"/>
              </w:rPr>
              <w:t>7</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3.2</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8</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每千人口注册护士数(人)</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eastAsia="zh-CN" w:bidi="ar"/>
              </w:rPr>
            </w:pPr>
            <w:r>
              <w:rPr>
                <w:rFonts w:hint="default" w:ascii="Times New Roman" w:hAnsi="Times New Roman" w:eastAsia="仿宋_GB2312" w:cs="Times New Roman"/>
                <w:color w:val="auto"/>
                <w:kern w:val="0"/>
                <w:sz w:val="24"/>
                <w:lang w:bidi="ar"/>
              </w:rPr>
              <w:t>3.</w:t>
            </w:r>
            <w:r>
              <w:rPr>
                <w:rFonts w:hint="default" w:ascii="Times New Roman" w:hAnsi="Times New Roman" w:eastAsia="仿宋_GB2312" w:cs="Times New Roman"/>
                <w:color w:val="auto"/>
                <w:kern w:val="0"/>
                <w:sz w:val="24"/>
                <w:lang w:val="en-US" w:eastAsia="zh-CN" w:bidi="ar"/>
              </w:rPr>
              <w:t>5</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eastAsia="zh-CN" w:bidi="ar"/>
              </w:rPr>
            </w:pPr>
            <w:r>
              <w:rPr>
                <w:rFonts w:hint="default" w:ascii="Times New Roman" w:hAnsi="Times New Roman" w:eastAsia="仿宋_GB2312" w:cs="Times New Roman"/>
                <w:color w:val="auto"/>
                <w:kern w:val="0"/>
                <w:sz w:val="24"/>
                <w:lang w:val="en-US" w:eastAsia="zh-CN" w:bidi="ar"/>
              </w:rPr>
              <w:t>4</w:t>
            </w:r>
            <w:r>
              <w:rPr>
                <w:rFonts w:hint="default" w:ascii="Times New Roman" w:hAnsi="Times New Roman" w:eastAsia="仿宋_GB2312" w:cs="Times New Roman"/>
                <w:color w:val="auto"/>
                <w:kern w:val="0"/>
                <w:sz w:val="24"/>
                <w:lang w:bidi="ar"/>
              </w:rPr>
              <w:t>.</w:t>
            </w:r>
            <w:r>
              <w:rPr>
                <w:rFonts w:hint="default" w:ascii="Times New Roman" w:hAnsi="Times New Roman" w:eastAsia="仿宋_GB2312" w:cs="Times New Roman"/>
                <w:color w:val="auto"/>
                <w:kern w:val="0"/>
                <w:sz w:val="24"/>
                <w:lang w:val="en-US" w:eastAsia="zh-CN" w:bidi="ar"/>
              </w:rPr>
              <w:t>5</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9</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每千人口药师(士)数(人)</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eastAsia="zh-CN" w:bidi="ar"/>
              </w:rPr>
            </w:pPr>
            <w:r>
              <w:rPr>
                <w:rFonts w:hint="default" w:ascii="Times New Roman" w:hAnsi="Times New Roman" w:eastAsia="仿宋_GB2312" w:cs="Times New Roman"/>
                <w:color w:val="auto"/>
                <w:kern w:val="0"/>
                <w:sz w:val="24"/>
                <w:lang w:bidi="ar"/>
              </w:rPr>
              <w:t>0.3</w:t>
            </w:r>
            <w:r>
              <w:rPr>
                <w:rFonts w:hint="default" w:ascii="Times New Roman" w:hAnsi="Times New Roman" w:eastAsia="仿宋_GB2312" w:cs="Times New Roman"/>
                <w:color w:val="auto"/>
                <w:kern w:val="0"/>
                <w:sz w:val="24"/>
                <w:lang w:val="en-US" w:eastAsia="zh-CN" w:bidi="ar"/>
              </w:rPr>
              <w:t>4</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0.54</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10</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每万人口全科医生数(人)</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2.5</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3.93</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11</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医护比</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bidi="ar"/>
              </w:rPr>
              <w:t>1:1.</w:t>
            </w:r>
            <w:r>
              <w:rPr>
                <w:rFonts w:hint="default" w:ascii="Times New Roman" w:hAnsi="Times New Roman" w:eastAsia="仿宋_GB2312" w:cs="Times New Roman"/>
                <w:color w:val="auto"/>
                <w:kern w:val="0"/>
                <w:sz w:val="24"/>
                <w:lang w:val="en-US" w:eastAsia="zh-CN" w:bidi="ar"/>
              </w:rPr>
              <w:t>38</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bidi="ar"/>
              </w:rPr>
              <w:t>1:1.</w:t>
            </w:r>
            <w:r>
              <w:rPr>
                <w:rFonts w:hint="default" w:ascii="Times New Roman" w:hAnsi="Times New Roman" w:eastAsia="仿宋_GB2312" w:cs="Times New Roman"/>
                <w:color w:val="auto"/>
                <w:kern w:val="0"/>
                <w:sz w:val="24"/>
                <w:lang w:val="en-US" w:eastAsia="zh-CN" w:bidi="ar"/>
              </w:rPr>
              <w:t>45</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12</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床人(卫生人员)比</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bidi="ar"/>
              </w:rPr>
              <w:t>1:1.</w:t>
            </w:r>
            <w:r>
              <w:rPr>
                <w:rFonts w:hint="default" w:ascii="Times New Roman" w:hAnsi="Times New Roman" w:eastAsia="仿宋_GB2312" w:cs="Times New Roman"/>
                <w:color w:val="auto"/>
                <w:kern w:val="0"/>
                <w:sz w:val="24"/>
                <w:lang w:val="en-US" w:eastAsia="zh-CN" w:bidi="ar"/>
              </w:rPr>
              <w:t>12</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1:1.62</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28" w:type="dxa"/>
            <w:vMerge w:val="restart"/>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中医药服务体系</w:t>
            </w: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13</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每千人口中医类别执业(助理)医师数(人)</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bidi="ar"/>
              </w:rPr>
              <w:t>0.</w:t>
            </w:r>
            <w:r>
              <w:rPr>
                <w:rFonts w:hint="default" w:ascii="Times New Roman" w:hAnsi="Times New Roman" w:eastAsia="仿宋_GB2312" w:cs="Times New Roman"/>
                <w:color w:val="auto"/>
                <w:kern w:val="0"/>
                <w:sz w:val="24"/>
                <w:lang w:val="en-US" w:eastAsia="zh-CN" w:bidi="ar"/>
              </w:rPr>
              <w:t>66</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0.92</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14</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设置中医临床科室的二级以上公立综合医院比例(％)</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val="en-US" w:eastAsia="zh-CN" w:bidi="ar"/>
              </w:rPr>
              <w:t>100%</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100</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15</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设置中医馆的社区卫生服务中心和乡镇卫生院比例(％)</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val="en-US" w:eastAsia="zh-CN" w:bidi="ar"/>
              </w:rPr>
              <w:t>100%</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100</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28" w:type="dxa"/>
            <w:vMerge w:val="restart"/>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重点人群服务补短板</w:t>
            </w: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16</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每千人口拥有3岁以下婴幼儿托位数(个)</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2.2</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4.5</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17</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二级及以上综合性医院设立老年医学科比例(％)</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val="en-US" w:eastAsia="zh-CN" w:bidi="ar"/>
              </w:rPr>
              <w:t>50</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65</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28" w:type="dxa"/>
            <w:vMerge w:val="restart"/>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健康水平</w:t>
            </w: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18</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人均预期寿命(岁)</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78.47</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&gt;78.6</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28" w:type="dxa"/>
            <w:vMerge w:val="continue"/>
            <w:vAlign w:val="center"/>
          </w:tcPr>
          <w:p>
            <w:pPr>
              <w:widowControl/>
              <w:adjustRightInd w:val="0"/>
              <w:snapToGrid w:val="0"/>
              <w:jc w:val="center"/>
              <w:rPr>
                <w:rFonts w:hint="default" w:ascii="Times New Roman" w:hAnsi="Times New Roman" w:eastAsia="仿宋_GB2312" w:cs="Times New Roman"/>
                <w:b/>
                <w:bCs/>
                <w:color w:val="auto"/>
                <w:kern w:val="0"/>
                <w:sz w:val="24"/>
                <w:lang w:bidi="ar"/>
              </w:rPr>
            </w:pPr>
          </w:p>
        </w:tc>
        <w:tc>
          <w:tcPr>
            <w:tcW w:w="62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19</w:t>
            </w:r>
          </w:p>
        </w:tc>
        <w:tc>
          <w:tcPr>
            <w:tcW w:w="2852"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人均健康预期寿命（岁）</w:t>
            </w:r>
          </w:p>
        </w:tc>
        <w:tc>
          <w:tcPr>
            <w:tcW w:w="1425"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w:t>
            </w:r>
          </w:p>
        </w:tc>
        <w:tc>
          <w:tcPr>
            <w:tcW w:w="1337"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同比例提高</w:t>
            </w:r>
          </w:p>
        </w:tc>
        <w:tc>
          <w:tcPr>
            <w:tcW w:w="1318" w:type="dxa"/>
            <w:vAlign w:val="center"/>
          </w:tcPr>
          <w:p>
            <w:pPr>
              <w:widowControl/>
              <w:adjustRightInd w:val="0"/>
              <w:snapToGrid w:val="0"/>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预期性</w:t>
            </w:r>
          </w:p>
        </w:tc>
      </w:tr>
    </w:tbl>
    <w:p>
      <w:pPr>
        <w:widowControl/>
        <w:adjustRightInd w:val="0"/>
        <w:snapToGrid w:val="0"/>
        <w:spacing w:line="600" w:lineRule="exact"/>
        <w:ind w:firstLine="200"/>
        <w:jc w:val="left"/>
        <w:rPr>
          <w:rFonts w:hint="default" w:ascii="Times New Roman" w:hAnsi="Times New Roman" w:eastAsia="仿宋_GB2312" w:cs="Times New Roman"/>
          <w:color w:val="auto"/>
          <w:kern w:val="0"/>
          <w:sz w:val="28"/>
          <w:szCs w:val="28"/>
          <w:lang w:bidi="ar"/>
        </w:rPr>
      </w:pPr>
      <w:bookmarkStart w:id="58" w:name="_Toc24118_WPSOffice_Level2"/>
      <w:r>
        <w:rPr>
          <w:rFonts w:hint="default" w:ascii="Times New Roman" w:hAnsi="Times New Roman" w:eastAsia="仿宋_GB2312" w:cs="Times New Roman"/>
          <w:color w:val="auto"/>
          <w:kern w:val="0"/>
          <w:sz w:val="28"/>
          <w:szCs w:val="28"/>
          <w:lang w:bidi="ar"/>
        </w:rPr>
        <w:t>注:医院床位含同级妇幼保健院和专科疾病防治院</w:t>
      </w:r>
      <w:r>
        <w:rPr>
          <w:rFonts w:hint="eastAsia" w:ascii="Times New Roman" w:hAnsi="Times New Roman" w:eastAsia="仿宋_GB2312" w:cs="Times New Roman"/>
          <w:color w:val="auto"/>
          <w:kern w:val="0"/>
          <w:sz w:val="28"/>
          <w:szCs w:val="28"/>
          <w:lang w:eastAsia="zh-CN" w:bidi="ar"/>
        </w:rPr>
        <w:t>（所）</w:t>
      </w:r>
      <w:r>
        <w:rPr>
          <w:rFonts w:hint="default" w:ascii="Times New Roman" w:hAnsi="Times New Roman" w:eastAsia="仿宋_GB2312" w:cs="Times New Roman"/>
          <w:color w:val="auto"/>
          <w:kern w:val="0"/>
          <w:sz w:val="28"/>
          <w:szCs w:val="28"/>
          <w:lang w:bidi="ar"/>
        </w:rPr>
        <w:t>床位</w:t>
      </w:r>
      <w:bookmarkEnd w:id="58"/>
    </w:p>
    <w:p>
      <w:pPr>
        <w:widowControl/>
        <w:adjustRightInd w:val="0"/>
        <w:snapToGrid w:val="0"/>
        <w:spacing w:line="600" w:lineRule="exact"/>
        <w:ind w:firstLine="640" w:firstLineChars="200"/>
        <w:jc w:val="left"/>
        <w:rPr>
          <w:rFonts w:hint="default" w:ascii="Times New Roman" w:hAnsi="Times New Roman" w:eastAsia="仿宋_GB2312" w:cs="Times New Roman"/>
          <w:color w:val="auto"/>
          <w:kern w:val="0"/>
          <w:sz w:val="32"/>
          <w:szCs w:val="32"/>
          <w:lang w:bidi="ar"/>
        </w:rPr>
      </w:pPr>
    </w:p>
    <w:p>
      <w:pPr>
        <w:pageBreakBefore w:val="0"/>
        <w:widowControl/>
        <w:kinsoku/>
        <w:wordWrap/>
        <w:topLinePunct w:val="0"/>
        <w:autoSpaceDE/>
        <w:autoSpaceDN/>
        <w:bidi w:val="0"/>
        <w:adjustRightInd w:val="0"/>
        <w:snapToGrid w:val="0"/>
        <w:spacing w:line="600" w:lineRule="exact"/>
        <w:jc w:val="center"/>
        <w:textAlignment w:val="auto"/>
        <w:outlineLvl w:val="0"/>
        <w:rPr>
          <w:rFonts w:hint="default" w:ascii="Times New Roman" w:hAnsi="Times New Roman" w:eastAsia="黑体" w:cs="Times New Roman"/>
          <w:color w:val="auto"/>
          <w:kern w:val="0"/>
          <w:sz w:val="32"/>
          <w:szCs w:val="32"/>
          <w:lang w:bidi="ar"/>
        </w:rPr>
      </w:pPr>
      <w:bookmarkStart w:id="59" w:name="_Toc21174_WPSOffice_Level1"/>
      <w:r>
        <w:rPr>
          <w:rFonts w:hint="default" w:ascii="Times New Roman" w:hAnsi="Times New Roman" w:eastAsia="黑体" w:cs="Times New Roman"/>
          <w:color w:val="auto"/>
          <w:kern w:val="0"/>
          <w:sz w:val="32"/>
          <w:szCs w:val="32"/>
          <w:lang w:bidi="ar"/>
        </w:rPr>
        <w:t>第二章 优化布局和资源配置</w:t>
      </w:r>
      <w:bookmarkEnd w:id="59"/>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color w:val="auto"/>
          <w:kern w:val="0"/>
          <w:sz w:val="32"/>
          <w:szCs w:val="32"/>
          <w:lang w:bidi="ar"/>
        </w:rPr>
      </w:pPr>
      <w:bookmarkStart w:id="60" w:name="_Toc12134_WPSOffice_Level2"/>
      <w:r>
        <w:rPr>
          <w:rFonts w:hint="default" w:ascii="Times New Roman" w:hAnsi="Times New Roman" w:eastAsia="楷体_GB2312" w:cs="Times New Roman"/>
          <w:color w:val="auto"/>
          <w:kern w:val="0"/>
          <w:sz w:val="32"/>
          <w:szCs w:val="32"/>
          <w:lang w:bidi="ar"/>
        </w:rPr>
        <w:t>第一节 优化布局</w:t>
      </w:r>
      <w:bookmarkEnd w:id="60"/>
    </w:p>
    <w:p>
      <w:pPr>
        <w:pageBreakBefore w:val="0"/>
        <w:widowControl/>
        <w:kinsoku/>
        <w:wordWrap/>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一、资源布局基本要求</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统筹规划，促进优质医疗卫生资源均衡布局，提高服务和保障能力。</w:t>
      </w:r>
      <w:r>
        <w:rPr>
          <w:rFonts w:hint="default" w:ascii="Times New Roman" w:hAnsi="Times New Roman" w:eastAsia="仿宋_GB2312" w:cs="Times New Roman"/>
          <w:color w:val="auto"/>
          <w:kern w:val="0"/>
          <w:sz w:val="32"/>
          <w:szCs w:val="32"/>
          <w:lang w:eastAsia="zh-CN" w:bidi="ar"/>
        </w:rPr>
        <w:t>全县</w:t>
      </w:r>
      <w:r>
        <w:rPr>
          <w:rFonts w:hint="default" w:ascii="Times New Roman" w:hAnsi="Times New Roman" w:eastAsia="仿宋_GB2312" w:cs="Times New Roman"/>
          <w:color w:val="auto"/>
          <w:kern w:val="0"/>
          <w:sz w:val="32"/>
          <w:szCs w:val="32"/>
          <w:lang w:bidi="ar"/>
        </w:rPr>
        <w:t>基本医疗卫生资源按照常住人口规模和服务半径合理布局。各级各类公立医院的设置根据地域实际，综合考虑城镇化、人口分布、地理交通环境、疾病谱等因素合理布局。乡镇卫生院、社区卫生服务中心按照乡镇、街道办事处行政区划或一定服务人口进行设置。专业公共卫生机构按照辖区常住人口数、服务范围、工作量等因素优化设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二、医疗卫生服务体系</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医疗卫生服务体系主要包括医院、基层医疗卫生机构、专业公共卫生机构和其他医疗卫生机构。</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医院分为公立医院和非公立医院。其中，公立医院分为政府办医院和其他公立医院。政府办医院根据举办层级划分为部门办医院、省办医院、市</w:t>
      </w:r>
      <w:r>
        <w:rPr>
          <w:rFonts w:hint="eastAsia" w:ascii="Times New Roman" w:hAnsi="Times New Roman" w:eastAsia="仿宋_GB2312" w:cs="Times New Roman"/>
          <w:color w:val="auto"/>
          <w:kern w:val="0"/>
          <w:sz w:val="32"/>
          <w:szCs w:val="32"/>
          <w:lang w:eastAsia="zh-CN" w:bidi="ar"/>
        </w:rPr>
        <w:t>（州）</w:t>
      </w:r>
      <w:r>
        <w:rPr>
          <w:rFonts w:hint="default" w:ascii="Times New Roman" w:hAnsi="Times New Roman" w:eastAsia="仿宋_GB2312" w:cs="Times New Roman"/>
          <w:color w:val="auto"/>
          <w:kern w:val="0"/>
          <w:sz w:val="32"/>
          <w:szCs w:val="32"/>
          <w:lang w:bidi="ar"/>
        </w:rPr>
        <w:t>办医院、县办医院等，含优抚医院，其他公立医院主要包括军队医院对社会提供服务部分、国有和集体企事业单位等举办的非营利性医院。医院主要提供疾病诊治，特别是急危重症和疑难病症的诊疗，突发事件医疗处置和救援以及健康教育等医疗卫生服务，并开展医学教育、医疗卫生人员培训、医学科学研究和对基层医疗卫生机构的业务指导等工作。</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基层医疗卫生机构主要包括乡镇卫生院、社区卫生服务中心</w:t>
      </w:r>
      <w:r>
        <w:rPr>
          <w:rFonts w:hint="eastAsia" w:ascii="Times New Roman" w:hAnsi="Times New Roman" w:eastAsia="仿宋_GB2312" w:cs="Times New Roman"/>
          <w:color w:val="auto"/>
          <w:kern w:val="0"/>
          <w:sz w:val="32"/>
          <w:szCs w:val="32"/>
          <w:lang w:eastAsia="zh-CN" w:bidi="ar"/>
        </w:rPr>
        <w:t>（站）</w:t>
      </w:r>
      <w:r>
        <w:rPr>
          <w:rFonts w:hint="default" w:ascii="Times New Roman" w:hAnsi="Times New Roman" w:eastAsia="仿宋_GB2312" w:cs="Times New Roman"/>
          <w:color w:val="auto"/>
          <w:kern w:val="0"/>
          <w:sz w:val="32"/>
          <w:szCs w:val="32"/>
          <w:lang w:bidi="ar"/>
        </w:rPr>
        <w:t>、村卫生室、医务室、门诊部和诊所等。基层医疗卫生机构主要提供预防、保健、健康教育、健康管理，常见病、多发病的诊疗以及部分疾病的康复、护理，接收医院转诊患者，向医院转诊超出自身服务能力的患者等基本医疗卫生服务。</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专业公共卫生机构主要包括疾病预防控制机构、专科疾病防治机构、健康教育机构、急救中心</w:t>
      </w:r>
      <w:r>
        <w:rPr>
          <w:rFonts w:hint="eastAsia" w:ascii="Times New Roman" w:hAnsi="Times New Roman" w:eastAsia="仿宋_GB2312" w:cs="Times New Roman"/>
          <w:color w:val="auto"/>
          <w:kern w:val="0"/>
          <w:sz w:val="32"/>
          <w:szCs w:val="32"/>
          <w:lang w:eastAsia="zh-CN" w:bidi="ar"/>
        </w:rPr>
        <w:t>（站）</w:t>
      </w:r>
      <w:r>
        <w:rPr>
          <w:rFonts w:hint="default" w:ascii="Times New Roman" w:hAnsi="Times New Roman" w:eastAsia="仿宋_GB2312" w:cs="Times New Roman"/>
          <w:color w:val="auto"/>
          <w:kern w:val="0"/>
          <w:sz w:val="32"/>
          <w:szCs w:val="32"/>
          <w:lang w:bidi="ar"/>
        </w:rPr>
        <w:t>、采供血机构等。专业公共卫生机构主要提供传染病、慢性非传染性疾病、职业病、地方病等疾病预防控制和健康教育、妇幼保健、精神卫生、院前急救、采供血、食品安全风险监测评估、出生缺陷防治等公共卫生服务。</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其他医疗卫生机构主要包括医学检验中心、病理诊断中心、医学影像中心、血液透析中心、戒毒医疗机构等独立设置机构和护理机构、康复医疗中心、安宁疗护中心等接续性服务机构。</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三、协调发展融入川渝医疗合作</w:t>
      </w:r>
    </w:p>
    <w:p>
      <w:pPr>
        <w:keepNext w:val="0"/>
        <w:keepLines w:val="0"/>
        <w:pageBreakBefore w:val="0"/>
        <w:widowControl w:val="0"/>
        <w:numPr>
          <w:ilvl w:val="255"/>
          <w:numId w:val="0"/>
        </w:numPr>
        <w:kinsoku/>
        <w:wordWrap/>
        <w:topLinePunct w:val="0"/>
        <w:autoSpaceDE/>
        <w:autoSpaceDN/>
        <w:bidi w:val="0"/>
        <w:spacing w:line="60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与成都、重庆优质医疗资源和医学教育资源对接，推动县人民医院、县中医医院、县妇幼保健院等强化与成渝地区高水平医疗机构交流协作，建设专科联盟，协同开展学术交流、疑难疾病联合会诊等，加强与省内外优质医学院校合作。支持县域公立医院开展检验检查结果互认，开展室间质评和人员培训，控制不必要的重复检查。大力推进“互联网+医疗服务”，加快远程医疗协作网建设，为区域群众提供网上咨询、网上预约、远程会诊、健康咨询、健康管理等医疗服务，畅通双向转诊绿色通道，形成线上线下一体化的现代医院服务与管理模式。</w:t>
      </w:r>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仿宋_GB2312" w:cs="Times New Roman"/>
          <w:color w:val="auto"/>
          <w:kern w:val="0"/>
          <w:sz w:val="32"/>
          <w:szCs w:val="32"/>
          <w:lang w:bidi="ar"/>
        </w:rPr>
      </w:pPr>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color w:val="auto"/>
          <w:kern w:val="0"/>
          <w:sz w:val="32"/>
          <w:szCs w:val="32"/>
          <w:lang w:bidi="ar"/>
        </w:rPr>
      </w:pPr>
      <w:bookmarkStart w:id="61" w:name="_Toc18399_WPSOffice_Level2"/>
      <w:r>
        <w:rPr>
          <w:rFonts w:hint="default" w:ascii="Times New Roman" w:hAnsi="Times New Roman" w:eastAsia="楷体_GB2312" w:cs="Times New Roman"/>
          <w:color w:val="auto"/>
          <w:kern w:val="0"/>
          <w:sz w:val="32"/>
          <w:szCs w:val="32"/>
          <w:lang w:bidi="ar"/>
        </w:rPr>
        <w:t>第二节 资源配置</w:t>
      </w:r>
      <w:bookmarkEnd w:id="61"/>
    </w:p>
    <w:p>
      <w:pPr>
        <w:pageBreakBefore w:val="0"/>
        <w:widowControl/>
        <w:kinsoku/>
        <w:wordWrap/>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一、床位配置</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合理配置床位。到2025年，每千人口医疗卫生机构床位数的预期性指标为7.8</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8.0张左右，其中公立医院</w:t>
      </w:r>
      <w:r>
        <w:rPr>
          <w:rFonts w:hint="default"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val="en-US" w:eastAsia="zh-CN" w:bidi="ar"/>
        </w:rPr>
        <w:t>0</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bidi="ar"/>
        </w:rPr>
        <w:t>.5张左右。合理控制公立医院单体规模，引导在资源相对薄弱区域设置院区。结合基层医疗卫生机构床位使用率合理确定床位数量，提高康复、护理床位占比，鼓励有条件的地方因地制宜开展医养服务、家庭病床服务。可按照公立医院床位15％的比例设置公立专科医院。县办综合医院单体规模床位数量以600—1000张为宜，对超出规模标准的要采取综合措施，逐步压缩床位。</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优化床位结构。根据实际需求，科学测算、合理配置治疗性床位，增量或转型床位应向传染、重症、肿瘤、精神、康复、护理、中医等紧缺领域倾斜。到2025年，每千人口重症床位数达到0.1张</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每千人口康复病床达到0.34张，每千人口精神科床位数达到</w:t>
      </w:r>
      <w:r>
        <w:rPr>
          <w:rFonts w:hint="default"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bidi="ar"/>
        </w:rPr>
        <w:t>张，每千人口公立中医医院床位数达到0.98张。</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提升使用效率。优化床位与卫生人力配置比例，到2025年，床人(卫生人员)比的预期性指标为1:1.62。鼓励医疗卫生机构成立住院服务中心，改进以科室为单位的资源管理方式，对床位和护士实行统筹调配。推动三级医院更加突出急危重症、疑难病症诊疗，逐步压缩一、二级手术比例。将预约诊疗、日间手术等服务常态化、制度化，提高床单元使用效率，控制医院平均住院日，三级综合医院平均住院日控制在8天以内。</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强化综合评价。按照国家建立的医疗卫生机构床位综合评价体系，对</w:t>
      </w:r>
      <w:r>
        <w:rPr>
          <w:rFonts w:hint="default" w:ascii="Times New Roman" w:hAnsi="Times New Roman" w:eastAsia="仿宋_GB2312" w:cs="Times New Roman"/>
          <w:color w:val="auto"/>
          <w:kern w:val="0"/>
          <w:sz w:val="32"/>
          <w:szCs w:val="32"/>
          <w:lang w:eastAsia="zh-CN" w:bidi="ar"/>
        </w:rPr>
        <w:t>全县</w:t>
      </w:r>
      <w:r>
        <w:rPr>
          <w:rFonts w:hint="default" w:ascii="Times New Roman" w:hAnsi="Times New Roman" w:eastAsia="仿宋_GB2312" w:cs="Times New Roman"/>
          <w:color w:val="auto"/>
          <w:kern w:val="0"/>
          <w:sz w:val="32"/>
          <w:szCs w:val="32"/>
          <w:lang w:bidi="ar"/>
        </w:rPr>
        <w:t>床位数量、质量、结构、效率进行综合评价，优化配置床位资源。根据常住人口规模及密度、健康需求、床位与卫生人力配置结构、床位利用效率等方面的实际状况，科学制定床位发展目标；根据病床使用率、平均住院日等指标合理确定医疗卫生床位分布。原则上，病床使用率低于75%、平均住院日高于9天的公立综合医院，需合理控制床位数量，不再新增床位。</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二、人力配置</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公共卫生人员配置。到2025年，专业公共卫生机构人员数增长到0.</w:t>
      </w:r>
      <w:r>
        <w:rPr>
          <w:rFonts w:hint="default" w:ascii="Times New Roman" w:hAnsi="Times New Roman" w:eastAsia="仿宋_GB2312" w:cs="Times New Roman"/>
          <w:color w:val="auto"/>
          <w:kern w:val="0"/>
          <w:sz w:val="32"/>
          <w:szCs w:val="32"/>
          <w:lang w:val="en-US" w:eastAsia="zh-CN" w:bidi="ar"/>
        </w:rPr>
        <w:t>55人/万</w:t>
      </w:r>
      <w:r>
        <w:rPr>
          <w:rFonts w:hint="default" w:ascii="Times New Roman" w:hAnsi="Times New Roman" w:eastAsia="仿宋_GB2312" w:cs="Times New Roman"/>
          <w:color w:val="auto"/>
          <w:kern w:val="0"/>
          <w:sz w:val="32"/>
          <w:szCs w:val="32"/>
          <w:lang w:bidi="ar"/>
        </w:rPr>
        <w:t>。每万人口配备1—1.5名卫生监督员、1名妇幼保健机构保健人员。加强心理和精神卫生人才配置，每10万人口精神科执业(助理)医师数不低于4名，每10万人口精神科注册护士数不低于8.68名。健康教育机构、急救中心(站)、采供血机构等其他专业公共卫生机构根据工作量和任务合理配置人力资源。</w:t>
      </w:r>
      <w:r>
        <w:rPr>
          <w:rFonts w:hint="default" w:ascii="Times New Roman" w:hAnsi="Times New Roman" w:eastAsia="仿宋_GB2312" w:cs="Times New Roman"/>
          <w:color w:val="auto"/>
          <w:kern w:val="0"/>
          <w:sz w:val="32"/>
          <w:szCs w:val="32"/>
          <w:lang w:val="en-US" w:eastAsia="zh-CN" w:bidi="ar"/>
        </w:rPr>
        <w:t>三级公立医疗机构设立“公卫专员”，配备公共卫生专职人员不得少于5人（其中1人具备公共卫生或预防医学专业背景）；二级公立医疗机构配备公共卫生专职人员不得少于3人（其中1人具备公共卫生或预防医学专业背景）；</w:t>
      </w:r>
      <w:r>
        <w:rPr>
          <w:rFonts w:hint="default" w:ascii="Times New Roman" w:hAnsi="Times New Roman" w:eastAsia="仿宋_GB2312" w:cs="Times New Roman"/>
          <w:color w:val="auto"/>
          <w:kern w:val="0"/>
          <w:sz w:val="32"/>
          <w:szCs w:val="32"/>
          <w:lang w:bidi="ar"/>
        </w:rPr>
        <w:t>镇卫生院</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社区卫生服务中心至少配备1名公共卫生医师。</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医疗机构人员配置。提高医生配置水平，大幅提高护士配置水平，重点向基层倾斜，到2025年，每千人口执业(助理)医师数达到3.2人(其中中医类别0.92人)</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每千人口注册护士数达到</w:t>
      </w:r>
      <w:r>
        <w:rPr>
          <w:rFonts w:hint="default"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bidi="ar"/>
        </w:rPr>
        <w:t>人</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每万人口全科医生数达到3.93人</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每千人口药师(士)数增长到0.54人。合理设置医、护、药、技、管等不同类别岗位。承担临床教学、医学科研、支援基层、援外医疗、应急救援等任务的医疗卫生机构应适当增加人员配置。加强乡镇卫生院和社区卫生服务机构全科医生配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三、技术配置</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医疗卫生服务机构按照机构类别和等级要求，分类分级进行技术配置。创新发展核医学等高新医学技术。加强</w:t>
      </w:r>
      <w:r>
        <w:rPr>
          <w:rFonts w:hint="default" w:ascii="Times New Roman" w:hAnsi="Times New Roman" w:eastAsia="仿宋_GB2312" w:cs="Times New Roman"/>
          <w:color w:val="auto"/>
          <w:sz w:val="32"/>
          <w:szCs w:val="32"/>
          <w:shd w:val="clear" w:color="auto" w:fill="FFFFFF"/>
        </w:rPr>
        <w:t>省级、</w:t>
      </w:r>
      <w:r>
        <w:rPr>
          <w:rFonts w:hint="default" w:ascii="Times New Roman" w:hAnsi="Times New Roman" w:eastAsia="仿宋_GB2312" w:cs="Times New Roman"/>
          <w:color w:val="auto"/>
          <w:kern w:val="0"/>
          <w:sz w:val="32"/>
          <w:szCs w:val="32"/>
          <w:lang w:bidi="ar"/>
        </w:rPr>
        <w:t>市级、县级临床重点专科建设，强化心脑血管、肿瘤、重症、儿童、老年医学、麻醉、影像、精神、创伤、传染病、康复等临床专科建设。提高病例组合指数（CMI）值、微创手术占比和四级手术占比。加强中医临床重点专科建设，强化中医药技术推广应用。完善医疗技术临床应用质量管理与控制制度，开展医疗技术临床应用评估。</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四、设备配置</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综合考虑经济社会发展水平、人民群众医疗卫生服务需求与承受能力、医疗卫生机构功能定位与等级要求、医学科技进步与学科发展等，坚持资源共享与阶梯配置，引导专业公共卫生机构、医院、基层医疗卫生机构等合理配置适宜设备。大型医用设备实行分级分类规划配置，甲类大型医用设备按照国家规划进行配置，根据</w:t>
      </w:r>
      <w:r>
        <w:rPr>
          <w:rFonts w:hint="default" w:ascii="Times New Roman" w:hAnsi="Times New Roman" w:eastAsia="仿宋_GB2312" w:cs="Times New Roman"/>
          <w:color w:val="auto"/>
          <w:kern w:val="0"/>
          <w:sz w:val="32"/>
          <w:szCs w:val="32"/>
          <w:lang w:eastAsia="zh-CN" w:bidi="ar"/>
        </w:rPr>
        <w:t>省市</w:t>
      </w:r>
      <w:r>
        <w:rPr>
          <w:rFonts w:hint="default" w:ascii="Times New Roman" w:hAnsi="Times New Roman" w:eastAsia="仿宋_GB2312" w:cs="Times New Roman"/>
          <w:color w:val="auto"/>
          <w:kern w:val="0"/>
          <w:sz w:val="32"/>
          <w:szCs w:val="32"/>
          <w:lang w:bidi="ar"/>
        </w:rPr>
        <w:t>统筹规划配备布局乙类大型医用设备。保障公共卫生安全，配置和更新专业公共卫生机构实验室检验检测、救治、卫生应急和信息化设施设备。承担重大传染病救治和紧急医学救援任务的医疗机构要加强体外膜肺氧合设备(ECMO)、移动断层扫描(CT)机、移动手术室、呼吸机、监护仪、负压救护车、负压担架等配置，完善聚合酶链式反应(PCR)仪等检验检测仪器配置，提高快速检测和诊治水平。以县域为单位，根据县域人口的300%估算人口基数，按照每3万人口1辆救护车的标准配备救护车。</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五、信息资源配置</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加快数字健康发展，推进5G、物联网、大数据、区块链、人工智能等新兴信息技术在卫生健康行业融合应用。强化卫生健康信息标准应用，推进全民健康信息平台和全员人口信息库建设。稳妥推进医疗卫生机构规范“上云”，完善全员人口、电子健康档案、电子病历、基础资源等核心数据库管理。推动县域电子病历和基层医疗信息、疾病预防控制、妇幼保健和老年健康等信息、采集设备信息、可穿戴设备标准化信息等全部归集入健康档案。加快医疗机构电子病历、检查检验结果、医学影像资料等信息共享互认。</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b w:val="0"/>
          <w:bCs w:val="0"/>
          <w:color w:val="auto"/>
          <w:kern w:val="0"/>
          <w:sz w:val="32"/>
          <w:szCs w:val="32"/>
          <w:lang w:bidi="ar"/>
        </w:rPr>
      </w:pPr>
      <w:bookmarkStart w:id="62" w:name="_Toc28244_WPSOffice_Level1"/>
      <w:r>
        <w:rPr>
          <w:rFonts w:hint="default" w:ascii="Times New Roman" w:hAnsi="Times New Roman" w:eastAsia="黑体" w:cs="Times New Roman"/>
          <w:b w:val="0"/>
          <w:bCs w:val="0"/>
          <w:color w:val="auto"/>
          <w:kern w:val="0"/>
          <w:sz w:val="32"/>
          <w:szCs w:val="32"/>
          <w:lang w:bidi="ar"/>
        </w:rPr>
        <w:t>第三章 加快优化升级公共卫生体系</w:t>
      </w:r>
      <w:bookmarkEnd w:id="62"/>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健全以县疾病预防控制中心为骨干，县级医疗机构为依托，基层医疗卫生机构</w:t>
      </w:r>
      <w:r>
        <w:rPr>
          <w:rFonts w:hint="default" w:ascii="Times New Roman" w:hAnsi="Times New Roman" w:eastAsia="仿宋_GB2312" w:cs="Times New Roman"/>
          <w:color w:val="auto"/>
          <w:kern w:val="0"/>
          <w:sz w:val="32"/>
          <w:szCs w:val="32"/>
          <w:lang w:bidi="ar"/>
        </w:rPr>
        <w:t>为网底，防治结合、全社会协同的疾病预防控制体系。提高重大疾病监测预警、风险评估、流行病学调查、检验检测、应急处置、综合干预等能力。</w:t>
      </w:r>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仿宋_GB2312" w:cs="Times New Roman"/>
          <w:color w:val="auto"/>
          <w:kern w:val="0"/>
          <w:sz w:val="32"/>
          <w:szCs w:val="32"/>
          <w:lang w:bidi="ar"/>
        </w:rPr>
      </w:pPr>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color w:val="auto"/>
          <w:kern w:val="0"/>
          <w:sz w:val="32"/>
          <w:szCs w:val="32"/>
          <w:lang w:bidi="ar"/>
        </w:rPr>
      </w:pPr>
      <w:bookmarkStart w:id="63" w:name="_Toc28679_WPSOffice_Level2"/>
      <w:r>
        <w:rPr>
          <w:rFonts w:hint="default" w:ascii="Times New Roman" w:hAnsi="Times New Roman" w:eastAsia="楷体_GB2312" w:cs="Times New Roman"/>
          <w:color w:val="auto"/>
          <w:kern w:val="0"/>
          <w:sz w:val="32"/>
          <w:szCs w:val="32"/>
          <w:lang w:bidi="ar"/>
        </w:rPr>
        <w:t>第一节 优化完善疾病预防控制体系</w:t>
      </w:r>
      <w:bookmarkEnd w:id="63"/>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一、建设现代化疾病防控体系</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完善体系建设。</w:t>
      </w:r>
      <w:r>
        <w:rPr>
          <w:rFonts w:hint="default" w:ascii="Times New Roman" w:hAnsi="Times New Roman" w:eastAsia="仿宋_GB2312" w:cs="Times New Roman"/>
          <w:color w:val="auto"/>
          <w:sz w:val="32"/>
          <w:szCs w:val="32"/>
        </w:rPr>
        <w:t>健全以政府为主导的县、镇（街道）、村（社区）三级公共卫生服务网络体系。</w:t>
      </w:r>
      <w:r>
        <w:rPr>
          <w:rFonts w:hint="default" w:ascii="Times New Roman" w:hAnsi="Times New Roman" w:eastAsia="仿宋_GB2312" w:cs="Times New Roman"/>
          <w:color w:val="auto"/>
          <w:kern w:val="0"/>
          <w:sz w:val="32"/>
          <w:szCs w:val="32"/>
          <w:lang w:bidi="ar"/>
        </w:rPr>
        <w:t>按照填平补齐原则，加强</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疾病预防控制中心基础设施建设。推动县疾控中心争创二级甲等疾控机构。</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明确职责定位。按照疾病预防控制体系改革要求，履行监测预警、检验检测、风险评估、流行病学调查、应急处置、人群健康状况监测与调查、综合干预与评价、信息管理与发布、健康教育与促进、技术管理与指导等职能。各类专科疾病防治机构负责协助卫生健康行政部门制定专科疾病防治规划、建立专科疾病防治协作网络、推广防治适宜技术和管理模式等。</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二、提高疾病预防控制水平</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强化能力建设。构建资源联动、统一质控、信息共享的公共卫生实验室检测网络。进一步健全艾滋病筛查确证实验室网络，</w:t>
      </w:r>
      <w:r>
        <w:rPr>
          <w:rFonts w:hint="default" w:ascii="Times New Roman" w:hAnsi="Times New Roman" w:eastAsia="仿宋_GB2312" w:cs="Times New Roman"/>
          <w:color w:val="auto"/>
          <w:sz w:val="32"/>
          <w:szCs w:val="32"/>
        </w:rPr>
        <w:t>积极开展分子传播网络监测和分析，实现精准预防干预。</w:t>
      </w:r>
      <w:r>
        <w:rPr>
          <w:rFonts w:hint="default" w:ascii="Times New Roman" w:hAnsi="Times New Roman" w:eastAsia="仿宋_GB2312" w:cs="Times New Roman"/>
          <w:color w:val="auto"/>
          <w:kern w:val="0"/>
          <w:sz w:val="32"/>
          <w:szCs w:val="32"/>
          <w:lang w:bidi="ar"/>
        </w:rPr>
        <w:t>结核病定点医疗机构实现结核杆菌痰培养、分子生物学检测、药敏试验全覆盖，提升基层传染病检测能力。以县疾控机构实验室为主体，构建传染病和感染性疾病实验室参比体系，规范检测程序，强化质控管理。</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加强队伍建设。按规定核定疾病预防控制机构人员编制。疾病预防控制机构专业技术人员占编制总额的比例不低于85％，卫生技术人员不得低于70％。</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提高信息化水平。完成各级疾病预防控制机构和预防接种单位信息系统升级。加强疾病预防控制机构信息化建设，推动建立智慧化多点触发疾病监测预警系统。推动实现各级各类医疗卫生机构与疾病预防控制信息系统的互联互通和数据共享。</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三、创新医防协同机制</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落实医疗机构公共卫生职责。公立医疗机构设立公共卫生科等直接从事疾病预防控制的科室，并配备具备相应资质的人员，负责统筹协调本机构疾病报告、就诊者和家属健康教育等工作，协助开展疾病调查和标本采集等工作。乡镇卫生院、社区卫生服务中心</w:t>
      </w:r>
      <w:r>
        <w:rPr>
          <w:rFonts w:hint="default" w:ascii="Times New Roman" w:hAnsi="Times New Roman" w:eastAsia="仿宋_GB2312" w:cs="Times New Roman"/>
          <w:color w:val="auto"/>
          <w:kern w:val="0"/>
          <w:sz w:val="32"/>
          <w:szCs w:val="32"/>
          <w:lang w:eastAsia="zh-CN" w:bidi="ar"/>
        </w:rPr>
        <w:t>（站）</w:t>
      </w:r>
      <w:r>
        <w:rPr>
          <w:rFonts w:hint="default" w:ascii="Times New Roman" w:hAnsi="Times New Roman" w:eastAsia="仿宋_GB2312" w:cs="Times New Roman"/>
          <w:color w:val="auto"/>
          <w:kern w:val="0"/>
          <w:sz w:val="32"/>
          <w:szCs w:val="32"/>
          <w:lang w:bidi="ar"/>
        </w:rPr>
        <w:t>等城乡基层医疗卫生机构落实基层疾病预防控制、公共卫生管理服务职责，接受疾病预防控制部门对传染病防控的业务指导和监督，至少配备1名公共卫生医师，公共卫生人员占专业技术人员编制的比例不得低于25％。</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加强医疗机构和专业公共卫生机构深度协作。加强疾病预防控制机构对医疗机构疾病预防控制工作的技术指导和监督考核。探索建立疾病预防控制监督员制度，在医院和基层医疗卫生机构设立专兼职疾病预防控制监督员。县级疾病预防控制机构负责对辖区内基本公共卫生服务提供主体开展相关技能培训、技术指导等，探索疾病预防控制机构专业人员参与医疗联合体工作，推动县疾病预防控制机构与县域医共体协同建设发展。按规定落实医疗机构公共卫生服务经费保障政策。</w:t>
      </w:r>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仿宋_GB2312" w:cs="Times New Roman"/>
          <w:color w:val="auto"/>
          <w:kern w:val="0"/>
          <w:sz w:val="32"/>
          <w:szCs w:val="32"/>
          <w:lang w:bidi="ar"/>
        </w:rPr>
      </w:pPr>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color w:val="auto"/>
          <w:kern w:val="0"/>
          <w:sz w:val="32"/>
          <w:szCs w:val="32"/>
          <w:lang w:bidi="ar"/>
        </w:rPr>
      </w:pPr>
      <w:bookmarkStart w:id="64" w:name="_Toc8646_WPSOffice_Level2"/>
      <w:r>
        <w:rPr>
          <w:rFonts w:hint="default" w:ascii="Times New Roman" w:hAnsi="Times New Roman" w:eastAsia="楷体_GB2312" w:cs="Times New Roman"/>
          <w:color w:val="auto"/>
          <w:kern w:val="0"/>
          <w:sz w:val="32"/>
          <w:szCs w:val="32"/>
          <w:lang w:bidi="ar"/>
        </w:rPr>
        <w:t>第二节 健全监测预警和应急处置体系</w:t>
      </w:r>
      <w:bookmarkEnd w:id="64"/>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落实“早发现、早报告、早隔离、早治疗”要求，完善以疾病预防控制机构为主体，以医院、基层医疗卫生机构和其他专业公共卫生机构等为哨点，以大数据等信息技术为支撑的监测预警和应急处置体系。</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一、提高全域监测和预警能力</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按照信息互通、医防融合、系统集成、分级预警的原则，构建多点触发、反应快速、权威高效的监测预警体系。健全信息报告和风险评估制度。明确传染病和突发公共卫生事件信息报告责任，完善报告规范、时限和渠道等要求，依法依规落实医疗卫生机构疫情信息报告责任，实行首诊负责制，建立相关激励和免责机制。健全传染病和突发公共卫生事件风险评估方法和制度，提高监测分析和综合评价能力，提高潜在隐患的早期识别能力。</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二、提升应急响应和快速处置能力</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建立集中统一高效的应急指挥体系。按照</w:t>
      </w:r>
      <w:r>
        <w:rPr>
          <w:rFonts w:hint="default" w:ascii="Times New Roman" w:hAnsi="Times New Roman" w:eastAsia="仿宋_GB2312" w:cs="Times New Roman"/>
          <w:color w:val="auto"/>
          <w:kern w:val="0"/>
          <w:sz w:val="32"/>
          <w:szCs w:val="32"/>
          <w:lang w:eastAsia="zh-CN" w:bidi="ar"/>
        </w:rPr>
        <w:t>上级</w:t>
      </w:r>
      <w:r>
        <w:rPr>
          <w:rFonts w:hint="default" w:ascii="Times New Roman" w:hAnsi="Times New Roman" w:eastAsia="仿宋_GB2312" w:cs="Times New Roman"/>
          <w:color w:val="auto"/>
          <w:kern w:val="0"/>
          <w:sz w:val="32"/>
          <w:szCs w:val="32"/>
          <w:lang w:bidi="ar"/>
        </w:rPr>
        <w:t>统一安排部署，推进传染病疫情和突发公共卫生事件应急指挥系统建设。进一步完善多部门联防联控机制，建立完善传染病疫情和突发公共卫生事件监测预警、发现报告、风险评估、信息发布、应急处置及医疗救治等环节职责清晰、无缝对接的体制机制，做到指令清晰、系统有序、条块畅达、执行有力。</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完善应急预案体系和定期演练机制。动态修订专项预案和保障预案，完善物资储备与保障等子预案，构建分层分类、高效实用的卫生应急预案体系。针对传染病疫情和突发公共卫生事件、自然灾害、事故灾难、社会安全事件，建立全社会定期演练机制，加强针对管理人员、专业人员和社会公众的突发事件应急培训和实战演练。</w:t>
      </w:r>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仿宋_GB2312" w:cs="Times New Roman"/>
          <w:color w:val="auto"/>
          <w:kern w:val="0"/>
          <w:sz w:val="32"/>
          <w:szCs w:val="32"/>
          <w:lang w:bidi="ar"/>
        </w:rPr>
      </w:pPr>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color w:val="auto"/>
          <w:kern w:val="0"/>
          <w:sz w:val="32"/>
          <w:szCs w:val="32"/>
          <w:lang w:bidi="ar"/>
        </w:rPr>
      </w:pPr>
      <w:bookmarkStart w:id="65" w:name="_Toc20757_WPSOffice_Level2"/>
      <w:r>
        <w:rPr>
          <w:rFonts w:hint="default" w:ascii="Times New Roman" w:hAnsi="Times New Roman" w:eastAsia="楷体_GB2312" w:cs="Times New Roman"/>
          <w:color w:val="auto"/>
          <w:kern w:val="0"/>
          <w:sz w:val="32"/>
          <w:szCs w:val="32"/>
          <w:lang w:bidi="ar"/>
        </w:rPr>
        <w:t>第三节 完善传染病疫情和突发公共卫生事件救治体系</w:t>
      </w:r>
      <w:bookmarkEnd w:id="65"/>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加强重大疫情防控救治体系和应急能力建设，强化传染病救治机构以及依托医疗卫生机构建立的紧急医学救援基地(中心、站点)建设，增强传染病疫情和突发公共卫生事件发生时患者转运和集中救治能力。</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kern w:val="0"/>
          <w:sz w:val="32"/>
          <w:szCs w:val="32"/>
          <w:lang w:bidi="ar"/>
        </w:rPr>
      </w:pPr>
      <w:r>
        <w:rPr>
          <w:rFonts w:hint="default" w:ascii="Times New Roman" w:hAnsi="Times New Roman" w:eastAsia="黑体" w:cs="Times New Roman"/>
          <w:b w:val="0"/>
          <w:bCs w:val="0"/>
          <w:color w:val="auto"/>
          <w:kern w:val="0"/>
          <w:sz w:val="32"/>
          <w:szCs w:val="32"/>
          <w:lang w:bidi="ar"/>
        </w:rPr>
        <w:t>一、优化急救体系</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健全院前医疗急救体系。</w:t>
      </w:r>
      <w:r>
        <w:rPr>
          <w:rFonts w:hint="default" w:ascii="Times New Roman" w:hAnsi="Times New Roman" w:eastAsia="仿宋_GB2312" w:cs="Times New Roman"/>
          <w:color w:val="auto"/>
          <w:sz w:val="32"/>
          <w:szCs w:val="32"/>
        </w:rPr>
        <w:t>建成覆盖全县的院前急救网络，推动建设县级急救分中心，设置急救站点，加强急救车辆和装备配置，进一步完善120指挥调度系统智能化、规范化建设。</w:t>
      </w:r>
      <w:r>
        <w:rPr>
          <w:rFonts w:hint="default" w:ascii="Times New Roman" w:hAnsi="Times New Roman" w:eastAsia="仿宋_GB2312" w:cs="Times New Roman"/>
          <w:color w:val="auto"/>
          <w:kern w:val="0"/>
          <w:sz w:val="32"/>
          <w:szCs w:val="32"/>
          <w:lang w:bidi="ar"/>
        </w:rPr>
        <w:t>加强急救车辆等急救运载工具和设备配置。</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完善医疗机构急诊科设置。二级以上综合医院(含中医医院)设置急诊科，按医院床位的2％-3％设置急诊科观察床，完善基础条件，接收急诊病人和急救机构转运的伤病员，提供急诊医疗救治，并向相应科室或其他医院转送。突发事件发生时，接受所在地卫生应急救援机构指挥调度，承担现场急救和转运任务。</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二、完善传染病医疗救治体系</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完善传染病救治网络，建立</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分级、分层、分流</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重大疫情救治体系。全面加强二级以上综合医院、中医医院感染性疾病科和发热门诊建设，加强急诊、重症、呼吸、检验、麻醉、消化、心血管、护理、康复等专科能力建设，提高医疗卫生机构实验室检测能力。完善传染病救治网络，提高县级医院传染病检测和诊治能力。中心乡镇卫生院和有条件的乡镇卫生院、社区卫生服务中心设立独立发热门诊，一般乡镇卫生院和社区卫生服务中心建立标准化的发热哨点诊室。大型公共建筑预设平疫结合改造接口。</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三、加强紧急医学救援体系建设</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加强卫生应急队伍建设。建立健全分级分类的卫生应急队伍，融合医疗、防控、检测、管理等多专业，促进卫生应急队伍功能由单一向综合发展。</w:t>
      </w:r>
      <w:r>
        <w:rPr>
          <w:rFonts w:hint="default" w:ascii="Times New Roman" w:hAnsi="Times New Roman" w:eastAsia="仿宋_GB2312" w:cs="Times New Roman"/>
          <w:color w:val="auto"/>
          <w:kern w:val="0"/>
          <w:sz w:val="32"/>
          <w:szCs w:val="32"/>
          <w:lang w:eastAsia="zh-CN" w:bidi="ar"/>
        </w:rPr>
        <w:t>依托县人民医院、县中医医院、县疾控中心</w:t>
      </w:r>
      <w:r>
        <w:rPr>
          <w:rFonts w:hint="default" w:ascii="Times New Roman" w:hAnsi="Times New Roman" w:eastAsia="仿宋_GB2312" w:cs="Times New Roman"/>
          <w:color w:val="auto"/>
          <w:kern w:val="0"/>
          <w:sz w:val="32"/>
          <w:szCs w:val="32"/>
          <w:lang w:bidi="ar"/>
        </w:rPr>
        <w:t>建立1支基层综合应急分队。加强与应急管理部门和消防救援机构的联勤联训，提高灾害事故现场医学救援处置能力。积极开展航空医疗救护培训，不断提升卫生应急救援人员航空医学救援能力。</w:t>
      </w:r>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仿宋_GB2312" w:cs="Times New Roman"/>
          <w:color w:val="auto"/>
          <w:kern w:val="0"/>
          <w:sz w:val="32"/>
          <w:szCs w:val="32"/>
          <w:lang w:bidi="ar"/>
        </w:rPr>
      </w:pPr>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color w:val="auto"/>
          <w:kern w:val="0"/>
          <w:sz w:val="32"/>
          <w:szCs w:val="32"/>
          <w:lang w:bidi="ar"/>
        </w:rPr>
      </w:pPr>
      <w:bookmarkStart w:id="66" w:name="_Toc27639_WPSOffice_Level2"/>
      <w:r>
        <w:rPr>
          <w:rFonts w:hint="default" w:ascii="Times New Roman" w:hAnsi="Times New Roman" w:eastAsia="楷体_GB2312" w:cs="Times New Roman"/>
          <w:color w:val="auto"/>
          <w:kern w:val="0"/>
          <w:sz w:val="32"/>
          <w:szCs w:val="32"/>
          <w:lang w:bidi="ar"/>
        </w:rPr>
        <w:t>第四节 构建中医药应急防控救治体系</w:t>
      </w:r>
      <w:bookmarkEnd w:id="66"/>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发挥中医药特色优势，完善中医药应急机制，建立健全突发公共事件中医药应急救援体系，提升中医药应对突发公共事件的应急救援能力，更好维护和保障人民群众生命安全和身体健康。</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一、完善重大疫情中医防控体系</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补齐重大疫情中医药防控短板，</w:t>
      </w:r>
      <w:r>
        <w:rPr>
          <w:rFonts w:hint="default" w:ascii="Times New Roman" w:hAnsi="Times New Roman" w:eastAsia="仿宋_GB2312" w:cs="Times New Roman"/>
          <w:color w:val="auto"/>
          <w:kern w:val="0"/>
          <w:sz w:val="32"/>
          <w:szCs w:val="32"/>
          <w:lang w:eastAsia="zh-CN" w:bidi="ar"/>
        </w:rPr>
        <w:t>县中医医院</w:t>
      </w:r>
      <w:r>
        <w:rPr>
          <w:rFonts w:hint="default" w:ascii="Times New Roman" w:hAnsi="Times New Roman" w:eastAsia="仿宋_GB2312" w:cs="Times New Roman"/>
          <w:color w:val="auto"/>
          <w:kern w:val="0"/>
          <w:sz w:val="32"/>
          <w:szCs w:val="32"/>
          <w:lang w:bidi="ar"/>
        </w:rPr>
        <w:t>发挥重大传染性疾病监测哨点功能，强化乡村、社区疫情中医药防控，推广行之有效的基层中医药防治方案。</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二、推动中医药融入疾病预防控制和应急救治体系</w:t>
      </w:r>
    </w:p>
    <w:p>
      <w:pPr>
        <w:pageBreakBefore w:val="0"/>
        <w:kinsoku/>
        <w:wordWrap/>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bookmarkStart w:id="67" w:name="_Toc135671161"/>
      <w:r>
        <w:rPr>
          <w:rFonts w:hint="default" w:ascii="Times New Roman" w:hAnsi="Times New Roman" w:eastAsia="仿宋_GB2312" w:cs="Times New Roman"/>
          <w:color w:val="auto"/>
          <w:kern w:val="0"/>
          <w:sz w:val="32"/>
          <w:szCs w:val="32"/>
          <w:lang w:eastAsia="zh-CN" w:bidi="ar"/>
        </w:rPr>
        <w:t>加强县</w:t>
      </w:r>
      <w:r>
        <w:rPr>
          <w:rFonts w:hint="default" w:ascii="Times New Roman" w:hAnsi="Times New Roman" w:eastAsia="仿宋_GB2312" w:cs="Times New Roman"/>
          <w:color w:val="auto"/>
          <w:kern w:val="0"/>
          <w:sz w:val="32"/>
          <w:szCs w:val="32"/>
          <w:lang w:bidi="ar"/>
        </w:rPr>
        <w:t>中医医院重大传染病防控和急诊急救能力建设，健全中西医结合救治和联合会诊制度，加强传染病疫情和突发公共卫生事件等管理信息互通和资源共享，中医药人员第一时间全面参与应急处置，将中医药防治举措全面融入应急预案和技术方案。</w:t>
      </w:r>
      <w:bookmarkEnd w:id="67"/>
    </w:p>
    <w:p>
      <w:pPr>
        <w:pageBreakBefore w:val="0"/>
        <w:widowControl/>
        <w:kinsoku/>
        <w:wordWrap/>
        <w:topLinePunct w:val="0"/>
        <w:autoSpaceDE/>
        <w:autoSpaceDN/>
        <w:bidi w:val="0"/>
        <w:adjustRightInd w:val="0"/>
        <w:snapToGrid w:val="0"/>
        <w:spacing w:line="600" w:lineRule="exact"/>
        <w:jc w:val="center"/>
        <w:textAlignment w:val="auto"/>
        <w:outlineLvl w:val="0"/>
        <w:rPr>
          <w:rFonts w:hint="default" w:ascii="Times New Roman" w:hAnsi="Times New Roman" w:eastAsia="仿宋_GB2312" w:cs="Times New Roman"/>
          <w:color w:val="auto"/>
          <w:kern w:val="0"/>
          <w:sz w:val="32"/>
          <w:szCs w:val="32"/>
          <w:lang w:bidi="ar"/>
        </w:rPr>
      </w:pPr>
    </w:p>
    <w:p>
      <w:pPr>
        <w:pageBreakBefore w:val="0"/>
        <w:widowControl/>
        <w:kinsoku/>
        <w:wordWrap/>
        <w:topLinePunct w:val="0"/>
        <w:autoSpaceDE/>
        <w:autoSpaceDN/>
        <w:bidi w:val="0"/>
        <w:adjustRightInd w:val="0"/>
        <w:snapToGrid w:val="0"/>
        <w:spacing w:line="600" w:lineRule="exact"/>
        <w:jc w:val="center"/>
        <w:textAlignment w:val="auto"/>
        <w:outlineLvl w:val="0"/>
        <w:rPr>
          <w:rFonts w:hint="default" w:ascii="Times New Roman" w:hAnsi="Times New Roman" w:eastAsia="黑体" w:cs="Times New Roman"/>
          <w:color w:val="auto"/>
          <w:kern w:val="0"/>
          <w:sz w:val="32"/>
          <w:szCs w:val="32"/>
          <w:lang w:bidi="ar"/>
        </w:rPr>
      </w:pPr>
      <w:bookmarkStart w:id="68" w:name="_Toc6715_WPSOffice_Level1"/>
      <w:r>
        <w:rPr>
          <w:rFonts w:hint="default" w:ascii="Times New Roman" w:hAnsi="Times New Roman" w:eastAsia="黑体" w:cs="Times New Roman"/>
          <w:color w:val="auto"/>
          <w:kern w:val="0"/>
          <w:sz w:val="32"/>
          <w:szCs w:val="32"/>
          <w:lang w:bidi="ar"/>
        </w:rPr>
        <w:t>第四章 建设优质均衡高效的医疗服务体系</w:t>
      </w:r>
      <w:bookmarkEnd w:id="68"/>
    </w:p>
    <w:p>
      <w:pPr>
        <w:pageBreakBefore w:val="0"/>
        <w:widowControl/>
        <w:kinsoku/>
        <w:wordWrap/>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color w:val="auto"/>
          <w:kern w:val="0"/>
          <w:sz w:val="32"/>
          <w:szCs w:val="32"/>
          <w:lang w:bidi="ar"/>
        </w:rPr>
      </w:pPr>
      <w:bookmarkStart w:id="69" w:name="_Toc32147_WPSOffice_Level2"/>
      <w:r>
        <w:rPr>
          <w:rFonts w:hint="default" w:ascii="Times New Roman" w:hAnsi="Times New Roman" w:eastAsia="楷体_GB2312" w:cs="Times New Roman"/>
          <w:color w:val="auto"/>
          <w:kern w:val="0"/>
          <w:sz w:val="32"/>
          <w:szCs w:val="32"/>
          <w:lang w:bidi="ar"/>
        </w:rPr>
        <w:t>第一节 健全完善基层医疗卫生服务体系</w:t>
      </w:r>
      <w:bookmarkEnd w:id="69"/>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构建以县医院为龙头，县域医疗卫生次中心为支撑，乡镇卫生院和社区卫生服务中心为骨干，村卫生室为网底的基层医疗卫生新格局，把工作重点放在农村和社区。</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一、优化调整基层卫生服务机构布局</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原则上在每个街道办事处范围或每3万</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10万居民规划设置1所社区卫生服务中心，根据需要设置若干社区卫生服务站，每个乡镇办好1所达标卫生院。对照《社区医院基本标准(试行)》，全面推进社区医院建设，20％的城市社区卫生服务中心创建为社区医院。优化村卫生室设置，持续开展乡聘村用、乡镇卫生院定期巡诊、派驻、邻（联）村延伸服务和发展移动智慧医疗等方式，提高群众就医可及性。</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二、提升基层医疗卫生服务能力</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以急诊急救、全科医疗、儿科及儿童保健、老年保健、康复、护理、中医药、口腔保健等服务为重点，提高基层医疗卫生机构常见病、多发病、慢性病门诊、住院服务和传染病防控能力。在县域医疗卫生次中心、社区医院、中心卫生院等创建</w:t>
      </w:r>
      <w:r>
        <w:rPr>
          <w:rFonts w:hint="default"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bidi="ar"/>
        </w:rPr>
        <w:t>个左右省级基层临床特色科室。开展“优质服务基层行”活动，全方位推动基层医疗卫生机构服务向规范化、标准化、精细化发展。到2025年，全市基层医疗卫生机构100%达到“优质服务基层行”基本标准，8%的基层医疗卫生机构达到推荐标准。</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三、推进紧密型县域医共体建设</w:t>
      </w:r>
    </w:p>
    <w:p>
      <w:pPr>
        <w:pageBreakBefore w:val="0"/>
        <w:widowControl/>
        <w:kinsoku/>
        <w:wordWrap/>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加快</w:t>
      </w:r>
      <w:r>
        <w:rPr>
          <w:rFonts w:hint="default" w:ascii="Times New Roman" w:hAnsi="Times New Roman" w:eastAsia="仿宋_GB2312" w:cs="Times New Roman"/>
          <w:color w:val="auto"/>
          <w:kern w:val="0"/>
          <w:sz w:val="32"/>
          <w:szCs w:val="32"/>
          <w:lang w:bidi="ar"/>
        </w:rPr>
        <w:t>推进紧密型县域医共体建设，实行县乡一体化管理，逐步实现行政、人事、财务、业务、后勤服务、用药目录、信息系统等统筹管理，推进县乡村卫生健康服务一体化，构建优质高效的整合型医疗卫生服务体系，保障群众更好更公平享有基本医疗卫生服务。</w:t>
      </w:r>
    </w:p>
    <w:p>
      <w:pPr>
        <w:keepNext w:val="0"/>
        <w:keepLines w:val="0"/>
        <w:pageBreakBefore w:val="0"/>
        <w:widowControl/>
        <w:kinsoku/>
        <w:wordWrap/>
        <w:overflowPunct/>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70" w:name="_Toc19433_WPSOffice_Level2"/>
      <w:r>
        <w:rPr>
          <w:rFonts w:hint="default" w:ascii="Times New Roman" w:hAnsi="Times New Roman" w:eastAsia="楷体_GB2312" w:cs="Times New Roman"/>
          <w:color w:val="auto"/>
          <w:kern w:val="0"/>
          <w:sz w:val="32"/>
          <w:szCs w:val="32"/>
          <w:lang w:bidi="ar"/>
        </w:rPr>
        <w:t>第二节 推进公立医院高质量发展</w:t>
      </w:r>
      <w:bookmarkEnd w:id="70"/>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持续推动</w:t>
      </w:r>
      <w:r>
        <w:rPr>
          <w:rFonts w:hint="default" w:ascii="Times New Roman" w:hAnsi="Times New Roman" w:eastAsia="仿宋_GB2312" w:cs="Times New Roman"/>
          <w:color w:val="auto"/>
          <w:sz w:val="32"/>
          <w:szCs w:val="32"/>
          <w:shd w:val="clear" w:color="auto" w:fill="FFFFFF"/>
          <w:lang w:eastAsia="zh-CN"/>
        </w:rPr>
        <w:t>公立</w:t>
      </w:r>
      <w:r>
        <w:rPr>
          <w:rFonts w:hint="default" w:ascii="Times New Roman" w:hAnsi="Times New Roman" w:eastAsia="仿宋_GB2312" w:cs="Times New Roman"/>
          <w:color w:val="auto"/>
          <w:sz w:val="32"/>
          <w:szCs w:val="32"/>
          <w:shd w:val="clear" w:color="auto" w:fill="FFFFFF"/>
        </w:rPr>
        <w:t>医院发展，全面提升县域医疗卫生服务能力，</w:t>
      </w:r>
      <w:r>
        <w:rPr>
          <w:rFonts w:hint="default" w:ascii="Times New Roman" w:hAnsi="Times New Roman" w:eastAsia="仿宋_GB2312" w:cs="Times New Roman"/>
          <w:color w:val="auto"/>
          <w:sz w:val="32"/>
          <w:szCs w:val="32"/>
          <w:shd w:val="clear" w:color="auto" w:fill="FFFFFF"/>
          <w:lang w:val="en-US" w:eastAsia="zh-CN"/>
        </w:rPr>
        <w:t>逐步</w:t>
      </w:r>
      <w:r>
        <w:rPr>
          <w:rFonts w:hint="default" w:ascii="Times New Roman" w:hAnsi="Times New Roman" w:eastAsia="仿宋_GB2312" w:cs="Times New Roman"/>
          <w:color w:val="auto"/>
          <w:sz w:val="32"/>
          <w:szCs w:val="32"/>
          <w:shd w:val="clear" w:color="auto" w:fill="FFFFFF"/>
        </w:rPr>
        <w:t>实现“大病不出县，小病不出镇”。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color w:val="auto"/>
          <w:sz w:val="32"/>
          <w:szCs w:val="32"/>
          <w:shd w:val="clear" w:color="auto" w:fill="FFFFFF"/>
        </w:rPr>
        <w:t>加快推进公立医院发展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推动县人民医院争创三级甲等医院，2023年完成</w:t>
      </w:r>
      <w:r>
        <w:rPr>
          <w:rFonts w:hint="default" w:ascii="Times New Roman" w:hAnsi="Times New Roman" w:eastAsia="仿宋_GB2312" w:cs="Times New Roman"/>
          <w:color w:val="auto"/>
          <w:sz w:val="32"/>
          <w:szCs w:val="32"/>
          <w:shd w:val="clear" w:color="auto" w:fill="FFFFFF"/>
          <w:lang w:eastAsia="zh-CN"/>
        </w:rPr>
        <w:t>核医学科、</w:t>
      </w:r>
      <w:r>
        <w:rPr>
          <w:rFonts w:hint="default" w:ascii="Times New Roman" w:hAnsi="Times New Roman" w:eastAsia="仿宋_GB2312" w:cs="Times New Roman"/>
          <w:color w:val="auto"/>
          <w:sz w:val="32"/>
          <w:szCs w:val="32"/>
          <w:shd w:val="clear" w:color="auto" w:fill="FFFFFF"/>
          <w:lang w:val="en-US" w:eastAsia="zh-CN"/>
        </w:rPr>
        <w:t>卒中中心、</w:t>
      </w:r>
      <w:r>
        <w:rPr>
          <w:rFonts w:hint="default" w:ascii="Times New Roman" w:hAnsi="Times New Roman" w:eastAsia="仿宋_GB2312" w:cs="Times New Roman"/>
          <w:color w:val="auto"/>
          <w:sz w:val="32"/>
          <w:szCs w:val="32"/>
          <w:shd w:val="clear" w:color="auto" w:fill="FFFFFF"/>
          <w:lang w:eastAsia="zh-CN"/>
        </w:rPr>
        <w:t>胸痛中心建设，</w:t>
      </w:r>
      <w:r>
        <w:rPr>
          <w:rFonts w:hint="default" w:ascii="Times New Roman" w:hAnsi="Times New Roman" w:eastAsia="仿宋_GB2312" w:cs="Times New Roman"/>
          <w:color w:val="auto"/>
          <w:sz w:val="32"/>
          <w:szCs w:val="32"/>
          <w:shd w:val="clear" w:color="auto" w:fill="FFFFFF"/>
          <w:lang w:val="en-US" w:eastAsia="zh-CN"/>
        </w:rPr>
        <w:t>进一步提升肿瘤诊疗能力，推动肿瘤专科建设，稳步推进夹江县核医学中心建设，力争2025年基本建成。推进县中医医院重点专科（学科）创建</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CN"/>
        </w:rPr>
        <w:t>眼耳鼻喉、肛肠、骨伤科</w:t>
      </w:r>
      <w:r>
        <w:rPr>
          <w:rFonts w:hint="default" w:ascii="Times New Roman" w:hAnsi="Times New Roman" w:eastAsia="仿宋_GB2312" w:cs="Times New Roman"/>
          <w:color w:val="auto"/>
          <w:sz w:val="32"/>
          <w:szCs w:val="32"/>
          <w:shd w:val="clear" w:color="auto" w:fill="FFFFFF"/>
          <w:lang w:val="en-US" w:eastAsia="zh-CN"/>
        </w:rPr>
        <w:t>建成</w:t>
      </w:r>
      <w:r>
        <w:rPr>
          <w:rFonts w:hint="default" w:ascii="Times New Roman" w:hAnsi="Times New Roman" w:eastAsia="仿宋_GB2312" w:cs="Times New Roman"/>
          <w:color w:val="auto"/>
          <w:sz w:val="32"/>
          <w:szCs w:val="32"/>
          <w:shd w:val="clear" w:color="auto" w:fill="FFFFFF"/>
          <w:lang w:eastAsia="zh-CN"/>
        </w:rPr>
        <w:t>市级中医重点专科。</w:t>
      </w:r>
      <w:r>
        <w:rPr>
          <w:rFonts w:hint="default" w:ascii="Times New Roman" w:hAnsi="Times New Roman" w:eastAsia="仿宋_GB2312" w:cs="Times New Roman"/>
          <w:color w:val="auto"/>
          <w:sz w:val="32"/>
          <w:szCs w:val="32"/>
          <w:shd w:val="clear" w:color="auto" w:fill="FFFFFF"/>
          <w:lang w:val="en-US" w:eastAsia="zh-CN"/>
        </w:rPr>
        <w:t>高标准建设县妇女儿童医</w:t>
      </w:r>
      <w:r>
        <w:rPr>
          <w:rFonts w:hint="default" w:ascii="Times New Roman" w:hAnsi="Times New Roman" w:eastAsia="仿宋_GB2312" w:cs="Times New Roman"/>
          <w:color w:val="auto"/>
          <w:sz w:val="32"/>
          <w:szCs w:val="32"/>
          <w:shd w:val="clear" w:color="auto" w:fill="FFFFFF"/>
        </w:rPr>
        <w:t>院</w:t>
      </w:r>
      <w:r>
        <w:rPr>
          <w:rFonts w:hint="default" w:ascii="Times New Roman" w:hAnsi="Times New Roman" w:eastAsia="仿宋_GB2312" w:cs="Times New Roman"/>
          <w:color w:val="auto"/>
          <w:sz w:val="32"/>
          <w:szCs w:val="32"/>
          <w:shd w:val="clear" w:color="auto" w:fill="FFFFFF"/>
          <w:lang w:val="en-US" w:eastAsia="zh-CN"/>
        </w:rPr>
        <w:t>，以</w:t>
      </w:r>
      <w:r>
        <w:rPr>
          <w:rFonts w:hint="default" w:ascii="Times New Roman" w:hAnsi="Times New Roman" w:eastAsia="仿宋_GB2312" w:cs="Times New Roman"/>
          <w:color w:val="auto"/>
          <w:sz w:val="32"/>
          <w:szCs w:val="32"/>
          <w:shd w:val="clear" w:color="auto" w:fill="FFFFFF"/>
          <w:lang w:eastAsia="zh-CN"/>
        </w:rPr>
        <w:t>妇幼保健、医疗、产后康复、月子中心、托育等综合服务为一体，建成市内首家，区域一流的医防融合型妇幼健康服务机构</w:t>
      </w:r>
      <w:r>
        <w:rPr>
          <w:rFonts w:hint="default" w:ascii="Times New Roman" w:hAnsi="Times New Roman" w:eastAsia="仿宋_GB2312" w:cs="Times New Roman"/>
          <w:color w:val="auto"/>
          <w:sz w:val="32"/>
          <w:szCs w:val="32"/>
          <w:shd w:val="clear" w:color="auto" w:fill="FFFFFF"/>
          <w:lang w:val="en-US" w:eastAsia="zh-CN"/>
        </w:rPr>
        <w:t>，力争2023年底投用。</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二、发挥县直医疗机构辐射能力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积极争取上级支持，县人民医院、县中医医院牵引帮带，加快推进木城镇中心卫生院、新场镇中心卫生院医疗卫生次中心建设，建成后逐步达到二级综合医院标准，辐射周边镇卫生院，提升医疗服务能力。依托县人民医院在华头镇中心卫生院建设一级120院前急救站，提升偏远山区院前急救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三、强化基层医疗卫生服务网底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推进“优质服务基层行”活动和社区医院建设工作，2023年力争2家基层医疗卫生机构达到推荐标准。通过乡聘村用、家庭医生下沉等方式，提升村级诊疗能力。2023年</w:t>
      </w:r>
      <w:r>
        <w:rPr>
          <w:rFonts w:hint="default" w:ascii="Times New Roman" w:hAnsi="Times New Roman" w:eastAsia="仿宋_GB2312" w:cs="Times New Roman"/>
          <w:color w:val="auto"/>
          <w:sz w:val="32"/>
          <w:szCs w:val="32"/>
          <w:shd w:val="clear" w:color="auto" w:fill="FFFFFF"/>
          <w:lang w:val="zh-TW" w:eastAsia="zh-TW"/>
        </w:rPr>
        <w:t>试点</w:t>
      </w:r>
      <w:r>
        <w:rPr>
          <w:rFonts w:hint="default" w:ascii="Times New Roman" w:hAnsi="Times New Roman" w:eastAsia="仿宋_GB2312" w:cs="Times New Roman"/>
          <w:color w:val="auto"/>
          <w:sz w:val="32"/>
          <w:szCs w:val="32"/>
          <w:shd w:val="clear" w:color="auto" w:fill="FFFFFF"/>
          <w:lang w:val="en-US" w:eastAsia="zh-CN"/>
        </w:rPr>
        <w:t>首批</w:t>
      </w:r>
      <w:r>
        <w:rPr>
          <w:rFonts w:hint="default" w:ascii="Times New Roman" w:hAnsi="Times New Roman" w:eastAsia="仿宋_GB2312" w:cs="Times New Roman"/>
          <w:color w:val="auto"/>
          <w:sz w:val="32"/>
          <w:szCs w:val="32"/>
          <w:shd w:val="clear" w:color="auto" w:fill="FFFFFF"/>
          <w:lang w:val="zh-TW" w:eastAsia="zh-TW"/>
        </w:rPr>
        <w:t>推进5个村卫生室实施规范化标准化建设</w:t>
      </w:r>
      <w:r>
        <w:rPr>
          <w:rFonts w:hint="default" w:ascii="Times New Roman" w:hAnsi="Times New Roman" w:eastAsia="仿宋_GB2312" w:cs="Times New Roman"/>
          <w:color w:val="auto"/>
          <w:sz w:val="32"/>
          <w:szCs w:val="32"/>
          <w:shd w:val="clear" w:color="auto" w:fill="FFFFFF"/>
          <w:lang w:val="zh-TW" w:eastAsia="zh-CN"/>
        </w:rPr>
        <w:t>，</w:t>
      </w:r>
      <w:r>
        <w:rPr>
          <w:rFonts w:hint="default" w:ascii="Times New Roman" w:hAnsi="Times New Roman" w:eastAsia="仿宋_GB2312" w:cs="Times New Roman"/>
          <w:color w:val="auto"/>
          <w:sz w:val="32"/>
          <w:szCs w:val="32"/>
          <w:shd w:val="clear" w:color="auto" w:fill="FFFFFF"/>
          <w:lang w:val="en-US" w:eastAsia="zh-CN"/>
        </w:rPr>
        <w:t>力争2025年达40个以上且布局均衡合理。</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71" w:name="_Toc6551_WPSOffice_Level2"/>
      <w:r>
        <w:rPr>
          <w:rFonts w:hint="default" w:ascii="Times New Roman" w:hAnsi="Times New Roman" w:eastAsia="楷体_GB2312" w:cs="Times New Roman"/>
          <w:color w:val="auto"/>
          <w:kern w:val="0"/>
          <w:sz w:val="32"/>
          <w:szCs w:val="32"/>
          <w:lang w:bidi="ar"/>
        </w:rPr>
        <w:t>第三节 推动非公立医疗机构错位发展</w:t>
      </w:r>
      <w:bookmarkEnd w:id="71"/>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非公立医疗机构主要提供基本医疗服务、高端服务、康复医疗和老年护理等医疗服务，是公立医疗机构医疗服务体系的重要补充。</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一、支持非公立医疗机构规范发展</w:t>
      </w:r>
    </w:p>
    <w:p>
      <w:pPr>
        <w:pStyle w:val="19"/>
        <w:keepNext w:val="0"/>
        <w:keepLines w:val="0"/>
        <w:pageBreakBefore w:val="0"/>
        <w:kinsoku/>
        <w:wordWrap/>
        <w:topLinePunct w:val="0"/>
        <w:autoSpaceDE/>
        <w:autoSpaceDN/>
        <w:bidi w:val="0"/>
        <w:snapToGrid w:val="0"/>
        <w:spacing w:after="0" w:line="600" w:lineRule="exact"/>
        <w:ind w:left="0" w:leftChars="0" w:firstLine="64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积极鼓励非公立医疗机构通过创建医院等级，不断加强科学化管理，提升医院医疗质量和医疗安全水平。支持非公立医疗机构参加社会组织并担任学术职务，强化非公立医疗机构投资人、院长和经营管理者进行职业化培训。鼓励非公立医疗机构结合医院实际，大力开展特色医疗，促进技术人才队伍长效管理机制建立，加强重点专科建设，积极创建</w:t>
      </w:r>
      <w:r>
        <w:rPr>
          <w:rFonts w:hint="default" w:ascii="Times New Roman" w:hAnsi="Times New Roman" w:eastAsia="仿宋_GB2312" w:cs="Times New Roman"/>
          <w:color w:val="auto"/>
          <w:kern w:val="0"/>
          <w:sz w:val="32"/>
          <w:szCs w:val="32"/>
          <w:lang w:eastAsia="zh-CN" w:bidi="ar"/>
        </w:rPr>
        <w:t>市级</w:t>
      </w:r>
      <w:r>
        <w:rPr>
          <w:rFonts w:hint="default" w:ascii="Times New Roman" w:hAnsi="Times New Roman" w:eastAsia="仿宋_GB2312" w:cs="Times New Roman"/>
          <w:color w:val="auto"/>
          <w:kern w:val="0"/>
          <w:sz w:val="32"/>
          <w:szCs w:val="32"/>
          <w:lang w:bidi="ar"/>
        </w:rPr>
        <w:t>重点专科6个</w:t>
      </w:r>
      <w:r>
        <w:rPr>
          <w:rFonts w:hint="default" w:ascii="Times New Roman" w:hAnsi="Times New Roman" w:eastAsia="仿宋_GB2312" w:cs="Times New Roman"/>
          <w:color w:val="auto"/>
          <w:kern w:val="0"/>
          <w:sz w:val="32"/>
          <w:szCs w:val="32"/>
          <w:lang w:eastAsia="zh-CN" w:bidi="ar"/>
        </w:rPr>
        <w:t>、县级重点专科</w:t>
      </w:r>
      <w:r>
        <w:rPr>
          <w:rFonts w:hint="default" w:ascii="Times New Roman" w:hAnsi="Times New Roman" w:eastAsia="仿宋_GB2312" w:cs="Times New Roman"/>
          <w:color w:val="auto"/>
          <w:kern w:val="0"/>
          <w:sz w:val="32"/>
          <w:szCs w:val="32"/>
          <w:lang w:val="en-US" w:eastAsia="zh-CN" w:bidi="ar"/>
        </w:rPr>
        <w:t>6个</w:t>
      </w:r>
      <w:r>
        <w:rPr>
          <w:rFonts w:hint="default" w:ascii="Times New Roman" w:hAnsi="Times New Roman" w:eastAsia="仿宋_GB2312" w:cs="Times New Roman"/>
          <w:color w:val="auto"/>
          <w:kern w:val="0"/>
          <w:sz w:val="32"/>
          <w:szCs w:val="32"/>
          <w:lang w:bidi="ar"/>
        </w:rPr>
        <w:t>。</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二、促进多种模式发展社会办医</w:t>
      </w:r>
    </w:p>
    <w:p>
      <w:pPr>
        <w:pStyle w:val="19"/>
        <w:keepNext w:val="0"/>
        <w:keepLines w:val="0"/>
        <w:pageBreakBefore w:val="0"/>
        <w:kinsoku/>
        <w:wordWrap/>
        <w:topLinePunct w:val="0"/>
        <w:autoSpaceDE/>
        <w:autoSpaceDN/>
        <w:bidi w:val="0"/>
        <w:snapToGrid w:val="0"/>
        <w:spacing w:after="0" w:line="600" w:lineRule="exact"/>
        <w:ind w:left="0" w:leftChars="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着力简化社会办医审批流程，取消对社会办医疗机构的具体数量和类别等限制，优先设置非营利性和资源稀缺的专科医疗机构，在医疗资源薄弱区域和</w:t>
      </w:r>
      <w:r>
        <w:rPr>
          <w:rFonts w:hint="default" w:ascii="Times New Roman" w:hAnsi="Times New Roman" w:eastAsia="仿宋_GB2312" w:cs="Times New Roman"/>
          <w:color w:val="auto"/>
          <w:kern w:val="0"/>
          <w:sz w:val="32"/>
          <w:szCs w:val="32"/>
          <w:lang w:bidi="ar"/>
        </w:rPr>
        <w:t>妇产、儿科、精神、肿瘤、眼科、口腔、骨科、医疗美容、中医、康复、护理、医养结合、体检等</w:t>
      </w:r>
      <w:r>
        <w:rPr>
          <w:rFonts w:hint="default" w:ascii="Times New Roman" w:hAnsi="Times New Roman" w:eastAsia="仿宋_GB2312" w:cs="Times New Roman"/>
          <w:color w:val="auto"/>
          <w:sz w:val="32"/>
          <w:szCs w:val="32"/>
        </w:rPr>
        <w:t>短缺领域举办非营利性医疗机构。通过民办公助、公建民营、合资合作等方式优先支持社会资本举办非营利性医疗机构，加快形成以非营利性医疗机构为主体、营利性医疗机构为补充的社会办医体系。</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三、促进诊所发展</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诊所设置不受规划布局限制，实行备案制管理。单位或者个人设置诊所应当报拟设置诊所所在地县级卫生健康行政部门或中医药主管部门备案，取得诊所备案凭证后即可开展执业活动。鼓励取得执业医师资格且经注册后在医疗卫生机构执业满5年的医师按规定全职或兼职开办诊所。鼓励符合条件的全科医师或加注全科医师执业范围的专科医师全职或兼职开办全科诊所。鼓励将诊所纳入医联体建设，鼓励以政府购买服务的方式引导诊所提供基本医疗卫生服务。县级卫生健康行政部门和中医药主管部门应当加强对诊所执业活动、医疗质量、医疗安全等情况的监督管理，利用信息化、大数据等手段提升监管效能，将诊所纳入本地医疗质量管理控制体系，确保医疗质量安全。诊所应当与备案机关所在地诊所信息化监管平台对接，及时上传执业活动等相关信息，主动接受监督。</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jc w:val="center"/>
        <w:textAlignment w:val="auto"/>
        <w:rPr>
          <w:rFonts w:hint="default" w:ascii="Times New Roman" w:hAnsi="Times New Roman" w:eastAsia="楷体_GB2312" w:cs="Times New Roman"/>
          <w:color w:val="auto"/>
          <w:kern w:val="0"/>
          <w:sz w:val="32"/>
          <w:szCs w:val="32"/>
          <w:lang w:bidi="ar"/>
        </w:rPr>
      </w:pPr>
      <w:bookmarkStart w:id="72" w:name="_Toc32750_WPSOffice_Level2"/>
      <w:r>
        <w:rPr>
          <w:rFonts w:hint="default" w:ascii="Times New Roman" w:hAnsi="Times New Roman" w:eastAsia="楷体_GB2312" w:cs="Times New Roman"/>
          <w:color w:val="auto"/>
          <w:kern w:val="0"/>
          <w:sz w:val="32"/>
          <w:szCs w:val="32"/>
          <w:lang w:bidi="ar"/>
        </w:rPr>
        <w:t>第四节 持续优化医疗卫生服务模式</w:t>
      </w:r>
      <w:bookmarkEnd w:id="72"/>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一、强化防治结合</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实施国家基本公共卫生服务项目和重大公共卫生服务项目，完善项目经费财政补助稳步增长机制，持续巩固和扩大服务面、优化服务内涵、提高服务质量，提高防治结合和健康管理服务水平。以高血压、</w:t>
      </w:r>
      <w:r>
        <w:rPr>
          <w:rFonts w:hint="default" w:ascii="Times New Roman" w:hAnsi="Times New Roman" w:eastAsia="仿宋_GB2312" w:cs="Times New Roman"/>
          <w:color w:val="auto"/>
          <w:kern w:val="0"/>
          <w:sz w:val="32"/>
          <w:szCs w:val="32"/>
          <w:lang w:val="en-US" w:eastAsia="zh-CN" w:bidi="ar"/>
        </w:rPr>
        <w:t>II</w:t>
      </w:r>
      <w:r>
        <w:rPr>
          <w:rFonts w:hint="default" w:ascii="Times New Roman" w:hAnsi="Times New Roman" w:eastAsia="仿宋_GB2312" w:cs="Times New Roman"/>
          <w:color w:val="auto"/>
          <w:kern w:val="0"/>
          <w:sz w:val="32"/>
          <w:szCs w:val="32"/>
          <w:lang w:bidi="ar"/>
        </w:rPr>
        <w:t>型糖尿病等慢性病管理为突破口推进基层医防融合，实施城乡社区慢病医防融合能力提升工程，推进基本公共卫生服务均等化、项目制度化。鼓励各地结合实际把受群众欢迎，与基层能力相适应、服务获得感强的项目纳入地方公共卫生服务项目。</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二、完善平急结合</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完善各级各类医疗卫生机构应对传染病疫情和突发公共卫生事件平急结合方案，完善应急状态下医疗卫生机构动员响应、区域联动和人员调集等机制。健全应急状态下保障基本医疗卫生服务的相关机制，保障急危重症患者、需要维持定期治疗的患者以及孕产妇、儿童等重点人群的基本医疗卫生服务。建立健全面向临床医师和护理人员的流行病学、传染病、医院感染等风险警觉意识教育和临床救治培训制度，提高设施、设备、人员“平急”转化能力。加强医疗机构相关救治设备和应急物资配置。</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三、推进分级诊疗</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落实各级各类医疗机构梯度功能定位，推动</w:t>
      </w:r>
      <w:r>
        <w:rPr>
          <w:rFonts w:hint="default" w:ascii="Times New Roman" w:hAnsi="Times New Roman" w:eastAsia="仿宋_GB2312" w:cs="Times New Roman"/>
          <w:color w:val="auto"/>
          <w:kern w:val="0"/>
          <w:sz w:val="32"/>
          <w:szCs w:val="32"/>
          <w:lang w:eastAsia="zh-CN" w:bidi="ar"/>
        </w:rPr>
        <w:t>县级医院高质量发展</w:t>
      </w:r>
      <w:r>
        <w:rPr>
          <w:rFonts w:hint="default" w:ascii="Times New Roman" w:hAnsi="Times New Roman" w:eastAsia="仿宋_GB2312" w:cs="Times New Roman"/>
          <w:color w:val="auto"/>
          <w:kern w:val="0"/>
          <w:sz w:val="32"/>
          <w:szCs w:val="32"/>
          <w:lang w:bidi="ar"/>
        </w:rPr>
        <w:t>，提升县域医疗服务能力，建立健全分级诊疗就医格局。</w:t>
      </w:r>
      <w:r>
        <w:rPr>
          <w:rFonts w:hint="default" w:ascii="Times New Roman" w:hAnsi="Times New Roman" w:eastAsia="仿宋_GB2312" w:cs="Times New Roman"/>
          <w:color w:val="auto"/>
          <w:kern w:val="0"/>
          <w:sz w:val="32"/>
          <w:szCs w:val="32"/>
          <w:lang w:eastAsia="zh-CN" w:bidi="ar"/>
        </w:rPr>
        <w:t>推进县域医共体建设</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sz w:val="32"/>
          <w:szCs w:val="32"/>
        </w:rPr>
        <w:t>加快推进县域医共体信息化建设，推动智慧医院、互联网医院建设。</w:t>
      </w:r>
      <w:r>
        <w:rPr>
          <w:rFonts w:hint="default" w:ascii="Times New Roman" w:hAnsi="Times New Roman" w:eastAsia="仿宋_GB2312" w:cs="Times New Roman"/>
          <w:color w:val="auto"/>
          <w:kern w:val="0"/>
          <w:sz w:val="32"/>
          <w:szCs w:val="32"/>
          <w:lang w:bidi="ar"/>
        </w:rPr>
        <w:t>完善家庭医生签约服务，建立以全科医生为主体、全科专科有效联动、医防有机融合的家庭医生签约服务模式。加强基本公共卫生服务与家庭医生签约服务的衔接。完善和丰富电子健康档案服务内容，优化面向个人开放的服务渠道和交互方式。优化急诊服务流程，加强慢性病患者规范化诊疗和管理。完善医保总额控制和差别化支付政策，引导群众科学理性就医。</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四、促进学科协作</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针对肿瘤、疑难复杂疾病、多系统多器官疾病等，建立病例讨论和联合查房制度，推动多学科联合诊疗。鼓励将麻醉、检验、影像、病理、药学等专业技术人员纳入多学科诊疗团队，探索心脏中心、神经中心、肿瘤中心等综合学科发展模式。持续推进胸痛中心、卒中中心、创伤中心、危重孕产妇救治中心、危重儿童和新生儿救治中心等急诊急救领域新型服务模式建设，为患者提供医疗救治绿色通道和一体化综合救治服务。鼓励医疗机构设置服务协调员，在患者诊疗过程中予以指导协助和跟踪管理，推行“一站式”服务。</w:t>
      </w:r>
    </w:p>
    <w:p>
      <w:pPr>
        <w:pStyle w:val="19"/>
        <w:keepNext w:val="0"/>
        <w:keepLines w:val="0"/>
        <w:pageBreakBefore w:val="0"/>
        <w:kinsoku/>
        <w:wordWrap/>
        <w:topLinePunct w:val="0"/>
        <w:autoSpaceDE/>
        <w:autoSpaceDN/>
        <w:bidi w:val="0"/>
        <w:spacing w:after="0" w:line="600" w:lineRule="exact"/>
        <w:ind w:left="0" w:leftChars="0" w:firstLine="420"/>
        <w:textAlignment w:val="auto"/>
        <w:rPr>
          <w:rFonts w:hint="default" w:ascii="Times New Roman" w:hAnsi="Times New Roman" w:eastAsia="仿宋_GB2312" w:cs="Times New Roman"/>
          <w:color w:val="auto"/>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0"/>
        <w:rPr>
          <w:rFonts w:hint="default" w:ascii="Times New Roman" w:hAnsi="Times New Roman" w:eastAsia="黑体" w:cs="Times New Roman"/>
          <w:color w:val="auto"/>
          <w:kern w:val="0"/>
          <w:sz w:val="32"/>
          <w:szCs w:val="32"/>
          <w:lang w:bidi="ar"/>
        </w:rPr>
      </w:pPr>
      <w:bookmarkStart w:id="73" w:name="_Toc24118_WPSOffice_Level1"/>
      <w:r>
        <w:rPr>
          <w:rFonts w:hint="default" w:ascii="Times New Roman" w:hAnsi="Times New Roman" w:eastAsia="黑体" w:cs="Times New Roman"/>
          <w:color w:val="auto"/>
          <w:kern w:val="0"/>
          <w:sz w:val="32"/>
          <w:szCs w:val="32"/>
          <w:lang w:bidi="ar"/>
        </w:rPr>
        <w:t>第五章 打造优质特色的中医药服务体系</w:t>
      </w:r>
      <w:bookmarkEnd w:id="73"/>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74" w:name="_Toc12918_WPSOffice_Level2"/>
      <w:r>
        <w:rPr>
          <w:rFonts w:hint="default" w:ascii="Times New Roman" w:hAnsi="Times New Roman" w:eastAsia="楷体_GB2312" w:cs="Times New Roman"/>
          <w:color w:val="auto"/>
          <w:kern w:val="0"/>
          <w:sz w:val="32"/>
          <w:szCs w:val="32"/>
          <w:lang w:bidi="ar"/>
        </w:rPr>
        <w:t>第一节 健全中医药服务体系</w:t>
      </w:r>
      <w:bookmarkEnd w:id="74"/>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一、加强公立中医医院建设</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充分发挥县中医医院牵头作用，补齐县中医医院建设短板，提升综合服务能力，打造县域中医医疗中心。强化中医医院以中医药服务为主的办院模式和服务功能，建立健全体现中医药特点的现代医院管理制度，健全评价和绩效考核制度。加强县中医医院能力建设，稳步提升三级乙等医院医疗服务水平，加快补齐短板，提升综合服务能力</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二、筑牢基层中医药服务网络</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大力实施中医药强基层“百千万行动”，针对基层中医医疗短板、弱项，有针对性的驻点开展坐诊、带教、查房、中医适宜技术推广。</w:t>
      </w:r>
      <w:r>
        <w:rPr>
          <w:rFonts w:hint="default" w:ascii="Times New Roman" w:hAnsi="Times New Roman" w:eastAsia="仿宋_GB2312" w:cs="Times New Roman"/>
          <w:color w:val="auto"/>
          <w:kern w:val="0"/>
          <w:sz w:val="32"/>
          <w:szCs w:val="32"/>
          <w:lang w:bidi="ar"/>
        </w:rPr>
        <w:t>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建制乡镇卫生院</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社区卫生服务中心</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中医馆覆盖率100%。加强中医药适宜技术推广基地建设，开展中医药适宜技术培训。深化社区卫生服务站和村卫生室“中医阁”建设。到2025年，全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建制乡镇卫生院（社区卫生服务中心）中医类别医师占本类机构医师总数比例不低于25%，100%的乡镇卫生院能够规范开展6类10项以上中医药适宜技术，85%的村卫生室（社区卫生服务站）能够规范开展4类6项以上中医药适宜技术。</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三、大力发展社会办中医</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落实社会办医支持政策，鼓励社会力量举办中医医疗机构。提升社会办中医质量，支持社会办中医医疗机构规模化、集团化、品牌化发展，广泛使用中医药适宜技术，提供融疾病预防、治疗、康复于一体的中医药服务。全面推进中医诊所备案制管理，实施传统中医诊所惠民行动。打造中医药服务10分钟可及圈。</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仿宋_GB2312" w:cs="Times New Roman"/>
          <w:color w:val="auto"/>
          <w:kern w:val="0"/>
          <w:sz w:val="32"/>
          <w:szCs w:val="32"/>
          <w:lang w:bidi="ar"/>
        </w:rPr>
      </w:pPr>
      <w:bookmarkStart w:id="75" w:name="_Toc135584087"/>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76" w:name="_Toc12071_WPSOffice_Level2"/>
      <w:r>
        <w:rPr>
          <w:rFonts w:hint="default" w:ascii="Times New Roman" w:hAnsi="Times New Roman" w:eastAsia="楷体_GB2312" w:cs="Times New Roman"/>
          <w:color w:val="auto"/>
          <w:kern w:val="0"/>
          <w:sz w:val="32"/>
          <w:szCs w:val="32"/>
          <w:lang w:bidi="ar"/>
        </w:rPr>
        <w:t xml:space="preserve">第二节 </w:t>
      </w:r>
      <w:bookmarkEnd w:id="75"/>
      <w:r>
        <w:rPr>
          <w:rFonts w:hint="default" w:ascii="Times New Roman" w:hAnsi="Times New Roman" w:eastAsia="楷体_GB2312" w:cs="Times New Roman"/>
          <w:color w:val="auto"/>
          <w:kern w:val="0"/>
          <w:sz w:val="32"/>
          <w:szCs w:val="32"/>
          <w:lang w:bidi="ar"/>
        </w:rPr>
        <w:t>促进中医药传承创新</w:t>
      </w:r>
      <w:bookmarkEnd w:id="76"/>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一、加强中医药特色专科建设</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发挥重点中医专科在诊疗中的特色优势，支持县中医医院提升中医诊疗服务能力。到2025年，力争创建1个省级中医重点专科、2个市级重点中医专科，不断拓展中医治疗优势病种、治疗方案和适宜技术。</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二、提升中医药防治重大疾病能力</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探索建立“病有专科、病有专人、病有专方、病有专药、病有专术”的中医药防治重大疾病模式。打造中医经典病房，研究制订并推广具有乐山特色和临床优势的中医优势病种诊疗方案，聚力提升中医药防治重大疾病的诊疗能力。</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eastAsia="zh-CN" w:bidi="ar"/>
        </w:rPr>
        <w:t>三</w:t>
      </w:r>
      <w:r>
        <w:rPr>
          <w:rFonts w:hint="default" w:ascii="Times New Roman" w:hAnsi="Times New Roman" w:eastAsia="黑体" w:cs="Times New Roman"/>
          <w:color w:val="auto"/>
          <w:kern w:val="0"/>
          <w:sz w:val="32"/>
          <w:szCs w:val="32"/>
          <w:lang w:bidi="ar"/>
        </w:rPr>
        <w:t>、加强中医药人才队伍建设</w:t>
      </w:r>
    </w:p>
    <w:p>
      <w:pPr>
        <w:keepNext w:val="0"/>
        <w:keepLines w:val="0"/>
        <w:pageBreakBefore w:val="0"/>
        <w:kinsoku/>
        <w:wordWrap/>
        <w:overflowPunct w:val="0"/>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加探索中医药高层次人才引进机制，鼓励县中医医院引进中医药高端人才和科研团队，加强中医药教学、科研、临床、产业、文化等类别优秀人才、骨干人才、紧缺人才和实用人才培养。完善中医药继续教育制度，积极开展中医医师全科转岗培训多途径提升中医药从业人员能力和技术水平。到2025年，培养</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0名以上中医药骨干，培训</w:t>
      </w:r>
      <w:r>
        <w:rPr>
          <w:rFonts w:hint="default" w:ascii="Times New Roman" w:hAnsi="Times New Roman" w:eastAsia="仿宋_GB2312" w:cs="Times New Roman"/>
          <w:bCs/>
          <w:color w:val="auto"/>
          <w:sz w:val="32"/>
          <w:szCs w:val="32"/>
          <w:lang w:val="en-US" w:eastAsia="zh-CN"/>
        </w:rPr>
        <w:t>10</w:t>
      </w:r>
      <w:r>
        <w:rPr>
          <w:rFonts w:hint="default" w:ascii="Times New Roman" w:hAnsi="Times New Roman" w:eastAsia="仿宋_GB2312" w:cs="Times New Roman"/>
          <w:bCs/>
          <w:color w:val="auto"/>
          <w:sz w:val="32"/>
          <w:szCs w:val="32"/>
        </w:rPr>
        <w:t>名中医全科医师、</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西学中</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60</w:t>
      </w:r>
      <w:r>
        <w:rPr>
          <w:rFonts w:hint="default" w:ascii="Times New Roman" w:hAnsi="Times New Roman" w:eastAsia="仿宋_GB2312" w:cs="Times New Roman"/>
          <w:bCs/>
          <w:color w:val="auto"/>
          <w:sz w:val="32"/>
          <w:szCs w:val="32"/>
        </w:rPr>
        <w:t>人，推动全</w:t>
      </w:r>
      <w:r>
        <w:rPr>
          <w:rFonts w:hint="default" w:ascii="Times New Roman" w:hAnsi="Times New Roman" w:eastAsia="仿宋_GB2312" w:cs="Times New Roman"/>
          <w:bCs/>
          <w:color w:val="auto"/>
          <w:sz w:val="32"/>
          <w:szCs w:val="32"/>
          <w:lang w:eastAsia="zh-CN"/>
        </w:rPr>
        <w:t>县</w:t>
      </w:r>
      <w:r>
        <w:rPr>
          <w:rFonts w:hint="default" w:ascii="Times New Roman" w:hAnsi="Times New Roman" w:eastAsia="仿宋_GB2312" w:cs="Times New Roman"/>
          <w:bCs/>
          <w:color w:val="auto"/>
          <w:sz w:val="32"/>
          <w:szCs w:val="32"/>
        </w:rPr>
        <w:t>中医药人才队伍整体素质和专业水平达到全</w:t>
      </w:r>
      <w:r>
        <w:rPr>
          <w:rFonts w:hint="default" w:ascii="Times New Roman" w:hAnsi="Times New Roman" w:eastAsia="仿宋_GB2312" w:cs="Times New Roman"/>
          <w:bCs/>
          <w:color w:val="auto"/>
          <w:sz w:val="32"/>
          <w:szCs w:val="32"/>
          <w:lang w:eastAsia="zh-CN"/>
        </w:rPr>
        <w:t>市</w:t>
      </w:r>
      <w:r>
        <w:rPr>
          <w:rFonts w:hint="default" w:ascii="Times New Roman" w:hAnsi="Times New Roman" w:eastAsia="仿宋_GB2312" w:cs="Times New Roman"/>
          <w:bCs/>
          <w:color w:val="auto"/>
          <w:sz w:val="32"/>
          <w:szCs w:val="32"/>
        </w:rPr>
        <w:t>前列。</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eastAsia="zh-CN" w:bidi="ar"/>
        </w:rPr>
        <w:t>四</w:t>
      </w:r>
      <w:r>
        <w:rPr>
          <w:rFonts w:hint="default" w:ascii="Times New Roman" w:hAnsi="Times New Roman" w:eastAsia="黑体" w:cs="Times New Roman"/>
          <w:color w:val="auto"/>
          <w:kern w:val="0"/>
          <w:sz w:val="32"/>
          <w:szCs w:val="32"/>
          <w:lang w:bidi="ar"/>
        </w:rPr>
        <w:t>、推进中医药信息化建设</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bCs/>
          <w:color w:val="auto"/>
          <w:sz w:val="32"/>
          <w:szCs w:val="32"/>
        </w:rPr>
        <w:t>加快补齐中医医疗机构信息化短板。推进中医医疗机构信息互联互通和业务协同，</w:t>
      </w:r>
      <w:r>
        <w:rPr>
          <w:rFonts w:hint="default" w:ascii="Times New Roman" w:hAnsi="Times New Roman" w:eastAsia="仿宋_GB2312" w:cs="Times New Roman"/>
          <w:bCs/>
          <w:color w:val="auto"/>
          <w:sz w:val="32"/>
          <w:szCs w:val="32"/>
          <w:lang w:eastAsia="zh-CN"/>
        </w:rPr>
        <w:t>县</w:t>
      </w:r>
      <w:r>
        <w:rPr>
          <w:rFonts w:hint="default" w:ascii="Times New Roman" w:hAnsi="Times New Roman" w:eastAsia="仿宋_GB2312" w:cs="Times New Roman"/>
          <w:bCs/>
          <w:color w:val="auto"/>
          <w:sz w:val="32"/>
          <w:szCs w:val="32"/>
        </w:rPr>
        <w:t>中医医院信息互联互通标准化成熟度测评达到四级水平。大力推进“一码就医”，完善便捷就医服务功能，</w:t>
      </w:r>
      <w:r>
        <w:rPr>
          <w:rFonts w:hint="default" w:ascii="Times New Roman" w:hAnsi="Times New Roman" w:eastAsia="仿宋_GB2312" w:cs="Times New Roman"/>
          <w:bCs/>
          <w:color w:val="auto"/>
          <w:sz w:val="32"/>
          <w:szCs w:val="32"/>
          <w:lang w:eastAsia="zh-CN"/>
        </w:rPr>
        <w:t>鼓励</w:t>
      </w:r>
      <w:r>
        <w:rPr>
          <w:rFonts w:hint="default" w:ascii="Times New Roman" w:hAnsi="Times New Roman" w:eastAsia="仿宋_GB2312" w:cs="Times New Roman"/>
          <w:bCs/>
          <w:color w:val="auto"/>
          <w:kern w:val="0"/>
          <w:sz w:val="32"/>
          <w:szCs w:val="32"/>
        </w:rPr>
        <w:t>有条件的基层医疗机构探索开展</w:t>
      </w:r>
      <w:r>
        <w:rPr>
          <w:rFonts w:hint="default" w:ascii="Times New Roman" w:hAnsi="Times New Roman" w:eastAsia="仿宋_GB2312" w:cs="Times New Roman"/>
          <w:bCs/>
          <w:color w:val="auto"/>
          <w:kern w:val="0"/>
          <w:sz w:val="32"/>
          <w:szCs w:val="32"/>
          <w:lang w:val="zh-CN"/>
        </w:rPr>
        <w:t>中医药诊疗设备、</w:t>
      </w:r>
      <w:r>
        <w:rPr>
          <w:rFonts w:hint="default" w:ascii="Times New Roman" w:hAnsi="Times New Roman" w:eastAsia="仿宋_GB2312" w:cs="Times New Roman"/>
          <w:bCs/>
          <w:color w:val="auto"/>
          <w:kern w:val="0"/>
          <w:sz w:val="32"/>
          <w:szCs w:val="32"/>
        </w:rPr>
        <w:t>智能中药房</w:t>
      </w:r>
      <w:r>
        <w:rPr>
          <w:rFonts w:hint="default" w:ascii="Times New Roman" w:hAnsi="Times New Roman" w:eastAsia="仿宋_GB2312" w:cs="Times New Roman"/>
          <w:bCs/>
          <w:color w:val="auto"/>
          <w:kern w:val="0"/>
          <w:sz w:val="32"/>
          <w:szCs w:val="32"/>
          <w:lang w:val="zh-CN"/>
        </w:rPr>
        <w:t>推广应用</w:t>
      </w:r>
      <w:r>
        <w:rPr>
          <w:rFonts w:hint="default" w:ascii="Times New Roman" w:hAnsi="Times New Roman" w:eastAsia="仿宋_GB2312" w:cs="Times New Roman"/>
          <w:bCs/>
          <w:color w:val="auto"/>
          <w:kern w:val="0"/>
          <w:sz w:val="32"/>
          <w:szCs w:val="32"/>
        </w:rPr>
        <w:t>试点</w:t>
      </w:r>
      <w:r>
        <w:rPr>
          <w:rFonts w:hint="default" w:ascii="Times New Roman" w:hAnsi="Times New Roman" w:eastAsia="仿宋_GB2312" w:cs="Times New Roman"/>
          <w:bCs/>
          <w:color w:val="auto"/>
          <w:kern w:val="0"/>
          <w:sz w:val="32"/>
          <w:szCs w:val="32"/>
          <w:lang w:val="zh-CN"/>
        </w:rPr>
        <w:t>。鼓励县中医医院建设互联网医院。</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eastAsia="zh-CN" w:bidi="ar"/>
        </w:rPr>
        <w:t>五</w:t>
      </w:r>
      <w:r>
        <w:rPr>
          <w:rFonts w:hint="default" w:ascii="Times New Roman" w:hAnsi="Times New Roman" w:eastAsia="黑体" w:cs="Times New Roman"/>
          <w:color w:val="auto"/>
          <w:kern w:val="0"/>
          <w:sz w:val="32"/>
          <w:szCs w:val="32"/>
          <w:lang w:bidi="ar"/>
        </w:rPr>
        <w:t>、加大医疗保障支持</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bCs/>
          <w:color w:val="auto"/>
          <w:sz w:val="32"/>
          <w:szCs w:val="32"/>
        </w:rPr>
        <w:t>推进中医药服务医保支付方式改革，探索中医DRG分组。根据卫生健康部门等相关部门发布的中医优势病种目录，探索按中医疗效价值付费。按规定将符合条件的养老机构内设中医医疗机构纳入医保定点范围。将符合条件的中医诊疗项目、中药饮片等按规定纳入门诊统筹支付，按照省医保局政策要求将符合条件的</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互联网+</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中医诊疗项目纳入医保支付范围，支持具有中医药特色的医养结合机构发展。</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0"/>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0"/>
        <w:rPr>
          <w:rFonts w:hint="default" w:ascii="Times New Roman" w:hAnsi="Times New Roman" w:eastAsia="黑体" w:cs="Times New Roman"/>
          <w:color w:val="auto"/>
          <w:kern w:val="0"/>
          <w:sz w:val="32"/>
          <w:szCs w:val="32"/>
          <w:lang w:bidi="ar"/>
        </w:rPr>
      </w:pPr>
      <w:bookmarkStart w:id="77" w:name="_Toc12134_WPSOffice_Level1"/>
      <w:r>
        <w:rPr>
          <w:rFonts w:hint="default" w:ascii="Times New Roman" w:hAnsi="Times New Roman" w:eastAsia="黑体" w:cs="Times New Roman"/>
          <w:color w:val="auto"/>
          <w:kern w:val="0"/>
          <w:sz w:val="32"/>
          <w:szCs w:val="32"/>
          <w:lang w:bidi="ar"/>
        </w:rPr>
        <w:t>第六章 建立全方位全周期健康服务体系</w:t>
      </w:r>
      <w:bookmarkEnd w:id="77"/>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78" w:name="_Toc28005_WPSOffice_Level2"/>
      <w:r>
        <w:rPr>
          <w:rFonts w:hint="default" w:ascii="Times New Roman" w:hAnsi="Times New Roman" w:eastAsia="楷体_GB2312" w:cs="Times New Roman"/>
          <w:color w:val="auto"/>
          <w:kern w:val="0"/>
          <w:sz w:val="32"/>
          <w:szCs w:val="32"/>
          <w:lang w:bidi="ar"/>
        </w:rPr>
        <w:t>第一节 健全完善妇幼健康服务体系</w:t>
      </w:r>
      <w:bookmarkEnd w:id="78"/>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一、加强妇幼健康体系建设</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推进妇幼保健机构提档升级，全面启动妇幼保健机构绩效考核工作，并加强考核结果运用，促进妇幼保健机构健康可持续发展。加强县危急重症孕产妇和新生儿救治中心建设，</w:t>
      </w:r>
      <w:r>
        <w:rPr>
          <w:rFonts w:hint="default"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bidi="ar"/>
        </w:rPr>
        <w:t>公立妇幼保健机构纳入</w:t>
      </w:r>
      <w:r>
        <w:rPr>
          <w:rFonts w:hint="default" w:ascii="Times New Roman" w:hAnsi="Times New Roman" w:eastAsia="仿宋_GB2312" w:cs="Times New Roman"/>
          <w:color w:val="auto"/>
          <w:kern w:val="0"/>
          <w:sz w:val="32"/>
          <w:szCs w:val="32"/>
          <w:lang w:val="en-US" w:eastAsia="zh-CN" w:bidi="ar"/>
        </w:rPr>
        <w:t>全市</w:t>
      </w:r>
      <w:r>
        <w:rPr>
          <w:rFonts w:hint="default" w:ascii="Times New Roman" w:hAnsi="Times New Roman" w:eastAsia="仿宋_GB2312" w:cs="Times New Roman"/>
          <w:color w:val="auto"/>
          <w:kern w:val="0"/>
          <w:sz w:val="32"/>
          <w:szCs w:val="32"/>
          <w:lang w:bidi="ar"/>
        </w:rPr>
        <w:t>120院前急救体系。</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二、大力实施母婴安全提升行动计划</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严格落实母婴安全五项制度，巩固提升母婴安全水平。规范各助产机构产科技术服务，组织开展孕产妇和新生儿死亡评审、孕产妇危重症评审、探索开展高危孕产妇评审，开展助产技术培训、产儿科适宜技术培训，提高产儿科急救能力。</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三、巩固爱婴医院创建和管理成果</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促进自然分娩和母乳喂养，提高0</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6个月婴儿纯母乳喂养率，降低儿童低体重率，医疗机构剖宫产率逐步下降。加强出生缺陷综合防治，对标四川省设置方案加强</w:t>
      </w:r>
      <w:r>
        <w:rPr>
          <w:rFonts w:hint="default" w:ascii="Times New Roman" w:hAnsi="Times New Roman" w:eastAsia="仿宋_GB2312" w:cs="Times New Roman"/>
          <w:color w:val="auto"/>
          <w:sz w:val="32"/>
          <w:szCs w:val="32"/>
        </w:rPr>
        <w:t>产前筛查机构</w:t>
      </w:r>
      <w:r>
        <w:rPr>
          <w:rFonts w:hint="default" w:ascii="Times New Roman" w:hAnsi="Times New Roman" w:eastAsia="仿宋_GB2312" w:cs="Times New Roman"/>
          <w:color w:val="auto"/>
          <w:kern w:val="0"/>
          <w:sz w:val="32"/>
          <w:szCs w:val="32"/>
          <w:lang w:bidi="ar"/>
        </w:rPr>
        <w:t>建设，规范开展出生缺陷防治管理。</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四、加快产前筛查、产前诊断机构能力建设</w:t>
      </w:r>
    </w:p>
    <w:p>
      <w:pPr>
        <w:keepNext w:val="0"/>
        <w:keepLines w:val="0"/>
        <w:pageBreakBefore w:val="0"/>
        <w:widowControl/>
        <w:kinsoku/>
        <w:wordWrap/>
        <w:topLinePunct w:val="0"/>
        <w:autoSpaceDE/>
        <w:autoSpaceDN/>
        <w:bidi w:val="0"/>
        <w:adjustRightInd w:val="0"/>
        <w:snapToGrid w:val="0"/>
        <w:spacing w:line="600" w:lineRule="exact"/>
        <w:ind w:left="0" w:leftChars="0" w:firstLine="632"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pacing w:val="-2"/>
          <w:sz w:val="32"/>
          <w:szCs w:val="32"/>
        </w:rPr>
        <w:t>加强和</w:t>
      </w:r>
      <w:r>
        <w:rPr>
          <w:rFonts w:hint="default" w:ascii="Times New Roman" w:hAnsi="Times New Roman" w:eastAsia="仿宋_GB2312" w:cs="Times New Roman"/>
          <w:color w:val="auto"/>
          <w:sz w:val="32"/>
          <w:szCs w:val="32"/>
        </w:rPr>
        <w:t>规范产筛、新筛、听筛等筛查项目，提高出生人口素质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lang w:bidi="ar"/>
        </w:rPr>
        <w:t>到2025年，孕前优生健康检查目标人群覆盖率达到99%以上，婚检率达到90%以上，产前筛查率达到73%以上，新生儿遗传代谢性疾病（四病）筛查率达到98%以上，新生儿多种遗传代谢性疾病筛查率达到35%，新生儿听力筛查率达到98%以上。</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五、做好国家重大公共卫生妇幼专项</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继续实施农村妇女“两癌”免费检查、自愿免费婚前医学检查、免费孕前优生健康检查、农村育龄妇女增补叶酸预防神经管缺陷、地中海贫血防控等项目。预防艾滋病、梅毒、乙肝母婴传播，规范提供预防母婴传播干预服务，逐步降低母婴传播率。</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79" w:name="_Toc554_WPSOffice_Level2"/>
      <w:r>
        <w:rPr>
          <w:rFonts w:hint="default" w:ascii="Times New Roman" w:hAnsi="Times New Roman" w:eastAsia="楷体_GB2312" w:cs="Times New Roman"/>
          <w:color w:val="auto"/>
          <w:kern w:val="0"/>
          <w:sz w:val="32"/>
          <w:szCs w:val="32"/>
          <w:lang w:bidi="ar"/>
        </w:rPr>
        <w:t>第二节 加快发展人口家庭服务管理体系</w:t>
      </w:r>
      <w:bookmarkEnd w:id="79"/>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一、加快完善生育支持政策</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强化人口监测和形势分析</w:t>
      </w:r>
      <w:r>
        <w:rPr>
          <w:rFonts w:hint="default" w:ascii="Times New Roman" w:hAnsi="Times New Roman" w:eastAsia="仿宋_GB2312" w:cs="Times New Roman"/>
          <w:color w:val="auto"/>
          <w:kern w:val="0"/>
          <w:sz w:val="32"/>
          <w:szCs w:val="32"/>
          <w:lang w:val="en" w:bidi="ar"/>
        </w:rPr>
        <w:t>,</w:t>
      </w:r>
      <w:r>
        <w:rPr>
          <w:rFonts w:hint="default" w:ascii="Times New Roman" w:hAnsi="Times New Roman" w:eastAsia="仿宋_GB2312" w:cs="Times New Roman"/>
          <w:color w:val="auto"/>
          <w:kern w:val="0"/>
          <w:sz w:val="32"/>
          <w:szCs w:val="32"/>
          <w:lang w:bidi="ar"/>
        </w:rPr>
        <w:t>稳步推进全员人口信息应用管理。依法组织实施三孩生育政策，落实产假、生育保险、生育津贴等政策措施，降低生育、养育、教育成本，引导全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生育水平提升并稳定在适度区间。</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二、做优做实计生特殊家庭扶助关怀</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继续实施计划生育家庭奖励扶助制度和特别扶助制度，加大对计生特殊困难家庭帮扶关怀力度，建设计划生育特殊家庭活动阵地“暖心家园”，开展计划生育特殊家庭住院护理补贴保险，缓解计生特殊家庭的生活照料、养老保障、大病治疗和精神慰藉等困难。</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三、大力推进普惠托育发展</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推进普惠性婴幼儿照护服务机构建设，支持社会力量开展普惠托育服务，</w:t>
      </w:r>
      <w:r>
        <w:rPr>
          <w:rFonts w:hint="default" w:ascii="Times New Roman" w:hAnsi="Times New Roman" w:eastAsia="仿宋_GB2312" w:cs="Times New Roman"/>
          <w:color w:val="auto"/>
          <w:sz w:val="32"/>
          <w:szCs w:val="32"/>
        </w:rPr>
        <w:t>到2025年，</w:t>
      </w:r>
      <w:r>
        <w:rPr>
          <w:rFonts w:hint="default" w:ascii="Times New Roman" w:hAnsi="Times New Roman" w:eastAsia="仿宋_GB2312" w:cs="Times New Roman"/>
          <w:color w:val="auto"/>
          <w:sz w:val="32"/>
          <w:szCs w:val="32"/>
          <w:lang w:eastAsia="zh-CN"/>
        </w:rPr>
        <w:t>力争</w:t>
      </w:r>
      <w:r>
        <w:rPr>
          <w:rFonts w:hint="default" w:ascii="Times New Roman" w:hAnsi="Times New Roman" w:eastAsia="仿宋_GB2312" w:cs="Times New Roman"/>
          <w:color w:val="auto"/>
          <w:sz w:val="32"/>
          <w:szCs w:val="32"/>
        </w:rPr>
        <w:t>建成1个示范性普惠托育中心</w:t>
      </w:r>
      <w:r>
        <w:rPr>
          <w:rFonts w:hint="default" w:ascii="Times New Roman" w:hAnsi="Times New Roman" w:eastAsia="仿宋_GB2312" w:cs="Times New Roman"/>
          <w:color w:val="auto"/>
          <w:kern w:val="0"/>
          <w:sz w:val="32"/>
          <w:szCs w:val="32"/>
          <w:lang w:bidi="ar"/>
        </w:rPr>
        <w:t>，每千人口拥有三岁以下婴幼儿托位数达到4.5个。</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80" w:name="_Toc20495_WPSOffice_Level2"/>
      <w:r>
        <w:rPr>
          <w:rFonts w:hint="default" w:ascii="Times New Roman" w:hAnsi="Times New Roman" w:eastAsia="楷体_GB2312" w:cs="Times New Roman"/>
          <w:color w:val="auto"/>
          <w:kern w:val="0"/>
          <w:sz w:val="32"/>
          <w:szCs w:val="32"/>
          <w:lang w:bidi="ar"/>
        </w:rPr>
        <w:t>第三节 完善老年卫生健康服务体系</w:t>
      </w:r>
      <w:bookmarkEnd w:id="80"/>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一、完善老年健康服务体系</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推动老年健康服务机构数量明显增加，服务质量明显提升，服务队伍更加壮大，服务资源配置更趋合理，综合连续、覆盖城乡的老年健康服务体系基本建立，老年人的健康服务需求得到基本满足。持续推进老年医院建设，加强二级以上综合性医院老年医学科建设，二级及以上综合性医院设立老年医学科的比例达到65%。鼓励</w:t>
      </w:r>
      <w:r>
        <w:rPr>
          <w:rFonts w:hint="default" w:ascii="Times New Roman" w:hAnsi="Times New Roman" w:eastAsia="仿宋_GB2312" w:cs="Times New Roman"/>
          <w:color w:val="auto"/>
          <w:kern w:val="0"/>
          <w:sz w:val="32"/>
          <w:szCs w:val="32"/>
          <w:lang w:eastAsia="zh-CN" w:bidi="ar"/>
        </w:rPr>
        <w:t>具备条件的</w:t>
      </w:r>
      <w:r>
        <w:rPr>
          <w:rFonts w:hint="default" w:ascii="Times New Roman" w:hAnsi="Times New Roman" w:eastAsia="仿宋_GB2312" w:cs="Times New Roman"/>
          <w:color w:val="auto"/>
          <w:kern w:val="0"/>
          <w:sz w:val="32"/>
          <w:szCs w:val="32"/>
          <w:lang w:bidi="ar"/>
        </w:rPr>
        <w:t>部分公立医疗机构转型为康复医院、护理院。推动基层医疗机构医养结合服务能力项目建设，提高基层医疗卫生机构的康复、护理床位占比，为居家养老提供全面的医疗保障。鼓励社会力量参与举办老年医院、康复医院、护理院等老年健康服务机构，为老年人提供多层次、多元化老年健康服务。</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二、加强老年健康教育和预防保健</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开发老年健康教育科普视频、遴选推广老年健康服务适宜技术。实施老年人群营养改善行动，每年至少开展一次老年健康宣传活动。实施老年人失能(智)预防与干预项目，加强老年期痴呆的预防与干预、开展老年人心理健康与关怀服务。加强老年健康服务人才培养，为社会输入更多的老年健康专业技术人才。创新老年健康服务，鼓励有条件的医疗卫生机构根据功能和定位，按照“充分知情、自愿选择”的原则开展安宁疗护服务。推进医养结合，鼓励二级以上医疗机构提供健康养老服务，支持养老机构与医疗服务机构合作，探索中医药与医养结合发展。推动二级以上综合医院与养老机构组建医疗养老联合体，支持乡镇卫生院（社区卫生服务中心）建设医养结合服务中心。推广适老智能服务，解决老年人在医疗机构运用智能技术困难问题，所有县级以上医疗机构建立双向转诊绿色通道。构建促进老年人健康的社会环境，到2025年，所有的二级以上综合性医院、基层医疗机构、护理院、康复院100%创建为老年友善医疗机构。</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81" w:name="_Toc4533_WPSOffice_Level2"/>
      <w:r>
        <w:rPr>
          <w:rFonts w:hint="default" w:ascii="Times New Roman" w:hAnsi="Times New Roman" w:eastAsia="楷体_GB2312" w:cs="Times New Roman"/>
          <w:color w:val="auto"/>
          <w:kern w:val="0"/>
          <w:sz w:val="32"/>
          <w:szCs w:val="32"/>
          <w:lang w:bidi="ar"/>
        </w:rPr>
        <w:t>第四节 建成职业健康技术支撑体系</w:t>
      </w:r>
      <w:bookmarkEnd w:id="81"/>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一、推进实施职业健康保护专项行动</w:t>
      </w:r>
    </w:p>
    <w:p>
      <w:pPr>
        <w:pStyle w:val="28"/>
        <w:keepNext w:val="0"/>
        <w:keepLines w:val="0"/>
        <w:pageBreakBefore w:val="0"/>
        <w:kinsoku/>
        <w:wordWrap/>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到2025年，纳入治理范围的用人单位职业病危害项目申报率、职业病危害因素定期检测率、接触职业病危害的劳动者在岗期间职业健康检查率、主要负责人和职业健康管理人员培训率达到98%以上。实现接触粉尘工龄不足5年的劳动者新发职业性尘肺病报告例数占年度职业性尘肺病报告总例数的比例明显下降。全面开展“健康企业”建设。</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二、加强职业健康监管和技术服务体系建设</w:t>
      </w:r>
    </w:p>
    <w:p>
      <w:pPr>
        <w:pStyle w:val="28"/>
        <w:keepNext w:val="0"/>
        <w:keepLines w:val="0"/>
        <w:pageBreakBefore w:val="0"/>
        <w:kinsoku/>
        <w:wordWrap/>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加大监管和违法案件查处力度。加强</w:t>
      </w:r>
      <w:r>
        <w:rPr>
          <w:rFonts w:hint="default" w:ascii="Times New Roman" w:hAnsi="Times New Roman" w:eastAsia="仿宋_GB2312" w:cs="Times New Roman"/>
          <w:color w:val="auto"/>
          <w:sz w:val="32"/>
          <w:szCs w:val="32"/>
          <w:lang w:eastAsia="zh-CN" w:bidi="ar"/>
        </w:rPr>
        <w:t>县</w:t>
      </w:r>
      <w:r>
        <w:rPr>
          <w:rFonts w:hint="default" w:ascii="Times New Roman" w:hAnsi="Times New Roman" w:eastAsia="仿宋_GB2312" w:cs="Times New Roman"/>
          <w:color w:val="auto"/>
          <w:sz w:val="32"/>
          <w:szCs w:val="32"/>
          <w:lang w:bidi="ar"/>
        </w:rPr>
        <w:t>疾病预防控制中心等</w:t>
      </w:r>
      <w:r>
        <w:rPr>
          <w:rFonts w:hint="default" w:ascii="Times New Roman" w:hAnsi="Times New Roman" w:eastAsia="仿宋_GB2312" w:cs="Times New Roman"/>
          <w:color w:val="auto"/>
          <w:sz w:val="32"/>
          <w:szCs w:val="32"/>
          <w:lang w:eastAsia="zh-CN" w:bidi="ar"/>
        </w:rPr>
        <w:t>县</w:t>
      </w:r>
      <w:r>
        <w:rPr>
          <w:rFonts w:hint="default" w:ascii="Times New Roman" w:hAnsi="Times New Roman" w:eastAsia="仿宋_GB2312" w:cs="Times New Roman"/>
          <w:color w:val="auto"/>
          <w:sz w:val="32"/>
          <w:szCs w:val="32"/>
          <w:lang w:bidi="ar"/>
        </w:rPr>
        <w:t>级职业病防治技术支撑机构能力建设，依托县疾控中心建立全</w:t>
      </w:r>
      <w:r>
        <w:rPr>
          <w:rFonts w:hint="default" w:ascii="Times New Roman" w:hAnsi="Times New Roman" w:eastAsia="仿宋_GB2312" w:cs="Times New Roman"/>
          <w:color w:val="auto"/>
          <w:sz w:val="32"/>
          <w:szCs w:val="32"/>
          <w:lang w:eastAsia="zh-CN" w:bidi="ar"/>
        </w:rPr>
        <w:t>县</w:t>
      </w:r>
      <w:r>
        <w:rPr>
          <w:rFonts w:hint="default" w:ascii="Times New Roman" w:hAnsi="Times New Roman" w:eastAsia="仿宋_GB2312" w:cs="Times New Roman"/>
          <w:color w:val="auto"/>
          <w:sz w:val="32"/>
          <w:szCs w:val="32"/>
          <w:lang w:bidi="ar"/>
        </w:rPr>
        <w:t>职业病监测评估体系。</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center"/>
        <w:textAlignment w:val="auto"/>
        <w:outlineLvl w:val="1"/>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center"/>
        <w:textAlignment w:val="auto"/>
        <w:outlineLvl w:val="1"/>
        <w:rPr>
          <w:rFonts w:hint="default" w:ascii="Times New Roman" w:hAnsi="Times New Roman" w:eastAsia="楷体_GB2312" w:cs="Times New Roman"/>
          <w:color w:val="auto"/>
          <w:kern w:val="0"/>
          <w:sz w:val="32"/>
          <w:szCs w:val="32"/>
          <w:lang w:bidi="ar"/>
        </w:rPr>
      </w:pPr>
      <w:bookmarkStart w:id="82" w:name="_Toc6896_WPSOffice_Level2"/>
      <w:r>
        <w:rPr>
          <w:rFonts w:hint="default" w:ascii="Times New Roman" w:hAnsi="Times New Roman" w:eastAsia="楷体_GB2312" w:cs="Times New Roman"/>
          <w:color w:val="auto"/>
          <w:kern w:val="0"/>
          <w:sz w:val="32"/>
          <w:szCs w:val="32"/>
          <w:lang w:bidi="ar"/>
        </w:rPr>
        <w:t>第五节 加强健康促进与教育体系建设</w:t>
      </w:r>
      <w:bookmarkEnd w:id="82"/>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一、推进健康生活方式</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持续推进全民健康生活方式行动，倡导“三减三健”、引导群众养成手卫生、个人防护等健康生活方式，倡导树立珍惜食物的意识和均衡、适量的饮食习惯。依托医疗机构、公卫机构、学校、机关、社区、企事业单位，建设健康科普宣传教育基地</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推动各级各类媒体办好健康科普节目和栏目，推动“互联网+健康科普”，实施公交、商场、广场等户外健康知识宣传。实施国民营养计划和合理膳食行动。健全居民营养监测制度，强化重点区域、重点人群营养干预。全面推进控烟履约，深入开展控烟宣传教育，大力推进无烟环境建设，倡导无烟家庭、无烟学校、无烟医院和无烟党政机关。持续推进控烟成效，强化戒烟服务，</w:t>
      </w:r>
      <w:r>
        <w:rPr>
          <w:rFonts w:hint="default" w:ascii="Times New Roman" w:hAnsi="Times New Roman" w:eastAsia="仿宋_GB2312" w:cs="Times New Roman"/>
          <w:color w:val="000000" w:themeColor="text1"/>
          <w:sz w:val="32"/>
          <w:szCs w:val="32"/>
          <w14:textFill>
            <w14:solidFill>
              <w14:schemeClr w14:val="tx1"/>
            </w14:solidFill>
          </w14:textFill>
        </w:rPr>
        <w:t>到2025年，创建不少于1家戒烟门诊，每家戒烟门诊每年干预人数不少于50例。</w:t>
      </w:r>
      <w:r>
        <w:rPr>
          <w:rFonts w:hint="default" w:ascii="Times New Roman" w:hAnsi="Times New Roman" w:eastAsia="仿宋_GB2312" w:cs="Times New Roman"/>
          <w:color w:val="auto"/>
          <w:kern w:val="0"/>
          <w:sz w:val="32"/>
          <w:szCs w:val="32"/>
          <w:lang w:bidi="ar"/>
        </w:rPr>
        <w:t>控制酒精过度使用，减少酗酒。推动全民健身和全民健康深度融合，实施特殊人群体质健康干预计划，加强体医融合和非医疗健康干预，建立完善运动处方库，推进处方应用。</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二、加强社会健康管理</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color w:val="auto"/>
          <w:kern w:val="0"/>
          <w:sz w:val="32"/>
          <w:szCs w:val="32"/>
          <w:lang w:bidi="ar"/>
        </w:rPr>
        <w:t>建立爱国卫生工作长效机制，丰富爱国卫生工作内涵，创新方式方法，推动从环境卫生治理向全面社会健康管理转变。</w:t>
      </w:r>
      <w:r>
        <w:rPr>
          <w:rFonts w:hint="default" w:ascii="Times New Roman" w:hAnsi="Times New Roman" w:eastAsia="仿宋_GB2312" w:cs="Times New Roman"/>
          <w:color w:val="auto"/>
          <w:kern w:val="0"/>
          <w:sz w:val="32"/>
          <w:szCs w:val="32"/>
          <w:lang w:eastAsia="zh-CN" w:bidi="ar"/>
        </w:rPr>
        <w:t>持续</w:t>
      </w:r>
      <w:r>
        <w:rPr>
          <w:rFonts w:hint="default" w:ascii="Times New Roman" w:hAnsi="Times New Roman" w:eastAsia="仿宋_GB2312" w:cs="Times New Roman"/>
          <w:color w:val="auto"/>
          <w:kern w:val="0"/>
          <w:sz w:val="32"/>
          <w:szCs w:val="32"/>
          <w:lang w:bidi="ar"/>
        </w:rPr>
        <w:t>巩固国家卫生县城创建成果，</w:t>
      </w:r>
      <w:r>
        <w:rPr>
          <w:rFonts w:hint="default" w:ascii="Times New Roman" w:hAnsi="Times New Roman" w:eastAsia="仿宋_GB2312" w:cs="Times New Roman"/>
          <w:b w:val="0"/>
          <w:bCs w:val="0"/>
          <w:color w:val="auto"/>
          <w:kern w:val="0"/>
          <w:sz w:val="32"/>
          <w:szCs w:val="32"/>
          <w:lang w:val="en-US" w:eastAsia="zh-CN" w:bidi="ar"/>
        </w:rPr>
        <w:t>继续推进“六镇”同创国家卫生乡镇创建工作。大力推进省级卫生村、卫生单位、无烟单位创建，力争到2024年底，全县省级卫生村覆盖率达 95%。积极开展健康细胞、健康乡镇、健康企业、健康村等健康细胞建设。</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三、完善健康教育专业机构设置</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完善由健康教育专业机构、各类医疗卫生机构健康教育科（室）以及机关、学校、社区、企事业单位健康教育职能部门等组成的健康促进与教育体系。</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加强县级健康教育机构的建设，</w:t>
      </w:r>
      <w:r>
        <w:rPr>
          <w:rFonts w:hint="default" w:ascii="Times New Roman" w:hAnsi="Times New Roman" w:eastAsia="仿宋_GB2312" w:cs="Times New Roman"/>
          <w:kern w:val="0"/>
          <w:sz w:val="32"/>
          <w:szCs w:val="32"/>
          <w:lang w:eastAsia="zh-CN" w:bidi="ar"/>
        </w:rPr>
        <w:t>依托县疾控中心组建</w:t>
      </w:r>
      <w:r>
        <w:rPr>
          <w:rFonts w:hint="default" w:ascii="Times New Roman" w:hAnsi="Times New Roman" w:eastAsia="仿宋_GB2312" w:cs="Times New Roman"/>
          <w:kern w:val="0"/>
          <w:sz w:val="32"/>
          <w:szCs w:val="32"/>
          <w:lang w:bidi="ar"/>
        </w:rPr>
        <w:t>１个承担</w:t>
      </w:r>
      <w:r>
        <w:rPr>
          <w:rFonts w:hint="default" w:ascii="Times New Roman" w:hAnsi="Times New Roman" w:eastAsia="仿宋_GB2312" w:cs="Times New Roman"/>
          <w:kern w:val="0"/>
          <w:sz w:val="32"/>
          <w:szCs w:val="32"/>
          <w:lang w:eastAsia="zh-CN" w:bidi="ar"/>
        </w:rPr>
        <w:t>全县</w:t>
      </w:r>
      <w:r>
        <w:rPr>
          <w:rFonts w:hint="default" w:ascii="Times New Roman" w:hAnsi="Times New Roman" w:eastAsia="仿宋_GB2312" w:cs="Times New Roman"/>
          <w:kern w:val="0"/>
          <w:sz w:val="32"/>
          <w:szCs w:val="32"/>
          <w:lang w:bidi="ar"/>
        </w:rPr>
        <w:t>健康教育工作的</w:t>
      </w:r>
      <w:r>
        <w:rPr>
          <w:rFonts w:hint="default" w:ascii="Times New Roman" w:hAnsi="Times New Roman" w:eastAsia="仿宋_GB2312" w:cs="Times New Roman"/>
          <w:kern w:val="0"/>
          <w:sz w:val="32"/>
          <w:szCs w:val="32"/>
          <w:lang w:eastAsia="zh-CN" w:bidi="ar"/>
        </w:rPr>
        <w:t>科（室）</w:t>
      </w:r>
      <w:r>
        <w:rPr>
          <w:rFonts w:hint="default" w:ascii="Times New Roman" w:hAnsi="Times New Roman" w:eastAsia="仿宋_GB2312" w:cs="Times New Roman"/>
          <w:kern w:val="0"/>
          <w:sz w:val="32"/>
          <w:szCs w:val="32"/>
          <w:lang w:bidi="ar"/>
        </w:rPr>
        <w:t>。加强健康教育力量建设，配备满足工作需要的人员，其中专业技术岗位原则上不低于岗位总量的80％。争取每个村、社区至少有１名健康教育人员。</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四、强化医疗卫生机构健康教育职能</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各级各类医院、专业公共卫生机构和基层医疗卫生机构设立健康教育科(室)，暂不具备条件的确定具体科(室)负责相关工作，接受当地健康教育机构的业务指导和考核评估。每个机构至少配备２名从事健康教育的专兼职人员。医院健康教育职能部门负责开展个体化的健康教育和健康危险行为干预。县级专业公共卫生机构健康教育相关科</w:t>
      </w:r>
      <w:r>
        <w:rPr>
          <w:rFonts w:hint="default" w:ascii="Times New Roman" w:hAnsi="Times New Roman" w:eastAsia="仿宋_GB2312" w:cs="Times New Roman"/>
          <w:color w:val="auto"/>
          <w:kern w:val="0"/>
          <w:sz w:val="32"/>
          <w:szCs w:val="32"/>
          <w:lang w:eastAsia="zh-CN" w:bidi="ar"/>
        </w:rPr>
        <w:t>（室）</w:t>
      </w:r>
      <w:r>
        <w:rPr>
          <w:rFonts w:hint="default" w:ascii="Times New Roman" w:hAnsi="Times New Roman" w:eastAsia="仿宋_GB2312" w:cs="Times New Roman"/>
          <w:color w:val="auto"/>
          <w:kern w:val="0"/>
          <w:sz w:val="32"/>
          <w:szCs w:val="32"/>
          <w:lang w:bidi="ar"/>
        </w:rPr>
        <w:t>负责开展公众健康素养等相关监测及干预工作。基层医疗卫生机构健康教育相关科</w:t>
      </w:r>
      <w:r>
        <w:rPr>
          <w:rFonts w:hint="default" w:ascii="Times New Roman" w:hAnsi="Times New Roman" w:eastAsia="仿宋_GB2312" w:cs="Times New Roman"/>
          <w:color w:val="auto"/>
          <w:kern w:val="0"/>
          <w:sz w:val="32"/>
          <w:szCs w:val="32"/>
          <w:lang w:eastAsia="zh-CN" w:bidi="ar"/>
        </w:rPr>
        <w:t>（室）</w:t>
      </w:r>
      <w:r>
        <w:rPr>
          <w:rFonts w:hint="default" w:ascii="Times New Roman" w:hAnsi="Times New Roman" w:eastAsia="仿宋_GB2312" w:cs="Times New Roman"/>
          <w:color w:val="auto"/>
          <w:kern w:val="0"/>
          <w:sz w:val="32"/>
          <w:szCs w:val="32"/>
          <w:lang w:bidi="ar"/>
        </w:rPr>
        <w:t>负责向辖区居民普及健康知识，落实健康促进与教育相关措施。</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83" w:name="_Toc25640_WPSOffice_Level2"/>
      <w:r>
        <w:rPr>
          <w:rFonts w:hint="default" w:ascii="Times New Roman" w:hAnsi="Times New Roman" w:eastAsia="楷体_GB2312" w:cs="Times New Roman"/>
          <w:color w:val="auto"/>
          <w:kern w:val="0"/>
          <w:sz w:val="32"/>
          <w:szCs w:val="32"/>
          <w:lang w:bidi="ar"/>
        </w:rPr>
        <w:t>第六节 优化精神卫生心理健康体系</w:t>
      </w:r>
      <w:bookmarkEnd w:id="83"/>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以心理健康和精神卫生防治中心、精神专科医院和综合医院精神科为主体，以基层医疗卫生机构为依托，以疾病预防控制机构和社会心理服务机构为补充，优化心理健康和精神卫生服务体系。</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一、完善精神卫生防治体系</w:t>
      </w:r>
    </w:p>
    <w:p>
      <w:pPr>
        <w:keepNext w:val="0"/>
        <w:keepLines w:val="0"/>
        <w:pageBreakBefore w:val="0"/>
        <w:widowControl w:val="0"/>
        <w:numPr>
          <w:ilvl w:val="255"/>
          <w:numId w:val="0"/>
        </w:numPr>
        <w:kinsoku/>
        <w:wordWrap/>
        <w:topLinePunct w:val="0"/>
        <w:autoSpaceDE/>
        <w:autoSpaceDN/>
        <w:bidi w:val="0"/>
        <w:spacing w:line="600" w:lineRule="exact"/>
        <w:ind w:left="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000000" w:themeColor="text1"/>
          <w:sz w:val="32"/>
          <w:szCs w:val="32"/>
          <w14:textFill>
            <w14:solidFill>
              <w14:schemeClr w14:val="tx1"/>
            </w14:solidFill>
          </w14:textFill>
        </w:rPr>
        <w:t>以市精神卫生中心为支撑，持续推进社会心理服务体系建设和重度精神疾病治疗和管理。</w:t>
      </w:r>
      <w:r>
        <w:rPr>
          <w:rFonts w:hint="default" w:ascii="Times New Roman" w:hAnsi="Times New Roman" w:eastAsia="仿宋_GB2312" w:cs="Times New Roman"/>
          <w:color w:val="000000" w:themeColor="text1"/>
          <w:sz w:val="32"/>
          <w:szCs w:val="32"/>
          <w:u w:val="none"/>
          <w14:textFill>
            <w14:solidFill>
              <w14:schemeClr w14:val="tx1"/>
            </w14:solidFill>
          </w14:textFill>
        </w:rPr>
        <w:t>完善县心理健康和精神卫生服务体系，鼓励县级公立医院设置精神科，根据医疗需求开设精神心理门诊、病房</w:t>
      </w:r>
      <w:r>
        <w:rPr>
          <w:rFonts w:hint="default" w:ascii="Times New Roman" w:hAnsi="Times New Roman" w:eastAsia="仿宋_GB2312" w:cs="Times New Roman"/>
          <w:color w:val="auto"/>
          <w:kern w:val="0"/>
          <w:sz w:val="32"/>
          <w:szCs w:val="32"/>
          <w:lang w:bidi="ar"/>
        </w:rPr>
        <w:t>，承担精神疾病患者管理和居家康复指导、居民心理健康指导等任务。充分发挥精神卫生专业机构作用，开展心理健康知识和技能培训，建立心理和躯体疾病多学科联络会诊制度。</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二、完善心理健康服务体系</w:t>
      </w:r>
    </w:p>
    <w:p>
      <w:pPr>
        <w:keepNext w:val="0"/>
        <w:keepLines w:val="0"/>
        <w:pageBreakBefore w:val="0"/>
        <w:widowControl w:val="0"/>
        <w:kinsoku/>
        <w:wordWrap/>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全面推进夹江县社会心理服务体系建设，</w:t>
      </w:r>
      <w:r>
        <w:rPr>
          <w:rFonts w:hint="default" w:ascii="Times New Roman" w:hAnsi="Times New Roman" w:eastAsia="仿宋_GB2312" w:cs="Times New Roman"/>
          <w:color w:val="auto"/>
          <w:sz w:val="32"/>
          <w:szCs w:val="32"/>
          <w:u w:val="none"/>
          <w:lang w:eastAsia="zh-CN"/>
        </w:rPr>
        <w:t>将社会心理服务纳入城乡基本公共服务体系，</w:t>
      </w:r>
      <w:r>
        <w:rPr>
          <w:rFonts w:hint="default" w:ascii="Times New Roman" w:hAnsi="Times New Roman" w:eastAsia="仿宋_GB2312" w:cs="Times New Roman"/>
          <w:color w:val="auto"/>
          <w:sz w:val="32"/>
          <w:szCs w:val="32"/>
          <w:u w:val="none"/>
        </w:rPr>
        <w:t>探索多部门齐抓共管服务机制和模式，创建成省级社会心理服务体系建设示范县。加快完善心理援助热线和</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海棠心悦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APP心理平台建设，加强抑郁症、焦虑障碍、睡眠障碍、儿童心理行为发育异常、老年痴呆等常见精神障碍和心理行为问题干预，积极开展精神卫生宣传和心理健康促进工作。加大重点人群干预力度，加强对精神专科医师及非精神专科医院医师培训，提高其识别、早期诊断和规范治疗能力。</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84" w:name="_Toc11126_WPSOffice_Level2"/>
      <w:r>
        <w:rPr>
          <w:rFonts w:hint="default" w:ascii="Times New Roman" w:hAnsi="Times New Roman" w:eastAsia="楷体_GB2312" w:cs="Times New Roman"/>
          <w:color w:val="auto"/>
          <w:kern w:val="0"/>
          <w:sz w:val="32"/>
          <w:szCs w:val="32"/>
          <w:lang w:bidi="ar"/>
        </w:rPr>
        <w:t>第七节 推动康复医疗服务体系健全完善</w:t>
      </w:r>
      <w:bookmarkEnd w:id="84"/>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以综合性医院康复医学科、康复医院为主体，以基层医疗机构等为基础，加强康复医疗服务体系建设。</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一、增加康复医疗服务资源供给</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县人民医院、县中医医院</w:t>
      </w:r>
      <w:r>
        <w:rPr>
          <w:rFonts w:hint="default" w:ascii="Times New Roman" w:hAnsi="Times New Roman" w:eastAsia="仿宋_GB2312" w:cs="Times New Roman"/>
          <w:color w:val="auto"/>
          <w:kern w:val="0"/>
          <w:sz w:val="32"/>
          <w:szCs w:val="32"/>
          <w:lang w:bidi="ar"/>
        </w:rPr>
        <w:t>设置康复医学科</w:t>
      </w:r>
      <w:r>
        <w:rPr>
          <w:rFonts w:hint="default" w:ascii="Times New Roman" w:hAnsi="Times New Roman" w:eastAsia="仿宋_GB2312" w:cs="Times New Roman"/>
          <w:color w:val="auto"/>
          <w:kern w:val="0"/>
          <w:sz w:val="32"/>
          <w:szCs w:val="32"/>
          <w:lang w:eastAsia="zh-CN" w:bidi="ar"/>
        </w:rPr>
        <w:t>，鼓励支持符合条件的民营医院设置康复医学科。</w:t>
      </w:r>
      <w:r>
        <w:rPr>
          <w:rFonts w:hint="default" w:ascii="Times New Roman" w:hAnsi="Times New Roman" w:eastAsia="仿宋_GB2312" w:cs="Times New Roman"/>
          <w:color w:val="auto"/>
          <w:kern w:val="0"/>
          <w:sz w:val="32"/>
          <w:szCs w:val="32"/>
          <w:lang w:bidi="ar"/>
        </w:rPr>
        <w:t>推动</w:t>
      </w:r>
      <w:r>
        <w:rPr>
          <w:rFonts w:hint="default" w:ascii="Times New Roman" w:hAnsi="Times New Roman" w:eastAsia="仿宋_GB2312" w:cs="Times New Roman"/>
          <w:color w:val="auto"/>
          <w:kern w:val="0"/>
          <w:sz w:val="32"/>
          <w:szCs w:val="32"/>
          <w:lang w:eastAsia="zh-CN" w:bidi="ar"/>
        </w:rPr>
        <w:t>符合条件的</w:t>
      </w:r>
      <w:r>
        <w:rPr>
          <w:rFonts w:hint="default" w:ascii="Times New Roman" w:hAnsi="Times New Roman" w:eastAsia="仿宋_GB2312" w:cs="Times New Roman"/>
          <w:color w:val="auto"/>
          <w:kern w:val="0"/>
          <w:sz w:val="32"/>
          <w:szCs w:val="32"/>
          <w:lang w:bidi="ar"/>
        </w:rPr>
        <w:t>部分一级、二级医院转型为康复医院，合理增加康复医院数量。支持和引导社会力量举办规模化、连锁化的康复医疗中心。支持有条件的基层医疗卫生机构开设康复医学科</w:t>
      </w:r>
      <w:r>
        <w:rPr>
          <w:rFonts w:hint="eastAsia" w:ascii="Times New Roman" w:hAnsi="Times New Roman" w:eastAsia="仿宋_GB2312" w:cs="Times New Roman"/>
          <w:color w:val="auto"/>
          <w:kern w:val="0"/>
          <w:sz w:val="32"/>
          <w:szCs w:val="32"/>
          <w:lang w:eastAsia="zh-CN" w:bidi="ar"/>
        </w:rPr>
        <w:t>（门诊）</w:t>
      </w:r>
      <w:r>
        <w:rPr>
          <w:rFonts w:hint="default" w:ascii="Times New Roman" w:hAnsi="Times New Roman" w:eastAsia="仿宋_GB2312" w:cs="Times New Roman"/>
          <w:color w:val="auto"/>
          <w:kern w:val="0"/>
          <w:sz w:val="32"/>
          <w:szCs w:val="32"/>
          <w:lang w:bidi="ar"/>
        </w:rPr>
        <w:t>，加强基层康复医疗专科能力建设。妇幼保健机构、儿童医院等应具备为妇女儿童提供康复医疗服务的能力。支持有条件的医疗机构与残疾人专业康复机构等加强合作，提高康复水平。加强康复医疗专业队伍能力建设，力争到2025年，每10万人口康复医师达到8人、康复治疗师达到12人。</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二、提升康复医疗服务能力</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bCs/>
          <w:color w:val="auto"/>
          <w:sz w:val="32"/>
          <w:szCs w:val="32"/>
          <w:shd w:val="clear" w:color="auto" w:fill="FFFFFF"/>
        </w:rPr>
        <w:t>按照康复医院、综合医院康复医学科、中医医院康复科的基本标准和建设管理规范等，加强软硬件建设，提高康复医疗服务能力。加强康复医疗人才培养培训，有计划、分层次地对医疗机构中正在从事和拟从事康复医疗工作的人员开展规范培训，提升康复医疗服务能力。积极开展康复专业护士培训。</w:t>
      </w:r>
      <w:r>
        <w:rPr>
          <w:rFonts w:hint="default" w:ascii="Times New Roman" w:hAnsi="Times New Roman" w:eastAsia="仿宋_GB2312" w:cs="Times New Roman"/>
          <w:color w:val="auto"/>
          <w:sz w:val="32"/>
          <w:szCs w:val="32"/>
        </w:rPr>
        <w:t>推进康复与临床多学科合作模式，增强医务人员康复医疗早介入、全过程意识。</w:t>
      </w:r>
      <w:r>
        <w:rPr>
          <w:rFonts w:hint="default" w:ascii="Times New Roman" w:hAnsi="Times New Roman" w:eastAsia="仿宋_GB2312" w:cs="Times New Roman"/>
          <w:color w:val="auto"/>
          <w:kern w:val="0"/>
          <w:sz w:val="32"/>
          <w:szCs w:val="32"/>
          <w:lang w:bidi="ar"/>
        </w:rPr>
        <w:t>三级综合性医院康复医学科重点为急危重症和疑难复杂疾病患者提供康复医疗服务，承担辖区内康复医疗学科建设、人才培训、技术支持、研究成果推广等任务，发挥引领辐射和帮扶带动作用。二级综合性医院康复医学科、基层医疗机构等重点为诊断明确、病情稳定或者需要长期康复的患者提供康复医疗服务。以基层医疗机构为依托，鼓励开展社区和居家康复医疗服务。</w:t>
      </w:r>
    </w:p>
    <w:p>
      <w:pPr>
        <w:keepNext w:val="0"/>
        <w:keepLines w:val="0"/>
        <w:pageBreakBefore w:val="0"/>
        <w:widowControl/>
        <w:kinsoku/>
        <w:wordWrap/>
        <w:topLinePunct w:val="0"/>
        <w:autoSpaceDE/>
        <w:autoSpaceDN/>
        <w:bidi w:val="0"/>
        <w:adjustRightInd w:val="0"/>
        <w:snapToGrid w:val="0"/>
        <w:spacing w:line="600" w:lineRule="exact"/>
        <w:ind w:left="0" w:leftChars="0" w:firstLine="200"/>
        <w:jc w:val="center"/>
        <w:textAlignment w:val="auto"/>
        <w:outlineLvl w:val="0"/>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200"/>
        <w:jc w:val="center"/>
        <w:textAlignment w:val="auto"/>
        <w:outlineLvl w:val="0"/>
        <w:rPr>
          <w:rFonts w:hint="default" w:ascii="Times New Roman" w:hAnsi="Times New Roman" w:eastAsia="黑体" w:cs="Times New Roman"/>
          <w:color w:val="auto"/>
          <w:kern w:val="0"/>
          <w:sz w:val="32"/>
          <w:szCs w:val="32"/>
          <w:lang w:bidi="ar"/>
        </w:rPr>
      </w:pPr>
      <w:bookmarkStart w:id="85" w:name="_Toc18399_WPSOffice_Level1"/>
      <w:r>
        <w:rPr>
          <w:rFonts w:hint="default" w:ascii="Times New Roman" w:hAnsi="Times New Roman" w:eastAsia="黑体" w:cs="Times New Roman"/>
          <w:color w:val="auto"/>
          <w:kern w:val="0"/>
          <w:sz w:val="32"/>
          <w:szCs w:val="32"/>
          <w:lang w:bidi="ar"/>
        </w:rPr>
        <w:t>第七章 健全体制机制保障和要素支撑</w:t>
      </w:r>
      <w:bookmarkEnd w:id="85"/>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86" w:name="_Toc14234_WPSOffice_Level2"/>
      <w:r>
        <w:rPr>
          <w:rFonts w:hint="default" w:ascii="Times New Roman" w:hAnsi="Times New Roman" w:eastAsia="楷体_GB2312" w:cs="Times New Roman"/>
          <w:color w:val="auto"/>
          <w:kern w:val="0"/>
          <w:sz w:val="32"/>
          <w:szCs w:val="32"/>
          <w:lang w:bidi="ar"/>
        </w:rPr>
        <w:t>第一节 深化“三医”联动改革</w:t>
      </w:r>
      <w:bookmarkEnd w:id="86"/>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一、健全药品供应保障体系</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持续推动国家组织药品和医用耗材集中带量采购中选结果落地实施，平稳推进国家组织药品和医用耗材集中带量采购续标工作。推广运用贷款资金流、订单信息流、货物物流‘三流合一’的药械招采平台，推动全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医药机构按规定开展药品和医用耗材集中采购。巩固完善基本药物制度，鼓励县域医共体等建立药品联动管理机制，促进上下级医疗机构用药衔接。对结核病、丙肝等需要长期服药治疗的重大传染病和严重精神障碍等慢性病，探索进一步降低患者药费负担的有效方式。加强传染病药品监测预警。推进药品使用监测和药品临床综合评价体系建设。完善药品质量管理制度及追溯制度。推动医疗机构处方信息与药品零售消费信息互联互通。</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二、推进医疗服务价格改革</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建立健全适应经济社会发展、更好发挥政府作用、医疗机构充分参与、体现技术劳务价值的医疗服务价格形成机制。统筹兼顾经济发展水平、医疗技术进步和各方承受能力，调控医疗服务价格总体水平。探索建立医疗服务价格动态调整机制，科学确立启动条件、调价空间、调整方法，定期开展调价评估，达到启动条件的要稳妥有序调整医疗服务价格，支持公立医院优化收入结构。</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三、深化医保支付方式改革</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按照国家规定的调整权限，动态调整优化医保目录，将临床价值高且经济性评价好的药品、医用耗材、医疗服务项目纳入医保支付范围。推动实施区域性医保基金总额控制，逐步实现以按病种付费为主的多元复合医保支付方式。推进按疾病诊断相关分组（DRG）付费、区域点数法总额预算和按病种分值（DIP）付费改革，并对中医药医疗机构的调整系数进行倾斜支持。推进实行医疗康复、安宁疗护、慢性精神疾病等长期住院及医养结合住院、家庭病床等按床日付费。逐步完善家庭医生医保签约服务包政策，实行按人头付费。推进紧密型县域医共体医保管理改革，健全考核管理和激励机制，对符合条件的医共体实行“一个总额付费、结余留用、超支不补”的医保管理。完善差别化医保支付政策，引导患者有序就医。完善符合中医药服务特点的支付政策，根据中医优势病种目录，推行按中医疗效价值付费、中西医同病同效同价。</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四、健全多层次医疗保障体系</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加强门诊共济保障，逐步将门诊医疗费用纳入基本医疗保险统筹基金支付范围。完善城乡居民高血压、糖尿病门诊用药保障机制。落实异地就医结算。健全重特大疾病医疗保险和救助制度。健全重大疫情、灾害医疗救治医保支付政策，完善医保基金预付、结算制度，落实特殊群体、特定疾病医药费用豁免政策，有针对性免除医保目录、支付限额、用药量等限制性条款。完善进一步支持商业长期护理保险和照护服务发展的政策。加快发展医疗责任险、医疗意外保险。支持健康保险公司开展管理式医疗试点，建立覆盖健康保险、健康管理、医疗服务、长期照护等服务链条的健康管理组织。搭建高水平公立医院及其特需医疗部分与健康保险公司对接平台，促进医、险定点合作。鼓励探索工伤医疗和工伤康复支付制度改革和创新，完善监督考核，逐步形成适应工伤保险特点的费用支付机制和激励约束机制。落实工伤医疗异地就医结算。</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五、建立健全管理运行机制</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加强党对公立医院的全面领导，全面贯彻落实党委领导下的院长负责制，健全党委会会议</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或常委会会议</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、院长办公会议</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或院务会议</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等议事决策制度，落实公立医院内部人事管理、内部机构设置、中层干部聘任、人员招聘</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人才引进</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内部绩效考核与薪酬分配等自主权。突出公益性导向，扎实推动公立医院绩效考核，优化完善绩效考核指标体系，重点考核医疗质量、运营效率、持续发展、满意度评价等，充分运用绩效考核结果。完善县域医共体绩效考核制度，强化分工协作，促进资源共享，提高基层服务能力。以提高积极性为重点深化基层医疗卫生机构运行机制改革，健全绩效考核机制。选优配强专业公共卫生机构领导班子，实施岗位分级分类管理，提高专业技术人员比例。妇幼保健机构、专科疾病防治机构等可按规定获得预防保健和基本医疗服务收入。</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六、推动人事薪酬制度改革</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合理确定公立医院人员编制，建立动态调整机制。建立健全符合医疗卫生行业特点的人才评价机制。改革完善医务人员职称评价制度，分层分类设置评价标准，优化临床评价指标。推动在公立医院、专业公共卫生机构和基层医疗卫生机构落实“两个允许”要求，完善薪酬分配制度。大力推进公立医院薪酬制度改革，着力体现医务人员技术劳务价值。改善公立医院收支结构，合理确定人员支出占比。优化薪酬结构，提高保障性工资水平。合理核定公共卫生机构绩效工资总量和水平，落实卫生防疫津贴、突发传染病和重大公共卫生事件临时补助政策。合理提高基层医疗卫生机构人员收入水平。鼓励基层医务人员在允许的范围内通过兼职兼薪获取报酬。落实乡村医生待遇，做好乡村医生社会保障工作。</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87" w:name="_Toc19509_WPSOffice_Level2"/>
      <w:r>
        <w:rPr>
          <w:rFonts w:hint="default" w:ascii="Times New Roman" w:hAnsi="Times New Roman" w:eastAsia="楷体_GB2312" w:cs="Times New Roman"/>
          <w:color w:val="auto"/>
          <w:kern w:val="0"/>
          <w:sz w:val="32"/>
          <w:szCs w:val="32"/>
          <w:lang w:bidi="ar"/>
        </w:rPr>
        <w:t>第二节 加强卫生人才队伍建设</w:t>
      </w:r>
      <w:bookmarkEnd w:id="87"/>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一、培育壮大公共卫生人才队伍</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加强疾病预防控制机构骨干人才培养，选拔培养指挥管理、流行病学调查、院感控制和风险沟通等方面的专业骨干。城乡基层医疗卫生机构至少配备1名公共卫生医师。稳步推进疾病预防控制机构公共卫生医师规范化培训。科学合理确定各级卫生健康监督机构的人员数量和结构，支持卫生监督人员通过在职教育提高学历层次。强化妇幼保健人员、产科、助产士、儿科医师等人员培训。</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二、强化医疗服务人才队伍建设</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健全完善毕业后教育培养体系，加大住院医师规范化培训力度，加强师资队伍建设和培训能力建设，严格过程考核和结业考核，强化培训基地动态管理，提升培训质量。重视全科、儿科、儿外科、精神科、妇产科、麻醉科、急诊科、临床病理科、重症医学科等急需紧缺专业培训质量，完成年度培训任务。保障住院医师培训期间合理待遇，增加住院医师获得感。面向社会招收的普通高校应届毕业生培训对象培训合格当年在医疗卫生机构就业的，在招聘、派遣、落户等方面，按当年应届毕业生同等对待。对经住院医师规范化培训合格的本科学历临床医师，在人员招聘、职称晋升、岗位聘用、薪酬待遇等方面，与临床医学、口腔医学、中医专业学位硕士研究生同等对待。加强对医师的继续教育和培训，稳步推进专科医师规范化培训。</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三、加强乡村卫生人才培养</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结合服务人口变化情况，用好用足空余编制。推进</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县招乡用</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乡聘村用</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。大力推行订单定向医学生免费培养、职业资格考试考前培训、县级卫生技术骨干进修培训等项目，为基层培养和保留卫生人才。推动乡村医生向执业</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助理</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医师转化，引导医学专业高校毕业生免试申请乡村医生执业注册，力争到2025年乡村医生中执业(助理)医师比例达到45％左右。</w:t>
      </w:r>
    </w:p>
    <w:p>
      <w:pPr>
        <w:keepNext w:val="0"/>
        <w:keepLines w:val="0"/>
        <w:pageBreakBefore w:val="0"/>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四、引进培育高层次人才</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kern w:val="0"/>
          <w:sz w:val="32"/>
          <w:szCs w:val="32"/>
          <w:lang w:bidi="ar"/>
        </w:rPr>
        <w:t>扩大公立医院内部用人自主权，加强医学高层次人才培养和引进。提高高层次人才待遇，明确部门责任，确保引进优秀人才优惠政策切实落地。注重人才使用从“刚性化”转向“柔性化”，通过外专项目、专项组团引进计划、高级专家挂职等形式，拓宽优秀高层次人才引进渠道。深入贯彻落实《关于实施“嘉州英才”工程的意见》，遴选培育一批具有影响力的“嘉州医疗领军人才”。深入贯彻人才评价制度，推荐一批学术技术带头人，评选一批“乐山好医生”“乐山好护士”。</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88" w:name="_Toc1473_WPSOffice_Level2"/>
      <w:r>
        <w:rPr>
          <w:rFonts w:hint="default" w:ascii="Times New Roman" w:hAnsi="Times New Roman" w:eastAsia="楷体_GB2312" w:cs="Times New Roman"/>
          <w:color w:val="auto"/>
          <w:kern w:val="0"/>
          <w:sz w:val="32"/>
          <w:szCs w:val="32"/>
          <w:lang w:bidi="ar"/>
        </w:rPr>
        <w:t>第三节 推动数字卫生健康发展</w:t>
      </w:r>
      <w:bookmarkEnd w:id="88"/>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医疗卫生机构信息化建设。推动构建标准统一、融合开放、有机对接、授权分管、安全可靠的全民健康信息平台。全面推进全员人口信息数据库、电子健康档案数据库、电子病历数据库建设，加强基础资源信息数据库和健康医疗大数据中心建设，逐步实现医疗机构、医护人员、应急救治、医疗设备、药品耗材、健康管理、产业发展和信息服务等健康医疗基础数据和公共信息资源的集聚整合。积极运用大数据等技术，在传染病疫情和突发公共卫生事件监测分析、病原体溯源、防控救治、资源调配等方面发挥支撑作用。</w:t>
      </w:r>
    </w:p>
    <w:p>
      <w:pPr>
        <w:keepNext w:val="0"/>
        <w:keepLines w:val="0"/>
        <w:pageBreakBefore w:val="0"/>
        <w:widowControl w:val="0"/>
        <w:numPr>
          <w:ilvl w:val="0"/>
          <w:numId w:val="0"/>
        </w:numPr>
        <w:kinsoku/>
        <w:wordWrap/>
        <w:topLinePunct w:val="0"/>
        <w:autoSpaceDE/>
        <w:autoSpaceDN/>
        <w:bidi w:val="0"/>
        <w:spacing w:line="600" w:lineRule="exact"/>
        <w:ind w:firstLine="640" w:firstLineChars="200"/>
        <w:textAlignment w:val="auto"/>
        <w:outlineLvl w:val="2"/>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000000" w:themeColor="text1"/>
          <w:sz w:val="32"/>
          <w:szCs w:val="32"/>
          <w14:textFill>
            <w14:solidFill>
              <w14:schemeClr w14:val="tx1"/>
            </w14:solidFill>
          </w14:textFill>
        </w:rPr>
        <w:t>加快推进县域医共体信息化建设，推动智慧医院、互联网医院建设。引导优质医疗资源下沉到基层、到家庭，全面提升常见病、慢性病复诊和“互联网+”家庭医生签约服务水平。大力推进互联网健康咨询、网上预约分诊、移动支付和检查检验结果查询、随访跟踪、健康管理等服务应用。继续加强基层卫生健康信息化建设，进一步拓展基层卫生信息系统中医学影像、远程心电、实验室检验等功能，推广基层医疗智能诊断系统，构建基层医疗卫生机构信息化新局面。大力开展互联网诊疗服务、远程医疗服务、移动护理服务，让广大患者在家门口享受良好的医疗服务和健康管理。</w:t>
      </w:r>
      <w:r>
        <w:rPr>
          <w:rFonts w:hint="default" w:ascii="Times New Roman" w:hAnsi="Times New Roman" w:eastAsia="仿宋_GB2312" w:cs="Times New Roman"/>
          <w:color w:val="auto"/>
          <w:kern w:val="0"/>
          <w:sz w:val="32"/>
          <w:szCs w:val="32"/>
          <w:lang w:bidi="ar"/>
        </w:rPr>
        <w:t>到2025年，</w:t>
      </w:r>
      <w:r>
        <w:rPr>
          <w:rFonts w:hint="default" w:ascii="Times New Roman" w:hAnsi="Times New Roman" w:eastAsia="仿宋_GB2312" w:cs="Times New Roman"/>
          <w:color w:val="auto"/>
          <w:kern w:val="0"/>
          <w:sz w:val="32"/>
          <w:szCs w:val="32"/>
          <w:lang w:eastAsia="zh-CN" w:bidi="ar"/>
        </w:rPr>
        <w:t>县人民医院建成互联网医院</w:t>
      </w:r>
      <w:r>
        <w:rPr>
          <w:rFonts w:hint="default" w:ascii="Times New Roman" w:hAnsi="Times New Roman" w:eastAsia="仿宋_GB2312" w:cs="Times New Roman"/>
          <w:color w:val="auto"/>
          <w:kern w:val="0"/>
          <w:sz w:val="32"/>
          <w:szCs w:val="32"/>
          <w:lang w:bidi="ar"/>
        </w:rPr>
        <w:t>。支持有条件的医疗卫生机构探索开展“信用就医”、人工智能辅助诊疗等场景应用。</w:t>
      </w:r>
    </w:p>
    <w:p>
      <w:pPr>
        <w:pStyle w:val="28"/>
        <w:keepNext w:val="0"/>
        <w:keepLines w:val="0"/>
        <w:pageBreakBefore w:val="0"/>
        <w:kinsoku/>
        <w:wordWrap/>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建设“5G+医疗健康”远程应用体系。分批次有序推动二级以上公立医疗机构、疾控中心和有条件的县域次中心接入“5G+医疗健康”远程应用体系，协同省卫生健康委建立全省跨区域、跨医联体远程业务协同、分级调度、全程监管的常态化管理运行机制，开展远程会诊、远程诊断、远程培训、视频会议等远程应用，推动优质医疗资源下沉。</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89" w:name="_Toc19378_WPSOffice_Level2"/>
      <w:r>
        <w:rPr>
          <w:rFonts w:hint="default" w:ascii="Times New Roman" w:hAnsi="Times New Roman" w:eastAsia="楷体_GB2312" w:cs="Times New Roman"/>
          <w:color w:val="auto"/>
          <w:kern w:val="0"/>
          <w:sz w:val="32"/>
          <w:szCs w:val="32"/>
          <w:lang w:bidi="ar"/>
        </w:rPr>
        <w:t>第四节 强化卫生健康法治建设</w:t>
      </w:r>
      <w:bookmarkEnd w:id="89"/>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强化医疗卫生地方法规制度体系。完善医疗卫生领域立法和规范性文件制定。按照立法程序推进公共卫生、医疗管理、医疗纠纷预防处置等重点领域地方性法规规章的制修订，加强配套制度建设，努力构建完备的卫生健康地方法规和制度体系。加强医疗卫生标准宣传贯彻，推进医疗卫生技术地方标准和团体标准制修订。全面推行行政执法“三项制度”。深化医疗卫生领域“放管服”改革，全面落实公平竞争审查制度。健全矛盾纠纷多元预防调处化解综合机制。健全法治监督体系。强化权力运行制约和监督，健全卫生行政执法责任制和责任追究制度，完善行政执法投诉举报和处理机制，探索建立容错纠错机制。健全法治保障体系。加强法治宣传教育，制定并实施卫生健康“八五”普法规划，扎实推进“法律七进”。</w:t>
      </w: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强化卫生健康领域监管效能。加快信息化建设，到2025年，全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卫生健康领域实现行政审批、行政处罚信息互联互通和实时共享。加强传染病防控等重点领域监督执法，强化对医疗机构传染病防控工作的巡查监督。深入实施“双随机、一公开”监管。落实医疗机构消防安全管理责任，深入开展从业人员消防安全教育培训。</w:t>
      </w:r>
    </w:p>
    <w:p>
      <w:pPr>
        <w:keepNext w:val="0"/>
        <w:keepLines w:val="0"/>
        <w:pageBreakBefore w:val="0"/>
        <w:widowControl/>
        <w:kinsoku/>
        <w:wordWrap/>
        <w:topLinePunct w:val="0"/>
        <w:autoSpaceDE/>
        <w:autoSpaceDN/>
        <w:bidi w:val="0"/>
        <w:adjustRightInd w:val="0"/>
        <w:snapToGrid w:val="0"/>
        <w:spacing w:line="600" w:lineRule="exact"/>
        <w:ind w:left="0" w:leftChars="0" w:firstLine="200"/>
        <w:jc w:val="center"/>
        <w:textAlignment w:val="auto"/>
        <w:outlineLvl w:val="0"/>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200"/>
        <w:jc w:val="center"/>
        <w:textAlignment w:val="auto"/>
        <w:outlineLvl w:val="0"/>
        <w:rPr>
          <w:rFonts w:hint="default" w:ascii="Times New Roman" w:hAnsi="Times New Roman" w:eastAsia="黑体" w:cs="Times New Roman"/>
          <w:color w:val="auto"/>
          <w:kern w:val="0"/>
          <w:sz w:val="32"/>
          <w:szCs w:val="32"/>
          <w:lang w:bidi="ar"/>
        </w:rPr>
      </w:pPr>
      <w:bookmarkStart w:id="90" w:name="_Toc28679_WPSOffice_Level1"/>
      <w:r>
        <w:rPr>
          <w:rFonts w:hint="default" w:ascii="Times New Roman" w:hAnsi="Times New Roman" w:eastAsia="黑体" w:cs="Times New Roman"/>
          <w:color w:val="auto"/>
          <w:kern w:val="0"/>
          <w:sz w:val="32"/>
          <w:szCs w:val="32"/>
          <w:lang w:bidi="ar"/>
        </w:rPr>
        <w:t>第八章 加强医疗卫生服务体系规划实施</w:t>
      </w:r>
      <w:bookmarkEnd w:id="90"/>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91" w:name="_Toc22544_WPSOffice_Level2"/>
      <w:r>
        <w:rPr>
          <w:rFonts w:hint="default" w:ascii="Times New Roman" w:hAnsi="Times New Roman" w:eastAsia="楷体_GB2312" w:cs="Times New Roman"/>
          <w:color w:val="auto"/>
          <w:kern w:val="0"/>
          <w:sz w:val="32"/>
          <w:szCs w:val="32"/>
          <w:lang w:bidi="ar"/>
        </w:rPr>
        <w:t>第一节 强化组织领导</w:t>
      </w:r>
      <w:bookmarkEnd w:id="91"/>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全面加强党对卫生健康事业发展的领导，加强医疗卫生机构党的建设，把党的领导落实到卫生健康事业改革发展的各领域各方面各环节。强化政府责任，把制订实施医疗卫生服务体系规划作为对卫生健康发展进行宏观调控的重要手段，列入政府工作的重要议事日程和健康乐山建设任务要求。县级人民政府负责制定实施县域医疗卫生服务体系规划并及时衔接市有关部门。</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92" w:name="_Toc13970_WPSOffice_Level2"/>
      <w:r>
        <w:rPr>
          <w:rFonts w:hint="default" w:ascii="Times New Roman" w:hAnsi="Times New Roman" w:eastAsia="楷体_GB2312" w:cs="Times New Roman"/>
          <w:color w:val="auto"/>
          <w:kern w:val="0"/>
          <w:sz w:val="32"/>
          <w:szCs w:val="32"/>
          <w:lang w:bidi="ar"/>
        </w:rPr>
        <w:t>第二节 夯实部门责任</w:t>
      </w:r>
      <w:bookmarkEnd w:id="92"/>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卫生健康、发展改革、机构编制、教育、财政、人力资源社会保障、自然资源、农业农村、医疗保障、市场监管等部门要加强政策协同，协调推进规划编制与实施。</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卫生健康</w:t>
      </w:r>
      <w:r>
        <w:rPr>
          <w:rFonts w:hint="default" w:ascii="Times New Roman" w:hAnsi="Times New Roman" w:eastAsia="仿宋_GB2312" w:cs="Times New Roman"/>
          <w:color w:val="auto"/>
          <w:kern w:val="0"/>
          <w:sz w:val="32"/>
          <w:szCs w:val="32"/>
          <w:lang w:eastAsia="zh-CN" w:bidi="ar"/>
        </w:rPr>
        <w:t>局</w:t>
      </w:r>
      <w:r>
        <w:rPr>
          <w:rFonts w:hint="default" w:ascii="Times New Roman" w:hAnsi="Times New Roman" w:eastAsia="仿宋_GB2312" w:cs="Times New Roman"/>
          <w:color w:val="auto"/>
          <w:kern w:val="0"/>
          <w:sz w:val="32"/>
          <w:szCs w:val="32"/>
          <w:lang w:bidi="ar"/>
        </w:rPr>
        <w:t>负责牵头编制规划并根据需要按程序适时进行调整。</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发展改革</w:t>
      </w:r>
      <w:r>
        <w:rPr>
          <w:rFonts w:hint="default" w:ascii="Times New Roman" w:hAnsi="Times New Roman" w:eastAsia="仿宋_GB2312" w:cs="Times New Roman"/>
          <w:color w:val="auto"/>
          <w:kern w:val="0"/>
          <w:sz w:val="32"/>
          <w:szCs w:val="32"/>
          <w:lang w:eastAsia="zh-CN" w:bidi="ar"/>
        </w:rPr>
        <w:t>局</w:t>
      </w:r>
      <w:r>
        <w:rPr>
          <w:rFonts w:hint="default" w:ascii="Times New Roman" w:hAnsi="Times New Roman" w:eastAsia="仿宋_GB2312" w:cs="Times New Roman"/>
          <w:color w:val="auto"/>
          <w:kern w:val="0"/>
          <w:sz w:val="32"/>
          <w:szCs w:val="32"/>
          <w:lang w:bidi="ar"/>
        </w:rPr>
        <w:t>依据规划对新</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改扩</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建项目进行基本建设管理。</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委编办要依据有关规定和标准合理确定公立医疗卫生机构人员编制。</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财政局要按照政府卫生投入政策落实相关经费。</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自然资源局要在空间规划中统筹考虑医疗卫生机构发展需要，合理安排用地供给。</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医保局要加快推进医保支付方式改革。其他相关部门要各司其职，做好相关工作。</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93" w:name="_Toc30124_WPSOffice_Level2"/>
      <w:r>
        <w:rPr>
          <w:rFonts w:hint="default" w:ascii="Times New Roman" w:hAnsi="Times New Roman" w:eastAsia="楷体_GB2312" w:cs="Times New Roman"/>
          <w:color w:val="auto"/>
          <w:kern w:val="0"/>
          <w:sz w:val="32"/>
          <w:szCs w:val="32"/>
          <w:lang w:bidi="ar"/>
        </w:rPr>
        <w:t>第三节 发动社会参与</w:t>
      </w:r>
      <w:bookmarkEnd w:id="93"/>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结合推行乡镇</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街道</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权责清单制度，强化和明晰乡镇</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街道</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公共卫生管理权责。全面推进村</w:t>
      </w:r>
      <w:r>
        <w:rPr>
          <w:rFonts w:hint="default" w:ascii="Times New Roman" w:hAnsi="Times New Roman" w:eastAsia="仿宋_GB2312" w:cs="Times New Roman"/>
          <w:color w:val="auto"/>
          <w:kern w:val="0"/>
          <w:sz w:val="32"/>
          <w:szCs w:val="32"/>
          <w:lang w:eastAsia="zh-CN" w:bidi="ar"/>
        </w:rPr>
        <w:t>（居）</w:t>
      </w:r>
      <w:r>
        <w:rPr>
          <w:rFonts w:hint="default" w:ascii="Times New Roman" w:hAnsi="Times New Roman" w:eastAsia="仿宋_GB2312" w:cs="Times New Roman"/>
          <w:color w:val="auto"/>
          <w:kern w:val="0"/>
          <w:sz w:val="32"/>
          <w:szCs w:val="32"/>
          <w:lang w:bidi="ar"/>
        </w:rPr>
        <w:t>委会公共卫生委员会建设。完善疾病预防控制部门与城乡社区联动机制，构建常态化管理和应急管理动态衔接的基层治理机制，夯实群防群控、联防联控的基层基础。强化爱国卫生组织机构建设，充分发挥卫生健康工作领导小组作用，统筹推进健康</w:t>
      </w:r>
      <w:r>
        <w:rPr>
          <w:rFonts w:hint="default" w:ascii="Times New Roman" w:hAnsi="Times New Roman" w:eastAsia="仿宋_GB2312" w:cs="Times New Roman"/>
          <w:color w:val="auto"/>
          <w:kern w:val="0"/>
          <w:sz w:val="32"/>
          <w:szCs w:val="32"/>
          <w:lang w:eastAsia="zh-CN" w:bidi="ar"/>
        </w:rPr>
        <w:t>夹江</w:t>
      </w:r>
      <w:r>
        <w:rPr>
          <w:rFonts w:hint="default" w:ascii="Times New Roman" w:hAnsi="Times New Roman" w:eastAsia="仿宋_GB2312" w:cs="Times New Roman"/>
          <w:color w:val="auto"/>
          <w:kern w:val="0"/>
          <w:sz w:val="32"/>
          <w:szCs w:val="32"/>
          <w:lang w:bidi="ar"/>
        </w:rPr>
        <w:t>行动及相关工作。学校按规定设置保健科</w:t>
      </w:r>
      <w:r>
        <w:rPr>
          <w:rFonts w:hint="default" w:ascii="Times New Roman" w:hAnsi="Times New Roman" w:eastAsia="仿宋_GB2312" w:cs="Times New Roman"/>
          <w:color w:val="auto"/>
          <w:kern w:val="0"/>
          <w:sz w:val="32"/>
          <w:szCs w:val="32"/>
          <w:lang w:eastAsia="zh-CN" w:bidi="ar"/>
        </w:rPr>
        <w:t>（卫生室）</w:t>
      </w:r>
      <w:r>
        <w:rPr>
          <w:rFonts w:hint="default" w:ascii="Times New Roman" w:hAnsi="Times New Roman" w:eastAsia="仿宋_GB2312" w:cs="Times New Roman"/>
          <w:color w:val="auto"/>
          <w:kern w:val="0"/>
          <w:sz w:val="32"/>
          <w:szCs w:val="32"/>
          <w:lang w:bidi="ar"/>
        </w:rPr>
        <w:t>，并配备专职或兼职卫生技术人员。强化“每个人是自己健康第一责任人”理念，健全社会健康教育网络，动员社会力量参与健康知识普及工作。</w:t>
      </w: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仿宋_GB2312" w:cs="Times New Roman"/>
          <w:color w:val="auto"/>
          <w:kern w:val="0"/>
          <w:sz w:val="32"/>
          <w:szCs w:val="32"/>
          <w:lang w:bidi="ar"/>
        </w:rPr>
      </w:pPr>
    </w:p>
    <w:p>
      <w:pPr>
        <w:keepNext w:val="0"/>
        <w:keepLines w:val="0"/>
        <w:pageBreakBefore w:val="0"/>
        <w:widowControl/>
        <w:kinsoku/>
        <w:wordWrap/>
        <w:topLinePunct w:val="0"/>
        <w:autoSpaceDE/>
        <w:autoSpaceDN/>
        <w:bidi w:val="0"/>
        <w:adjustRightInd w:val="0"/>
        <w:snapToGrid w:val="0"/>
        <w:spacing w:line="600" w:lineRule="exact"/>
        <w:ind w:left="0" w:leftChars="0"/>
        <w:jc w:val="center"/>
        <w:textAlignment w:val="auto"/>
        <w:outlineLvl w:val="1"/>
        <w:rPr>
          <w:rFonts w:hint="default" w:ascii="Times New Roman" w:hAnsi="Times New Roman" w:eastAsia="楷体_GB2312" w:cs="Times New Roman"/>
          <w:color w:val="auto"/>
          <w:kern w:val="0"/>
          <w:sz w:val="32"/>
          <w:szCs w:val="32"/>
          <w:lang w:bidi="ar"/>
        </w:rPr>
      </w:pPr>
      <w:bookmarkStart w:id="94" w:name="_Toc14381_WPSOffice_Level2"/>
      <w:r>
        <w:rPr>
          <w:rFonts w:hint="default" w:ascii="Times New Roman" w:hAnsi="Times New Roman" w:eastAsia="楷体_GB2312" w:cs="Times New Roman"/>
          <w:color w:val="auto"/>
          <w:kern w:val="0"/>
          <w:sz w:val="32"/>
          <w:szCs w:val="32"/>
          <w:lang w:bidi="ar"/>
        </w:rPr>
        <w:t>第四节 加强监测评估</w:t>
      </w:r>
      <w:bookmarkEnd w:id="94"/>
    </w:p>
    <w:p>
      <w:pPr>
        <w:keepNext w:val="0"/>
        <w:keepLines w:val="0"/>
        <w:pageBreakBefore w:val="0"/>
        <w:widowControl/>
        <w:kinsoku/>
        <w:wordWrap/>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健全卫生健康规划体系，加强与国民经济和社会发展、国土空间、区域发展、其他专项等相关规划衔接，建立上下级规划衔接机制。建立健全监测评价机制，卫生健康部门负责牵头制订规划监测评估方案，并对规划实施进度和效果进行年度监测和中期、末期评估。定期组织对规划实施情况的检查督导，确保规划顺利实施。</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仿宋" w:hAnsi="仿宋" w:eastAsia="仿宋" w:cs="仿宋"/>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YTNiY2FjY2QxNGM0NDVmM2JlMTc1OWQ5ZGUyYmIifQ=="/>
  </w:docVars>
  <w:rsids>
    <w:rsidRoot w:val="00726D3D"/>
    <w:rsid w:val="000C244E"/>
    <w:rsid w:val="000C3F86"/>
    <w:rsid w:val="00131DF7"/>
    <w:rsid w:val="00131E5F"/>
    <w:rsid w:val="001E6B38"/>
    <w:rsid w:val="002C7CF6"/>
    <w:rsid w:val="002E7B02"/>
    <w:rsid w:val="0031096E"/>
    <w:rsid w:val="00391DD2"/>
    <w:rsid w:val="00397341"/>
    <w:rsid w:val="003A3A06"/>
    <w:rsid w:val="003B3B91"/>
    <w:rsid w:val="003E47A1"/>
    <w:rsid w:val="003F7579"/>
    <w:rsid w:val="004203CF"/>
    <w:rsid w:val="004568F6"/>
    <w:rsid w:val="00464E2A"/>
    <w:rsid w:val="004C0C43"/>
    <w:rsid w:val="004D517A"/>
    <w:rsid w:val="00500842"/>
    <w:rsid w:val="00503766"/>
    <w:rsid w:val="00521C99"/>
    <w:rsid w:val="00527883"/>
    <w:rsid w:val="00553F19"/>
    <w:rsid w:val="00565709"/>
    <w:rsid w:val="00580884"/>
    <w:rsid w:val="005F5126"/>
    <w:rsid w:val="0065127F"/>
    <w:rsid w:val="00660691"/>
    <w:rsid w:val="006A4670"/>
    <w:rsid w:val="006D4BB1"/>
    <w:rsid w:val="006D74DB"/>
    <w:rsid w:val="006E1985"/>
    <w:rsid w:val="006E7260"/>
    <w:rsid w:val="00702E3D"/>
    <w:rsid w:val="007162CB"/>
    <w:rsid w:val="00726D3D"/>
    <w:rsid w:val="00750512"/>
    <w:rsid w:val="007D6F8A"/>
    <w:rsid w:val="007F1D3E"/>
    <w:rsid w:val="00817153"/>
    <w:rsid w:val="00821DE0"/>
    <w:rsid w:val="008363F8"/>
    <w:rsid w:val="00860CD8"/>
    <w:rsid w:val="00891E64"/>
    <w:rsid w:val="008B29E7"/>
    <w:rsid w:val="008C77CC"/>
    <w:rsid w:val="008D4C67"/>
    <w:rsid w:val="008E23C2"/>
    <w:rsid w:val="009222B7"/>
    <w:rsid w:val="00977B58"/>
    <w:rsid w:val="00982AED"/>
    <w:rsid w:val="00991165"/>
    <w:rsid w:val="009A098C"/>
    <w:rsid w:val="009C444F"/>
    <w:rsid w:val="00A05405"/>
    <w:rsid w:val="00A410CC"/>
    <w:rsid w:val="00A82DE7"/>
    <w:rsid w:val="00AB1D79"/>
    <w:rsid w:val="00AC32D4"/>
    <w:rsid w:val="00AC5222"/>
    <w:rsid w:val="00B37E43"/>
    <w:rsid w:val="00B509A8"/>
    <w:rsid w:val="00B5101D"/>
    <w:rsid w:val="00BA5E1E"/>
    <w:rsid w:val="00BC3F32"/>
    <w:rsid w:val="00C238FE"/>
    <w:rsid w:val="00CB6A8B"/>
    <w:rsid w:val="00D6239A"/>
    <w:rsid w:val="00E41804"/>
    <w:rsid w:val="00E43988"/>
    <w:rsid w:val="00E566BC"/>
    <w:rsid w:val="00E72C11"/>
    <w:rsid w:val="00EB1264"/>
    <w:rsid w:val="00EB4B4C"/>
    <w:rsid w:val="00F140EC"/>
    <w:rsid w:val="00F261C9"/>
    <w:rsid w:val="00F50FC8"/>
    <w:rsid w:val="00F71F59"/>
    <w:rsid w:val="00FC1762"/>
    <w:rsid w:val="00FC354A"/>
    <w:rsid w:val="00FD3AC9"/>
    <w:rsid w:val="01BB2310"/>
    <w:rsid w:val="02EC6B48"/>
    <w:rsid w:val="06177D01"/>
    <w:rsid w:val="080650C2"/>
    <w:rsid w:val="08A416DE"/>
    <w:rsid w:val="09B01C47"/>
    <w:rsid w:val="0BF1447F"/>
    <w:rsid w:val="10FD650C"/>
    <w:rsid w:val="12843B72"/>
    <w:rsid w:val="13A133A8"/>
    <w:rsid w:val="167B78EE"/>
    <w:rsid w:val="16CB5C9A"/>
    <w:rsid w:val="18A311A8"/>
    <w:rsid w:val="1CDC58B9"/>
    <w:rsid w:val="215A7B8D"/>
    <w:rsid w:val="23291FD6"/>
    <w:rsid w:val="24937334"/>
    <w:rsid w:val="28117775"/>
    <w:rsid w:val="28D15A0A"/>
    <w:rsid w:val="2AD44618"/>
    <w:rsid w:val="300D1700"/>
    <w:rsid w:val="32490024"/>
    <w:rsid w:val="33FFB093"/>
    <w:rsid w:val="3511147A"/>
    <w:rsid w:val="373011D0"/>
    <w:rsid w:val="38B90E8D"/>
    <w:rsid w:val="39C36ABC"/>
    <w:rsid w:val="3C3E4325"/>
    <w:rsid w:val="3D240311"/>
    <w:rsid w:val="3E7A6992"/>
    <w:rsid w:val="44C02982"/>
    <w:rsid w:val="45E4308A"/>
    <w:rsid w:val="464A1C1E"/>
    <w:rsid w:val="4A320AAE"/>
    <w:rsid w:val="4BFFD245"/>
    <w:rsid w:val="4C65F278"/>
    <w:rsid w:val="544A1B29"/>
    <w:rsid w:val="55076E28"/>
    <w:rsid w:val="556A1EAC"/>
    <w:rsid w:val="55E6213C"/>
    <w:rsid w:val="563D456B"/>
    <w:rsid w:val="566F24EA"/>
    <w:rsid w:val="56F7C80D"/>
    <w:rsid w:val="56F80148"/>
    <w:rsid w:val="585A59BA"/>
    <w:rsid w:val="5A917253"/>
    <w:rsid w:val="5B630854"/>
    <w:rsid w:val="5D7F0889"/>
    <w:rsid w:val="5FD35FAF"/>
    <w:rsid w:val="5FFA309B"/>
    <w:rsid w:val="60F951CA"/>
    <w:rsid w:val="625F10E2"/>
    <w:rsid w:val="67B7332E"/>
    <w:rsid w:val="69A43BAE"/>
    <w:rsid w:val="6A744A65"/>
    <w:rsid w:val="6AC77EF2"/>
    <w:rsid w:val="6BFB792E"/>
    <w:rsid w:val="6EFBE566"/>
    <w:rsid w:val="6FBC6898"/>
    <w:rsid w:val="6FBD9301"/>
    <w:rsid w:val="6FFD93ED"/>
    <w:rsid w:val="71E3673C"/>
    <w:rsid w:val="72302B43"/>
    <w:rsid w:val="75045E4A"/>
    <w:rsid w:val="75BB7516"/>
    <w:rsid w:val="766602F1"/>
    <w:rsid w:val="77BFF110"/>
    <w:rsid w:val="77CD6848"/>
    <w:rsid w:val="77EF7FB6"/>
    <w:rsid w:val="77F4C12F"/>
    <w:rsid w:val="780F0940"/>
    <w:rsid w:val="786F6466"/>
    <w:rsid w:val="7B3B7757"/>
    <w:rsid w:val="7BBFC5C3"/>
    <w:rsid w:val="7DFFFDCC"/>
    <w:rsid w:val="7F0A088A"/>
    <w:rsid w:val="7FB2FA0C"/>
    <w:rsid w:val="7FBF6E49"/>
    <w:rsid w:val="B2FF7675"/>
    <w:rsid w:val="B3BD80D7"/>
    <w:rsid w:val="B7E71C20"/>
    <w:rsid w:val="BBED2A21"/>
    <w:rsid w:val="BCA81703"/>
    <w:rsid w:val="BEFBC7D7"/>
    <w:rsid w:val="D663495C"/>
    <w:rsid w:val="DFDBC4F0"/>
    <w:rsid w:val="DFFF041F"/>
    <w:rsid w:val="EBB2C69D"/>
    <w:rsid w:val="FADFE7E6"/>
    <w:rsid w:val="FCFFD09F"/>
    <w:rsid w:val="FD9E692A"/>
    <w:rsid w:val="FEB640C5"/>
    <w:rsid w:val="FF7F3F45"/>
    <w:rsid w:val="FFE53A3D"/>
    <w:rsid w:val="FFF59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jc w:val="center"/>
      <w:outlineLvl w:val="0"/>
    </w:pPr>
    <w:rPr>
      <w:rFonts w:eastAsia="黑体"/>
      <w:b/>
      <w:bCs/>
      <w:kern w:val="44"/>
      <w:sz w:val="44"/>
      <w:szCs w:val="44"/>
    </w:rPr>
  </w:style>
  <w:style w:type="paragraph" w:styleId="3">
    <w:name w:val="heading 2"/>
    <w:basedOn w:val="1"/>
    <w:next w:val="1"/>
    <w:unhideWhenUsed/>
    <w:qFormat/>
    <w:uiPriority w:val="9"/>
    <w:pPr>
      <w:keepNext/>
      <w:keepLines/>
      <w:outlineLvl w:val="1"/>
    </w:pPr>
    <w:rPr>
      <w:rFonts w:asciiTheme="majorHAnsi" w:hAnsiTheme="majorHAnsi" w:eastAsiaTheme="majorEastAsia" w:cstheme="majorBidi"/>
      <w:b/>
      <w:bCs/>
      <w:sz w:val="24"/>
      <w:szCs w:val="32"/>
    </w:rPr>
  </w:style>
  <w:style w:type="paragraph" w:styleId="4">
    <w:name w:val="heading 3"/>
    <w:basedOn w:val="1"/>
    <w:next w:val="1"/>
    <w:unhideWhenUsed/>
    <w:qFormat/>
    <w:uiPriority w:val="9"/>
    <w:pPr>
      <w:keepNext/>
      <w:keepLines/>
      <w:outlineLvl w:val="2"/>
    </w:pPr>
    <w:rPr>
      <w:b/>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31"/>
    <w:qFormat/>
    <w:uiPriority w:val="0"/>
    <w:pPr>
      <w:jc w:val="left"/>
    </w:pPr>
  </w:style>
  <w:style w:type="paragraph" w:styleId="7">
    <w:name w:val="Body Text Indent"/>
    <w:basedOn w:val="1"/>
    <w:qFormat/>
    <w:uiPriority w:val="0"/>
    <w:pPr>
      <w:spacing w:after="120"/>
      <w:ind w:left="420" w:leftChars="200"/>
    </w:pPr>
    <w:rPr>
      <w:rFonts w:eastAsia="宋体"/>
    </w:r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ind w:left="2940" w:leftChars="1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toc 4"/>
    <w:basedOn w:val="1"/>
    <w:next w:val="1"/>
    <w:unhideWhenUsed/>
    <w:qFormat/>
    <w:uiPriority w:val="39"/>
    <w:pPr>
      <w:ind w:left="1260" w:leftChars="600"/>
    </w:pPr>
  </w:style>
  <w:style w:type="paragraph" w:styleId="15">
    <w:name w:val="toc 6"/>
    <w:basedOn w:val="1"/>
    <w:next w:val="1"/>
    <w:unhideWhenUsed/>
    <w:qFormat/>
    <w:uiPriority w:val="39"/>
    <w:pPr>
      <w:ind w:left="2100" w:leftChars="1000"/>
    </w:pPr>
  </w:style>
  <w:style w:type="paragraph" w:styleId="16">
    <w:name w:val="toc 2"/>
    <w:basedOn w:val="1"/>
    <w:next w:val="1"/>
    <w:qFormat/>
    <w:uiPriority w:val="39"/>
    <w:pPr>
      <w:ind w:left="420" w:leftChars="200"/>
    </w:pPr>
  </w:style>
  <w:style w:type="paragraph" w:styleId="17">
    <w:name w:val="toc 9"/>
    <w:basedOn w:val="1"/>
    <w:next w:val="1"/>
    <w:unhideWhenUsed/>
    <w:qFormat/>
    <w:uiPriority w:val="39"/>
    <w:pPr>
      <w:ind w:left="3360" w:leftChars="1600"/>
    </w:pPr>
  </w:style>
  <w:style w:type="paragraph" w:styleId="18">
    <w:name w:val="annotation subject"/>
    <w:basedOn w:val="6"/>
    <w:next w:val="6"/>
    <w:link w:val="32"/>
    <w:qFormat/>
    <w:uiPriority w:val="0"/>
    <w:rPr>
      <w:b/>
      <w:bCs/>
    </w:rPr>
  </w:style>
  <w:style w:type="paragraph" w:styleId="19">
    <w:name w:val="Body Text First Indent 2"/>
    <w:basedOn w:val="7"/>
    <w:next w:val="1"/>
    <w:qFormat/>
    <w:uiPriority w:val="0"/>
    <w:pPr>
      <w:ind w:firstLine="20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954F72" w:themeColor="followedHyperlink"/>
      <w:u w:val="single"/>
      <w14:textFill>
        <w14:solidFill>
          <w14:schemeClr w14:val="folHlink"/>
        </w14:solidFill>
      </w14:textFill>
    </w:rPr>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annotation reference"/>
    <w:basedOn w:val="22"/>
    <w:qFormat/>
    <w:uiPriority w:val="0"/>
    <w:rPr>
      <w:sz w:val="21"/>
      <w:szCs w:val="21"/>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30">
    <w:name w:val="TableGrid"/>
    <w:qFormat/>
    <w:uiPriority w:val="0"/>
    <w:tblPr>
      <w:tblCellMar>
        <w:top w:w="0" w:type="dxa"/>
        <w:left w:w="0" w:type="dxa"/>
        <w:bottom w:w="0" w:type="dxa"/>
        <w:right w:w="0" w:type="dxa"/>
      </w:tblCellMar>
    </w:tblPr>
  </w:style>
  <w:style w:type="character" w:customStyle="1" w:styleId="31">
    <w:name w:val="批注文字 字符"/>
    <w:basedOn w:val="22"/>
    <w:link w:val="6"/>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8"/>
    <w:qFormat/>
    <w:uiPriority w:val="0"/>
    <w:rPr>
      <w:rFonts w:asciiTheme="minorHAnsi" w:hAnsiTheme="minorHAnsi" w:eastAsiaTheme="minorEastAsia" w:cstheme="minorBidi"/>
      <w:b/>
      <w:bCs/>
      <w:kern w:val="2"/>
      <w:sz w:val="21"/>
      <w:szCs w:val="24"/>
    </w:rPr>
  </w:style>
  <w:style w:type="paragraph" w:customStyle="1" w:styleId="33">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4">
    <w:name w:val="未处理的提及1"/>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2b68b16-ec6f-4a40-bd56-252b0934e430}"/>
        <w:style w:val=""/>
        <w:category>
          <w:name w:val="常规"/>
          <w:gallery w:val="placeholder"/>
        </w:category>
        <w:types>
          <w:type w:val="bbPlcHdr"/>
        </w:types>
        <w:behaviors>
          <w:behavior w:val="content"/>
        </w:behaviors>
        <w:description w:val=""/>
        <w:guid w:val="{92b68b16-ec6f-4a40-bd56-252b0934e430}"/>
      </w:docPartPr>
      <w:docPartBody>
        <w:p>
          <w:r>
            <w:rPr>
              <w:color w:val="808080"/>
            </w:rPr>
            <w:t>单击此处输入文字。</w:t>
          </w:r>
        </w:p>
      </w:docPartBody>
    </w:docPart>
    <w:docPart>
      <w:docPartPr>
        <w:name w:val="{69795cb4-3548-4822-b4e0-61dd6aa8027a}"/>
        <w:style w:val=""/>
        <w:category>
          <w:name w:val="常规"/>
          <w:gallery w:val="placeholder"/>
        </w:category>
        <w:types>
          <w:type w:val="bbPlcHdr"/>
        </w:types>
        <w:behaviors>
          <w:behavior w:val="content"/>
        </w:behaviors>
        <w:description w:val=""/>
        <w:guid w:val="{69795cb4-3548-4822-b4e0-61dd6aa8027a}"/>
      </w:docPartPr>
      <w:docPartBody>
        <w:p>
          <w:r>
            <w:rPr>
              <w:color w:val="808080"/>
            </w:rPr>
            <w:t>单击此处输入文字。</w:t>
          </w:r>
        </w:p>
      </w:docPartBody>
    </w:docPart>
    <w:docPart>
      <w:docPartPr>
        <w:name w:val="{fb8cba60-8e19-44f1-9caf-7870cf7869d0}"/>
        <w:style w:val=""/>
        <w:category>
          <w:name w:val="常规"/>
          <w:gallery w:val="placeholder"/>
        </w:category>
        <w:types>
          <w:type w:val="bbPlcHdr"/>
        </w:types>
        <w:behaviors>
          <w:behavior w:val="content"/>
        </w:behaviors>
        <w:description w:val=""/>
        <w:guid w:val="{fb8cba60-8e19-44f1-9caf-7870cf7869d0}"/>
      </w:docPartPr>
      <w:docPartBody>
        <w:p>
          <w:r>
            <w:rPr>
              <w:color w:val="808080"/>
            </w:rPr>
            <w:t>单击此处输入文字。</w:t>
          </w:r>
        </w:p>
      </w:docPartBody>
    </w:docPart>
    <w:docPart>
      <w:docPartPr>
        <w:name w:val="{b4cd9f04-fbb9-454f-9c64-c66b7d0f7a37}"/>
        <w:style w:val=""/>
        <w:category>
          <w:name w:val="常规"/>
          <w:gallery w:val="placeholder"/>
        </w:category>
        <w:types>
          <w:type w:val="bbPlcHdr"/>
        </w:types>
        <w:behaviors>
          <w:behavior w:val="content"/>
        </w:behaviors>
        <w:description w:val=""/>
        <w:guid w:val="{b4cd9f04-fbb9-454f-9c64-c66b7d0f7a37}"/>
      </w:docPartPr>
      <w:docPartBody>
        <w:p>
          <w:r>
            <w:rPr>
              <w:color w:val="808080"/>
            </w:rPr>
            <w:t>单击此处输入文字。</w:t>
          </w:r>
        </w:p>
      </w:docPartBody>
    </w:docPart>
    <w:docPart>
      <w:docPartPr>
        <w:name w:val="{41a4a374-3a03-412a-931f-6c216436711d}"/>
        <w:style w:val=""/>
        <w:category>
          <w:name w:val="常规"/>
          <w:gallery w:val="placeholder"/>
        </w:category>
        <w:types>
          <w:type w:val="bbPlcHdr"/>
        </w:types>
        <w:behaviors>
          <w:behavior w:val="content"/>
        </w:behaviors>
        <w:description w:val=""/>
        <w:guid w:val="{41a4a374-3a03-412a-931f-6c216436711d}"/>
      </w:docPartPr>
      <w:docPartBody>
        <w:p>
          <w:r>
            <w:rPr>
              <w:color w:val="808080"/>
            </w:rPr>
            <w:t>单击此处输入文字。</w:t>
          </w:r>
        </w:p>
      </w:docPartBody>
    </w:docPart>
    <w:docPart>
      <w:docPartPr>
        <w:name w:val="{476a5f91-f46d-4c6a-8cb0-672be0ff36cc}"/>
        <w:style w:val=""/>
        <w:category>
          <w:name w:val="常规"/>
          <w:gallery w:val="placeholder"/>
        </w:category>
        <w:types>
          <w:type w:val="bbPlcHdr"/>
        </w:types>
        <w:behaviors>
          <w:behavior w:val="content"/>
        </w:behaviors>
        <w:description w:val=""/>
        <w:guid w:val="{476a5f91-f46d-4c6a-8cb0-672be0ff36cc}"/>
      </w:docPartPr>
      <w:docPartBody>
        <w:p>
          <w:r>
            <w:rPr>
              <w:color w:val="808080"/>
            </w:rPr>
            <w:t>单击此处输入文字。</w:t>
          </w:r>
        </w:p>
      </w:docPartBody>
    </w:docPart>
    <w:docPart>
      <w:docPartPr>
        <w:name w:val="{691ab01d-e720-4602-be45-958a4533e46f}"/>
        <w:style w:val=""/>
        <w:category>
          <w:name w:val="常规"/>
          <w:gallery w:val="placeholder"/>
        </w:category>
        <w:types>
          <w:type w:val="bbPlcHdr"/>
        </w:types>
        <w:behaviors>
          <w:behavior w:val="content"/>
        </w:behaviors>
        <w:description w:val=""/>
        <w:guid w:val="{691ab01d-e720-4602-be45-958a4533e46f}"/>
      </w:docPartPr>
      <w:docPartBody>
        <w:p>
          <w:r>
            <w:rPr>
              <w:color w:val="808080"/>
            </w:rPr>
            <w:t>单击此处输入文字。</w:t>
          </w:r>
        </w:p>
      </w:docPartBody>
    </w:docPart>
    <w:docPart>
      <w:docPartPr>
        <w:name w:val="{900df1ac-b542-4f98-b440-1f325a7033f2}"/>
        <w:style w:val=""/>
        <w:category>
          <w:name w:val="常规"/>
          <w:gallery w:val="placeholder"/>
        </w:category>
        <w:types>
          <w:type w:val="bbPlcHdr"/>
        </w:types>
        <w:behaviors>
          <w:behavior w:val="content"/>
        </w:behaviors>
        <w:description w:val=""/>
        <w:guid w:val="{900df1ac-b542-4f98-b440-1f325a7033f2}"/>
      </w:docPartPr>
      <w:docPartBody>
        <w:p>
          <w:r>
            <w:rPr>
              <w:color w:val="808080"/>
            </w:rPr>
            <w:t>单击此处输入文字。</w:t>
          </w:r>
        </w:p>
      </w:docPartBody>
    </w:docPart>
    <w:docPart>
      <w:docPartPr>
        <w:name w:val="{3133c240-622d-464d-8861-c6b163f9e95c}"/>
        <w:style w:val=""/>
        <w:category>
          <w:name w:val="常规"/>
          <w:gallery w:val="placeholder"/>
        </w:category>
        <w:types>
          <w:type w:val="bbPlcHdr"/>
        </w:types>
        <w:behaviors>
          <w:behavior w:val="content"/>
        </w:behaviors>
        <w:description w:val=""/>
        <w:guid w:val="{3133c240-622d-464d-8861-c6b163f9e95c}"/>
      </w:docPartPr>
      <w:docPartBody>
        <w:p>
          <w:r>
            <w:rPr>
              <w:color w:val="808080"/>
            </w:rPr>
            <w:t>单击此处输入文字。</w:t>
          </w:r>
        </w:p>
      </w:docPartBody>
    </w:docPart>
    <w:docPart>
      <w:docPartPr>
        <w:name w:val="{95b66053-598b-4a13-9c65-b05244c1e748}"/>
        <w:style w:val=""/>
        <w:category>
          <w:name w:val="常规"/>
          <w:gallery w:val="placeholder"/>
        </w:category>
        <w:types>
          <w:type w:val="bbPlcHdr"/>
        </w:types>
        <w:behaviors>
          <w:behavior w:val="content"/>
        </w:behaviors>
        <w:description w:val=""/>
        <w:guid w:val="{95b66053-598b-4a13-9c65-b05244c1e748}"/>
      </w:docPartPr>
      <w:docPartBody>
        <w:p>
          <w:r>
            <w:rPr>
              <w:color w:val="808080"/>
            </w:rPr>
            <w:t>单击此处输入文字。</w:t>
          </w:r>
        </w:p>
      </w:docPartBody>
    </w:docPart>
    <w:docPart>
      <w:docPartPr>
        <w:name w:val="{79d2ce94-ec8e-4b9b-b74d-7746d1cbbd2b}"/>
        <w:style w:val=""/>
        <w:category>
          <w:name w:val="常规"/>
          <w:gallery w:val="placeholder"/>
        </w:category>
        <w:types>
          <w:type w:val="bbPlcHdr"/>
        </w:types>
        <w:behaviors>
          <w:behavior w:val="content"/>
        </w:behaviors>
        <w:description w:val=""/>
        <w:guid w:val="{79d2ce94-ec8e-4b9b-b74d-7746d1cbbd2b}"/>
      </w:docPartPr>
      <w:docPartBody>
        <w:p>
          <w:r>
            <w:rPr>
              <w:color w:val="808080"/>
            </w:rPr>
            <w:t>单击此处输入文字。</w:t>
          </w:r>
        </w:p>
      </w:docPartBody>
    </w:docPart>
    <w:docPart>
      <w:docPartPr>
        <w:name w:val="{69680119-c29d-4a2a-873c-49b0b05465f7}"/>
        <w:style w:val=""/>
        <w:category>
          <w:name w:val="常规"/>
          <w:gallery w:val="placeholder"/>
        </w:category>
        <w:types>
          <w:type w:val="bbPlcHdr"/>
        </w:types>
        <w:behaviors>
          <w:behavior w:val="content"/>
        </w:behaviors>
        <w:description w:val=""/>
        <w:guid w:val="{69680119-c29d-4a2a-873c-49b0b05465f7}"/>
      </w:docPartPr>
      <w:docPartBody>
        <w:p>
          <w:r>
            <w:rPr>
              <w:color w:val="808080"/>
            </w:rPr>
            <w:t>单击此处输入文字。</w:t>
          </w:r>
        </w:p>
      </w:docPartBody>
    </w:docPart>
    <w:docPart>
      <w:docPartPr>
        <w:name w:val="{863d21be-f3e1-4170-99d0-7113eb6ad97d}"/>
        <w:style w:val=""/>
        <w:category>
          <w:name w:val="常规"/>
          <w:gallery w:val="placeholder"/>
        </w:category>
        <w:types>
          <w:type w:val="bbPlcHdr"/>
        </w:types>
        <w:behaviors>
          <w:behavior w:val="content"/>
        </w:behaviors>
        <w:description w:val=""/>
        <w:guid w:val="{863d21be-f3e1-4170-99d0-7113eb6ad97d}"/>
      </w:docPartPr>
      <w:docPartBody>
        <w:p>
          <w:r>
            <w:rPr>
              <w:color w:val="808080"/>
            </w:rPr>
            <w:t>单击此处输入文字。</w:t>
          </w:r>
        </w:p>
      </w:docPartBody>
    </w:docPart>
    <w:docPart>
      <w:docPartPr>
        <w:name w:val="{27ab30d4-7c49-4041-a17f-2d1ea57a73d3}"/>
        <w:style w:val=""/>
        <w:category>
          <w:name w:val="常规"/>
          <w:gallery w:val="placeholder"/>
        </w:category>
        <w:types>
          <w:type w:val="bbPlcHdr"/>
        </w:types>
        <w:behaviors>
          <w:behavior w:val="content"/>
        </w:behaviors>
        <w:description w:val=""/>
        <w:guid w:val="{27ab30d4-7c49-4041-a17f-2d1ea57a73d3}"/>
      </w:docPartPr>
      <w:docPartBody>
        <w:p>
          <w:r>
            <w:rPr>
              <w:color w:val="808080"/>
            </w:rPr>
            <w:t>单击此处输入文字。</w:t>
          </w:r>
        </w:p>
      </w:docPartBody>
    </w:docPart>
    <w:docPart>
      <w:docPartPr>
        <w:name w:val="{0b86d6ba-5235-40d8-aaa2-c0e6ac793d54}"/>
        <w:style w:val=""/>
        <w:category>
          <w:name w:val="常规"/>
          <w:gallery w:val="placeholder"/>
        </w:category>
        <w:types>
          <w:type w:val="bbPlcHdr"/>
        </w:types>
        <w:behaviors>
          <w:behavior w:val="content"/>
        </w:behaviors>
        <w:description w:val=""/>
        <w:guid w:val="{0b86d6ba-5235-40d8-aaa2-c0e6ac793d54}"/>
      </w:docPartPr>
      <w:docPartBody>
        <w:p>
          <w:r>
            <w:rPr>
              <w:color w:val="808080"/>
            </w:rPr>
            <w:t>单击此处输入文字。</w:t>
          </w:r>
        </w:p>
      </w:docPartBody>
    </w:docPart>
    <w:docPart>
      <w:docPartPr>
        <w:name w:val="{cf51c9b5-82d1-4008-a3ef-0663fc5aa0c0}"/>
        <w:style w:val=""/>
        <w:category>
          <w:name w:val="常规"/>
          <w:gallery w:val="placeholder"/>
        </w:category>
        <w:types>
          <w:type w:val="bbPlcHdr"/>
        </w:types>
        <w:behaviors>
          <w:behavior w:val="content"/>
        </w:behaviors>
        <w:description w:val=""/>
        <w:guid w:val="{cf51c9b5-82d1-4008-a3ef-0663fc5aa0c0}"/>
      </w:docPartPr>
      <w:docPartBody>
        <w:p>
          <w:r>
            <w:rPr>
              <w:color w:val="808080"/>
            </w:rPr>
            <w:t>单击此处输入文字。</w:t>
          </w:r>
        </w:p>
      </w:docPartBody>
    </w:docPart>
    <w:docPart>
      <w:docPartPr>
        <w:name w:val="{9a6a2072-3b10-432f-92d2-71562d91bf24}"/>
        <w:style w:val=""/>
        <w:category>
          <w:name w:val="常规"/>
          <w:gallery w:val="placeholder"/>
        </w:category>
        <w:types>
          <w:type w:val="bbPlcHdr"/>
        </w:types>
        <w:behaviors>
          <w:behavior w:val="content"/>
        </w:behaviors>
        <w:description w:val=""/>
        <w:guid w:val="{9a6a2072-3b10-432f-92d2-71562d91bf24}"/>
      </w:docPartPr>
      <w:docPartBody>
        <w:p>
          <w:r>
            <w:rPr>
              <w:color w:val="808080"/>
            </w:rPr>
            <w:t>单击此处输入文字。</w:t>
          </w:r>
        </w:p>
      </w:docPartBody>
    </w:docPart>
    <w:docPart>
      <w:docPartPr>
        <w:name w:val="{6c0da8d2-338a-4f97-a4bb-16a73ee54c1c}"/>
        <w:style w:val=""/>
        <w:category>
          <w:name w:val="常规"/>
          <w:gallery w:val="placeholder"/>
        </w:category>
        <w:types>
          <w:type w:val="bbPlcHdr"/>
        </w:types>
        <w:behaviors>
          <w:behavior w:val="content"/>
        </w:behaviors>
        <w:description w:val=""/>
        <w:guid w:val="{6c0da8d2-338a-4f97-a4bb-16a73ee54c1c}"/>
      </w:docPartPr>
      <w:docPartBody>
        <w:p>
          <w:r>
            <w:rPr>
              <w:color w:val="808080"/>
            </w:rPr>
            <w:t>单击此处输入文字。</w:t>
          </w:r>
        </w:p>
      </w:docPartBody>
    </w:docPart>
    <w:docPart>
      <w:docPartPr>
        <w:name w:val="{54621691-d10a-48fa-ac5c-a3c175b835f6}"/>
        <w:style w:val=""/>
        <w:category>
          <w:name w:val="常规"/>
          <w:gallery w:val="placeholder"/>
        </w:category>
        <w:types>
          <w:type w:val="bbPlcHdr"/>
        </w:types>
        <w:behaviors>
          <w:behavior w:val="content"/>
        </w:behaviors>
        <w:description w:val=""/>
        <w:guid w:val="{54621691-d10a-48fa-ac5c-a3c175b835f6}"/>
      </w:docPartPr>
      <w:docPartBody>
        <w:p>
          <w:r>
            <w:rPr>
              <w:color w:val="808080"/>
            </w:rPr>
            <w:t>单击此处输入文字。</w:t>
          </w:r>
        </w:p>
      </w:docPartBody>
    </w:docPart>
    <w:docPart>
      <w:docPartPr>
        <w:name w:val="{11951270-6671-4ff8-ac27-029bd16e2f8a}"/>
        <w:style w:val=""/>
        <w:category>
          <w:name w:val="常规"/>
          <w:gallery w:val="placeholder"/>
        </w:category>
        <w:types>
          <w:type w:val="bbPlcHdr"/>
        </w:types>
        <w:behaviors>
          <w:behavior w:val="content"/>
        </w:behaviors>
        <w:description w:val=""/>
        <w:guid w:val="{11951270-6671-4ff8-ac27-029bd16e2f8a}"/>
      </w:docPartPr>
      <w:docPartBody>
        <w:p>
          <w:r>
            <w:rPr>
              <w:color w:val="808080"/>
            </w:rPr>
            <w:t>单击此处输入文字。</w:t>
          </w:r>
        </w:p>
      </w:docPartBody>
    </w:docPart>
    <w:docPart>
      <w:docPartPr>
        <w:name w:val="{06176efd-abe2-4915-b9e7-ab97c3ff11d8}"/>
        <w:style w:val=""/>
        <w:category>
          <w:name w:val="常规"/>
          <w:gallery w:val="placeholder"/>
        </w:category>
        <w:types>
          <w:type w:val="bbPlcHdr"/>
        </w:types>
        <w:behaviors>
          <w:behavior w:val="content"/>
        </w:behaviors>
        <w:description w:val=""/>
        <w:guid w:val="{06176efd-abe2-4915-b9e7-ab97c3ff11d8}"/>
      </w:docPartPr>
      <w:docPartBody>
        <w:p>
          <w:r>
            <w:rPr>
              <w:color w:val="808080"/>
            </w:rPr>
            <w:t>单击此处输入文字。</w:t>
          </w:r>
        </w:p>
      </w:docPartBody>
    </w:docPart>
    <w:docPart>
      <w:docPartPr>
        <w:name w:val="{6d3220dd-b319-4a4d-9e58-89365843fad5}"/>
        <w:style w:val=""/>
        <w:category>
          <w:name w:val="常规"/>
          <w:gallery w:val="placeholder"/>
        </w:category>
        <w:types>
          <w:type w:val="bbPlcHdr"/>
        </w:types>
        <w:behaviors>
          <w:behavior w:val="content"/>
        </w:behaviors>
        <w:description w:val=""/>
        <w:guid w:val="{6d3220dd-b319-4a4d-9e58-89365843fad5}"/>
      </w:docPartPr>
      <w:docPartBody>
        <w:p>
          <w:r>
            <w:rPr>
              <w:color w:val="808080"/>
            </w:rPr>
            <w:t>单击此处输入文字。</w:t>
          </w:r>
        </w:p>
      </w:docPartBody>
    </w:docPart>
    <w:docPart>
      <w:docPartPr>
        <w:name w:val="{d283caf1-d97b-499d-9bbf-885e7f7e2466}"/>
        <w:style w:val=""/>
        <w:category>
          <w:name w:val="常规"/>
          <w:gallery w:val="placeholder"/>
        </w:category>
        <w:types>
          <w:type w:val="bbPlcHdr"/>
        </w:types>
        <w:behaviors>
          <w:behavior w:val="content"/>
        </w:behaviors>
        <w:description w:val=""/>
        <w:guid w:val="{d283caf1-d97b-499d-9bbf-885e7f7e2466}"/>
      </w:docPartPr>
      <w:docPartBody>
        <w:p>
          <w:r>
            <w:rPr>
              <w:color w:val="808080"/>
            </w:rPr>
            <w:t>单击此处输入文字。</w:t>
          </w:r>
        </w:p>
      </w:docPartBody>
    </w:docPart>
    <w:docPart>
      <w:docPartPr>
        <w:name w:val="{6728cd27-c050-4c8e-b340-c2effd6f1e28}"/>
        <w:style w:val=""/>
        <w:category>
          <w:name w:val="常规"/>
          <w:gallery w:val="placeholder"/>
        </w:category>
        <w:types>
          <w:type w:val="bbPlcHdr"/>
        </w:types>
        <w:behaviors>
          <w:behavior w:val="content"/>
        </w:behaviors>
        <w:description w:val=""/>
        <w:guid w:val="{6728cd27-c050-4c8e-b340-c2effd6f1e28}"/>
      </w:docPartPr>
      <w:docPartBody>
        <w:p>
          <w:r>
            <w:rPr>
              <w:color w:val="808080"/>
            </w:rPr>
            <w:t>单击此处输入文字。</w:t>
          </w:r>
        </w:p>
      </w:docPartBody>
    </w:docPart>
    <w:docPart>
      <w:docPartPr>
        <w:name w:val="{a53852b1-6692-434a-951a-200e9e70387f}"/>
        <w:style w:val=""/>
        <w:category>
          <w:name w:val="常规"/>
          <w:gallery w:val="placeholder"/>
        </w:category>
        <w:types>
          <w:type w:val="bbPlcHdr"/>
        </w:types>
        <w:behaviors>
          <w:behavior w:val="content"/>
        </w:behaviors>
        <w:description w:val=""/>
        <w:guid w:val="{a53852b1-6692-434a-951a-200e9e70387f}"/>
      </w:docPartPr>
      <w:docPartBody>
        <w:p>
          <w:r>
            <w:rPr>
              <w:color w:val="808080"/>
            </w:rPr>
            <w:t>单击此处输入文字。</w:t>
          </w:r>
        </w:p>
      </w:docPartBody>
    </w:docPart>
    <w:docPart>
      <w:docPartPr>
        <w:name w:val="{ace728ca-6801-42f2-9861-2c743aa8603f}"/>
        <w:style w:val=""/>
        <w:category>
          <w:name w:val="常规"/>
          <w:gallery w:val="placeholder"/>
        </w:category>
        <w:types>
          <w:type w:val="bbPlcHdr"/>
        </w:types>
        <w:behaviors>
          <w:behavior w:val="content"/>
        </w:behaviors>
        <w:description w:val=""/>
        <w:guid w:val="{ace728ca-6801-42f2-9861-2c743aa8603f}"/>
      </w:docPartPr>
      <w:docPartBody>
        <w:p>
          <w:r>
            <w:rPr>
              <w:color w:val="808080"/>
            </w:rPr>
            <w:t>单击此处输入文字。</w:t>
          </w:r>
        </w:p>
      </w:docPartBody>
    </w:docPart>
    <w:docPart>
      <w:docPartPr>
        <w:name w:val="{f87e5c59-741f-464c-b203-33ace8427bae}"/>
        <w:style w:val=""/>
        <w:category>
          <w:name w:val="常规"/>
          <w:gallery w:val="placeholder"/>
        </w:category>
        <w:types>
          <w:type w:val="bbPlcHdr"/>
        </w:types>
        <w:behaviors>
          <w:behavior w:val="content"/>
        </w:behaviors>
        <w:description w:val=""/>
        <w:guid w:val="{f87e5c59-741f-464c-b203-33ace8427bae}"/>
      </w:docPartPr>
      <w:docPartBody>
        <w:p>
          <w:r>
            <w:rPr>
              <w:color w:val="808080"/>
            </w:rPr>
            <w:t>单击此处输入文字。</w:t>
          </w:r>
        </w:p>
      </w:docPartBody>
    </w:docPart>
    <w:docPart>
      <w:docPartPr>
        <w:name w:val="{5002b1ef-bb4a-461a-a5af-e82909f0b498}"/>
        <w:style w:val=""/>
        <w:category>
          <w:name w:val="常规"/>
          <w:gallery w:val="placeholder"/>
        </w:category>
        <w:types>
          <w:type w:val="bbPlcHdr"/>
        </w:types>
        <w:behaviors>
          <w:behavior w:val="content"/>
        </w:behaviors>
        <w:description w:val=""/>
        <w:guid w:val="{5002b1ef-bb4a-461a-a5af-e82909f0b498}"/>
      </w:docPartPr>
      <w:docPartBody>
        <w:p>
          <w:r>
            <w:rPr>
              <w:color w:val="808080"/>
            </w:rPr>
            <w:t>单击此处输入文字。</w:t>
          </w:r>
        </w:p>
      </w:docPartBody>
    </w:docPart>
    <w:docPart>
      <w:docPartPr>
        <w:name w:val="{1e7a4541-04d3-4d27-a2b8-e63975880994}"/>
        <w:style w:val=""/>
        <w:category>
          <w:name w:val="常规"/>
          <w:gallery w:val="placeholder"/>
        </w:category>
        <w:types>
          <w:type w:val="bbPlcHdr"/>
        </w:types>
        <w:behaviors>
          <w:behavior w:val="content"/>
        </w:behaviors>
        <w:description w:val=""/>
        <w:guid w:val="{1e7a4541-04d3-4d27-a2b8-e63975880994}"/>
      </w:docPartPr>
      <w:docPartBody>
        <w:p>
          <w:r>
            <w:rPr>
              <w:color w:val="808080"/>
            </w:rPr>
            <w:t>单击此处输入文字。</w:t>
          </w:r>
        </w:p>
      </w:docPartBody>
    </w:docPart>
    <w:docPart>
      <w:docPartPr>
        <w:name w:val="{84387efc-d347-4007-a756-9a9a59a6e21a}"/>
        <w:style w:val=""/>
        <w:category>
          <w:name w:val="常规"/>
          <w:gallery w:val="placeholder"/>
        </w:category>
        <w:types>
          <w:type w:val="bbPlcHdr"/>
        </w:types>
        <w:behaviors>
          <w:behavior w:val="content"/>
        </w:behaviors>
        <w:description w:val=""/>
        <w:guid w:val="{84387efc-d347-4007-a756-9a9a59a6e21a}"/>
      </w:docPartPr>
      <w:docPartBody>
        <w:p>
          <w:r>
            <w:rPr>
              <w:color w:val="808080"/>
            </w:rPr>
            <w:t>单击此处输入文字。</w:t>
          </w:r>
        </w:p>
      </w:docPartBody>
    </w:docPart>
    <w:docPart>
      <w:docPartPr>
        <w:name w:val="{4b2a500a-245a-4d81-922d-39dd281de77b}"/>
        <w:style w:val=""/>
        <w:category>
          <w:name w:val="常规"/>
          <w:gallery w:val="placeholder"/>
        </w:category>
        <w:types>
          <w:type w:val="bbPlcHdr"/>
        </w:types>
        <w:behaviors>
          <w:behavior w:val="content"/>
        </w:behaviors>
        <w:description w:val=""/>
        <w:guid w:val="{4b2a500a-245a-4d81-922d-39dd281de77b}"/>
      </w:docPartPr>
      <w:docPartBody>
        <w:p>
          <w:r>
            <w:rPr>
              <w:color w:val="808080"/>
            </w:rPr>
            <w:t>单击此处输入文字。</w:t>
          </w:r>
        </w:p>
      </w:docPartBody>
    </w:docPart>
    <w:docPart>
      <w:docPartPr>
        <w:name w:val="{616ed68e-42f2-4e58-ac64-1cd12b2425c4}"/>
        <w:style w:val=""/>
        <w:category>
          <w:name w:val="常规"/>
          <w:gallery w:val="placeholder"/>
        </w:category>
        <w:types>
          <w:type w:val="bbPlcHdr"/>
        </w:types>
        <w:behaviors>
          <w:behavior w:val="content"/>
        </w:behaviors>
        <w:description w:val=""/>
        <w:guid w:val="{616ed68e-42f2-4e58-ac64-1cd12b2425c4}"/>
      </w:docPartPr>
      <w:docPartBody>
        <w:p>
          <w:r>
            <w:rPr>
              <w:color w:val="808080"/>
            </w:rPr>
            <w:t>单击此处输入文字。</w:t>
          </w:r>
        </w:p>
      </w:docPartBody>
    </w:docPart>
    <w:docPart>
      <w:docPartPr>
        <w:name w:val="{45366fd7-7fa3-4f36-9413-937882d12d7a}"/>
        <w:style w:val=""/>
        <w:category>
          <w:name w:val="常规"/>
          <w:gallery w:val="placeholder"/>
        </w:category>
        <w:types>
          <w:type w:val="bbPlcHdr"/>
        </w:types>
        <w:behaviors>
          <w:behavior w:val="content"/>
        </w:behaviors>
        <w:description w:val=""/>
        <w:guid w:val="{45366fd7-7fa3-4f36-9413-937882d12d7a}"/>
      </w:docPartPr>
      <w:docPartBody>
        <w:p>
          <w:r>
            <w:rPr>
              <w:color w:val="808080"/>
            </w:rPr>
            <w:t>单击此处输入文字。</w:t>
          </w:r>
        </w:p>
      </w:docPartBody>
    </w:docPart>
    <w:docPart>
      <w:docPartPr>
        <w:name w:val="{373de8bb-c99d-40bd-be52-17081a9b5c6c}"/>
        <w:style w:val=""/>
        <w:category>
          <w:name w:val="常规"/>
          <w:gallery w:val="placeholder"/>
        </w:category>
        <w:types>
          <w:type w:val="bbPlcHdr"/>
        </w:types>
        <w:behaviors>
          <w:behavior w:val="content"/>
        </w:behaviors>
        <w:description w:val=""/>
        <w:guid w:val="{373de8bb-c99d-40bd-be52-17081a9b5c6c}"/>
      </w:docPartPr>
      <w:docPartBody>
        <w:p>
          <w:r>
            <w:rPr>
              <w:color w:val="808080"/>
            </w:rPr>
            <w:t>单击此处输入文字。</w:t>
          </w:r>
        </w:p>
      </w:docPartBody>
    </w:docPart>
    <w:docPart>
      <w:docPartPr>
        <w:name w:val="{89663baa-8ec2-4806-b1dc-1e29828affaf}"/>
        <w:style w:val=""/>
        <w:category>
          <w:name w:val="常规"/>
          <w:gallery w:val="placeholder"/>
        </w:category>
        <w:types>
          <w:type w:val="bbPlcHdr"/>
        </w:types>
        <w:behaviors>
          <w:behavior w:val="content"/>
        </w:behaviors>
        <w:description w:val=""/>
        <w:guid w:val="{89663baa-8ec2-4806-b1dc-1e29828affaf}"/>
      </w:docPartPr>
      <w:docPartBody>
        <w:p>
          <w:r>
            <w:rPr>
              <w:color w:val="808080"/>
            </w:rPr>
            <w:t>单击此处输入文字。</w:t>
          </w:r>
        </w:p>
      </w:docPartBody>
    </w:docPart>
    <w:docPart>
      <w:docPartPr>
        <w:name w:val="{b65984c4-f3b3-4f32-b9f8-ec19e257700f}"/>
        <w:style w:val=""/>
        <w:category>
          <w:name w:val="常规"/>
          <w:gallery w:val="placeholder"/>
        </w:category>
        <w:types>
          <w:type w:val="bbPlcHdr"/>
        </w:types>
        <w:behaviors>
          <w:behavior w:val="content"/>
        </w:behaviors>
        <w:description w:val=""/>
        <w:guid w:val="{b65984c4-f3b3-4f32-b9f8-ec19e257700f}"/>
      </w:docPartPr>
      <w:docPartBody>
        <w:p>
          <w:r>
            <w:rPr>
              <w:color w:val="808080"/>
            </w:rPr>
            <w:t>单击此处输入文字。</w:t>
          </w:r>
        </w:p>
      </w:docPartBody>
    </w:docPart>
    <w:docPart>
      <w:docPartPr>
        <w:name w:val="{652ef02e-f787-466b-8375-3f848b05235b}"/>
        <w:style w:val=""/>
        <w:category>
          <w:name w:val="常规"/>
          <w:gallery w:val="placeholder"/>
        </w:category>
        <w:types>
          <w:type w:val="bbPlcHdr"/>
        </w:types>
        <w:behaviors>
          <w:behavior w:val="content"/>
        </w:behaviors>
        <w:description w:val=""/>
        <w:guid w:val="{652ef02e-f787-466b-8375-3f848b05235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4524</Words>
  <Characters>25791</Characters>
  <Lines>214</Lines>
  <Paragraphs>60</Paragraphs>
  <TotalTime>9</TotalTime>
  <ScaleCrop>false</ScaleCrop>
  <LinksUpToDate>false</LinksUpToDate>
  <CharactersWithSpaces>30255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2023-06-05T09:51:00Z</dcterms:created>
  <dc:creator>Administrator</dc:creator>
  <cp:lastModifiedBy>w</cp:lastModifiedBy>
  <cp:lastPrinted>2023-04-21T23:33:00Z</cp:lastPrinted>
  <dcterms:modified xsi:type="dcterms:W3CDTF">2023-07-11T08:04:11Z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657FA07EF0184BACBE142E3F4E0618BA</vt:lpwstr>
  </property>
</Properties>
</file>