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after="0" w:line="570" w:lineRule="exact"/>
        <w:ind w:left="0" w:right="0"/>
        <w:jc w:val="center"/>
        <w:textAlignment w:val="auto"/>
        <w:rPr>
          <w:rFonts w:hint="eastAsia" w:ascii="方正小标宋_GBK" w:hAnsi="方正小标宋_GBK" w:eastAsia="方正小标宋_GBK" w:cs="方正小标宋_GBK"/>
          <w:color w:val="000000" w:themeColor="text1"/>
          <w:w w:val="105"/>
          <w:kern w:val="0"/>
          <w:sz w:val="44"/>
          <w:szCs w:val="44"/>
          <w:lang w:eastAsia="en-US"/>
          <w14:textFill>
            <w14:solidFill>
              <w14:schemeClr w14:val="tx1"/>
            </w14:solidFill>
          </w14:textFill>
        </w:rPr>
      </w:pPr>
      <w:r>
        <w:rPr>
          <w:rFonts w:hint="eastAsia" w:ascii="方正小标宋_GBK" w:hAnsi="方正小标宋_GBK" w:eastAsia="方正小标宋_GBK" w:cs="方正小标宋_GBK"/>
          <w:color w:val="000000" w:themeColor="text1"/>
          <w:spacing w:val="12"/>
          <w:w w:val="105"/>
          <w:kern w:val="0"/>
          <w:sz w:val="44"/>
          <w:szCs w:val="44"/>
          <w:lang w:val="en-US" w:eastAsia="zh-CN"/>
          <w14:textFill>
            <w14:solidFill>
              <w14:schemeClr w14:val="tx1"/>
            </w14:solidFill>
          </w14:textFill>
        </w:rPr>
        <w:t>夹江县</w:t>
      </w:r>
      <w:r>
        <w:rPr>
          <w:rFonts w:hint="eastAsia" w:ascii="方正小标宋_GBK" w:hAnsi="方正小标宋_GBK" w:eastAsia="方正小标宋_GBK" w:cs="方正小标宋_GBK"/>
          <w:color w:val="000000" w:themeColor="text1"/>
          <w:spacing w:val="12"/>
          <w:w w:val="105"/>
          <w:kern w:val="0"/>
          <w:sz w:val="44"/>
          <w:szCs w:val="44"/>
          <w:lang w:eastAsia="en-US"/>
          <w14:textFill>
            <w14:solidFill>
              <w14:schemeClr w14:val="tx1"/>
            </w14:solidFill>
          </w14:textFill>
        </w:rPr>
        <w:t>人民政府</w:t>
      </w:r>
      <w:r>
        <w:rPr>
          <w:rFonts w:hint="eastAsia" w:ascii="方正小标宋_GBK" w:hAnsi="方正小标宋_GBK" w:eastAsia="方正小标宋_GBK" w:cs="方正小标宋_GBK"/>
          <w:color w:val="000000" w:themeColor="text1"/>
          <w:w w:val="105"/>
          <w:kern w:val="0"/>
          <w:sz w:val="44"/>
          <w:szCs w:val="44"/>
          <w:lang w:eastAsia="en-US"/>
          <w14:textFill>
            <w14:solidFill>
              <w14:schemeClr w14:val="tx1"/>
            </w14:solidFill>
          </w14:textFill>
        </w:rPr>
        <w:t>森林防火命令</w:t>
      </w:r>
    </w:p>
    <w:p>
      <w:pPr>
        <w:keepNext w:val="0"/>
        <w:keepLines w:val="0"/>
        <w:pageBreakBefore w:val="0"/>
        <w:widowControl w:val="0"/>
        <w:kinsoku/>
        <w:wordWrap/>
        <w:overflowPunct/>
        <w:topLinePunct w:val="0"/>
        <w:autoSpaceDE w:val="0"/>
        <w:autoSpaceDN w:val="0"/>
        <w:bidi w:val="0"/>
        <w:adjustRightInd/>
        <w:snapToGrid/>
        <w:spacing w:before="0" w:after="0" w:line="570" w:lineRule="exact"/>
        <w:ind w:left="0" w:right="0"/>
        <w:jc w:val="center"/>
        <w:textAlignment w:val="auto"/>
        <w:rPr>
          <w:rFonts w:hint="eastAsia" w:ascii="楷体_GB2312" w:hAnsi="楷体_GB2312" w:eastAsia="楷体_GB2312" w:cs="楷体_GB2312"/>
          <w:color w:val="000000" w:themeColor="text1"/>
          <w:w w:val="105"/>
          <w:kern w:val="0"/>
          <w:sz w:val="32"/>
          <w:szCs w:val="32"/>
          <w:lang w:eastAsia="zh-CN"/>
          <w14:textFill>
            <w14:solidFill>
              <w14:schemeClr w14:val="tx1"/>
            </w14:solidFill>
          </w14:textFill>
        </w:rPr>
      </w:pPr>
      <w:r>
        <w:rPr>
          <w:rFonts w:hint="eastAsia" w:ascii="楷体_GB2312" w:hAnsi="楷体_GB2312" w:eastAsia="楷体_GB2312" w:cs="楷体_GB2312"/>
          <w:color w:val="000000" w:themeColor="text1"/>
          <w:w w:val="105"/>
          <w:kern w:val="0"/>
          <w:sz w:val="32"/>
          <w:szCs w:val="32"/>
          <w:lang w:eastAsia="zh-CN"/>
          <w14:textFill>
            <w14:solidFill>
              <w14:schemeClr w14:val="tx1"/>
            </w14:solidFill>
          </w14:textFill>
        </w:rPr>
        <w:t>（</w:t>
      </w:r>
      <w:r>
        <w:rPr>
          <w:rFonts w:hint="eastAsia" w:ascii="楷体_GB2312" w:hAnsi="楷体_GB2312" w:eastAsia="楷体_GB2312" w:cs="楷体_GB2312"/>
          <w:color w:val="000000" w:themeColor="text1"/>
          <w:w w:val="105"/>
          <w:kern w:val="0"/>
          <w:sz w:val="32"/>
          <w:szCs w:val="32"/>
          <w:lang w:val="en-US" w:eastAsia="zh-CN"/>
          <w14:textFill>
            <w14:solidFill>
              <w14:schemeClr w14:val="tx1"/>
            </w14:solidFill>
          </w14:textFill>
        </w:rPr>
        <w:t>征求意见稿</w:t>
      </w:r>
      <w:r>
        <w:rPr>
          <w:rFonts w:hint="eastAsia" w:ascii="楷体_GB2312" w:hAnsi="楷体_GB2312" w:eastAsia="楷体_GB2312" w:cs="楷体_GB2312"/>
          <w:color w:val="000000" w:themeColor="text1"/>
          <w:w w:val="105"/>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after="0" w:line="570" w:lineRule="exact"/>
        <w:ind w:left="0" w:right="0"/>
        <w:jc w:val="center"/>
        <w:textAlignment w:val="auto"/>
        <w:rPr>
          <w:rFonts w:hint="eastAsia" w:ascii="楷体_GB2312" w:hAnsi="楷体_GB2312" w:eastAsia="楷体_GB2312" w:cs="楷体_GB2312"/>
          <w:color w:val="000000" w:themeColor="text1"/>
          <w:w w:val="105"/>
          <w:kern w:val="0"/>
          <w:sz w:val="28"/>
          <w:szCs w:val="28"/>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after="0" w:line="570" w:lineRule="exact"/>
        <w:ind w:left="0" w:right="0" w:firstLine="672" w:firstLineChars="200"/>
        <w:jc w:val="left"/>
        <w:textAlignment w:val="auto"/>
        <w:rPr>
          <w:rFonts w:hint="eastAsia" w:ascii="仿宋_GB2312" w:hAnsi="仿宋_GB2312" w:eastAsia="仿宋_GB2312" w:cs="仿宋_GB2312"/>
          <w:color w:val="000000" w:themeColor="text1"/>
          <w:w w:val="105"/>
          <w:sz w:val="32"/>
          <w:szCs w:val="32"/>
          <w:lang w:val="en-US" w:eastAsia="en-US" w:bidi="ar-SA"/>
          <w14:textFill>
            <w14:solidFill>
              <w14:schemeClr w14:val="tx1"/>
            </w14:solidFill>
          </w14:textFill>
        </w:rPr>
      </w:pPr>
      <w:r>
        <w:rPr>
          <w:rFonts w:hint="eastAsia" w:ascii="仿宋_GB2312" w:hAnsi="仿宋_GB2312" w:eastAsia="仿宋_GB2312" w:cs="仿宋_GB2312"/>
          <w:color w:val="000000" w:themeColor="text1"/>
          <w:w w:val="105"/>
          <w:sz w:val="32"/>
          <w:szCs w:val="32"/>
          <w:lang w:val="en-US" w:eastAsia="en-US" w:bidi="ar-SA"/>
          <w14:textFill>
            <w14:solidFill>
              <w14:schemeClr w14:val="tx1"/>
            </w14:solidFill>
          </w14:textFill>
        </w:rPr>
        <w:t>为有效预防和扑救森林火灾</w:t>
      </w:r>
      <w:r>
        <w:rPr>
          <w:rFonts w:hint="eastAsia" w:ascii="仿宋_GB2312" w:hAnsi="仿宋_GB2312" w:eastAsia="仿宋_GB2312" w:cs="仿宋_GB2312"/>
          <w:color w:val="000000" w:themeColor="text1"/>
          <w:w w:val="105"/>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w w:val="105"/>
          <w:sz w:val="32"/>
          <w:szCs w:val="32"/>
          <w:lang w:val="en-US" w:eastAsia="en-US" w:bidi="ar-SA"/>
          <w14:textFill>
            <w14:solidFill>
              <w14:schemeClr w14:val="tx1"/>
            </w14:solidFill>
          </w14:textFill>
        </w:rPr>
        <w:t>全力维护人民生命财产和生态安全，根据</w:t>
      </w:r>
      <w:r>
        <w:rPr>
          <w:rFonts w:hint="eastAsia" w:ascii="仿宋_GB2312" w:hAnsi="仿宋_GB2312" w:eastAsia="仿宋_GB2312" w:cs="仿宋_GB2312"/>
          <w:color w:val="000000" w:themeColor="text1"/>
          <w:w w:val="105"/>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w w:val="105"/>
          <w:sz w:val="32"/>
          <w:szCs w:val="32"/>
          <w:highlight w:val="none"/>
          <w:lang w:val="en-US" w:eastAsia="en-US" w:bidi="ar-SA"/>
          <w14:textFill>
            <w14:solidFill>
              <w14:schemeClr w14:val="tx1"/>
            </w14:solidFill>
          </w14:textFill>
        </w:rPr>
        <w:t>中华人民共和国</w:t>
      </w:r>
      <w:r>
        <w:rPr>
          <w:rFonts w:hint="eastAsia" w:ascii="仿宋_GB2312" w:hAnsi="仿宋_GB2312" w:eastAsia="仿宋_GB2312" w:cs="仿宋_GB2312"/>
          <w:color w:val="000000" w:themeColor="text1"/>
          <w:w w:val="105"/>
          <w:sz w:val="32"/>
          <w:szCs w:val="32"/>
          <w:lang w:val="en-US" w:eastAsia="en-US" w:bidi="ar-SA"/>
          <w14:textFill>
            <w14:solidFill>
              <w14:schemeClr w14:val="tx1"/>
            </w14:solidFill>
          </w14:textFill>
        </w:rPr>
        <w:t>森林法</w:t>
      </w:r>
      <w:r>
        <w:rPr>
          <w:rFonts w:hint="eastAsia" w:ascii="仿宋_GB2312" w:hAnsi="仿宋_GB2312" w:eastAsia="仿宋_GB2312" w:cs="仿宋_GB2312"/>
          <w:color w:val="000000" w:themeColor="text1"/>
          <w:w w:val="105"/>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w w:val="105"/>
          <w:sz w:val="32"/>
          <w:szCs w:val="32"/>
          <w:lang w:val="en-US" w:eastAsia="en-US" w:bidi="ar-SA"/>
          <w14:textFill>
            <w14:solidFill>
              <w14:schemeClr w14:val="tx1"/>
            </w14:solidFill>
          </w14:textFill>
        </w:rPr>
        <w:t>森林防火条例</w:t>
      </w:r>
      <w:r>
        <w:rPr>
          <w:rFonts w:hint="eastAsia" w:ascii="仿宋_GB2312" w:hAnsi="仿宋_GB2312" w:eastAsia="仿宋_GB2312" w:cs="仿宋_GB2312"/>
          <w:color w:val="000000" w:themeColor="text1"/>
          <w:w w:val="105"/>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w w:val="105"/>
          <w:sz w:val="32"/>
          <w:szCs w:val="32"/>
          <w:lang w:val="en-US" w:eastAsia="en-US" w:bidi="ar-SA"/>
          <w14:textFill>
            <w14:solidFill>
              <w14:schemeClr w14:val="tx1"/>
            </w14:solidFill>
          </w14:textFill>
        </w:rPr>
        <w:t>四川省森林防火条例</w:t>
      </w:r>
      <w:r>
        <w:rPr>
          <w:rFonts w:hint="eastAsia" w:ascii="仿宋_GB2312" w:hAnsi="仿宋_GB2312" w:eastAsia="仿宋_GB2312" w:cs="仿宋_GB2312"/>
          <w:color w:val="000000" w:themeColor="text1"/>
          <w:w w:val="105"/>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w w:val="105"/>
          <w:sz w:val="32"/>
          <w:szCs w:val="32"/>
          <w:lang w:val="en-US" w:eastAsia="en-US" w:bidi="ar-SA"/>
          <w14:textFill>
            <w14:solidFill>
              <w14:schemeClr w14:val="tx1"/>
            </w14:solidFill>
          </w14:textFill>
        </w:rPr>
        <w:t>等有关规定，结合我</w:t>
      </w:r>
      <w:r>
        <w:rPr>
          <w:rFonts w:hint="eastAsia" w:ascii="仿宋_GB2312" w:hAnsi="仿宋_GB2312" w:eastAsia="仿宋_GB2312" w:cs="仿宋_GB2312"/>
          <w:color w:val="000000" w:themeColor="text1"/>
          <w:w w:val="105"/>
          <w:sz w:val="32"/>
          <w:szCs w:val="32"/>
          <w:lang w:val="en-US" w:eastAsia="zh-CN" w:bidi="ar-SA"/>
          <w14:textFill>
            <w14:solidFill>
              <w14:schemeClr w14:val="tx1"/>
            </w14:solidFill>
          </w14:textFill>
        </w:rPr>
        <w:t>县</w:t>
      </w:r>
      <w:r>
        <w:rPr>
          <w:rFonts w:hint="eastAsia" w:ascii="仿宋_GB2312" w:hAnsi="仿宋_GB2312" w:eastAsia="仿宋_GB2312" w:cs="仿宋_GB2312"/>
          <w:color w:val="000000" w:themeColor="text1"/>
          <w:w w:val="105"/>
          <w:sz w:val="32"/>
          <w:szCs w:val="32"/>
          <w:lang w:val="en-US" w:eastAsia="en-US" w:bidi="ar-SA"/>
          <w14:textFill>
            <w14:solidFill>
              <w14:schemeClr w14:val="tx1"/>
            </w14:solidFill>
          </w14:textFill>
        </w:rPr>
        <w:t>实际，发布如下命令。</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eastAsia" w:ascii="仿宋_GB2312" w:hAnsi="仿宋_GB2312" w:eastAsia="仿宋_GB2312" w:cs="仿宋_GB2312"/>
          <w:color w:val="000000" w:themeColor="text1"/>
          <w:w w:val="105"/>
          <w:sz w:val="32"/>
          <w:szCs w:val="32"/>
          <w:lang w:val="en-US" w:eastAsia="en-US" w:bidi="ar-SA"/>
          <w14:textFill>
            <w14:solidFill>
              <w14:schemeClr w14:val="tx1"/>
            </w14:solidFill>
          </w14:textFill>
        </w:rPr>
      </w:pPr>
      <w:r>
        <w:rPr>
          <w:rFonts w:hint="eastAsia" w:ascii="黑体" w:hAnsi="黑体" w:eastAsia="黑体" w:cs="黑体"/>
          <w:color w:val="000000" w:themeColor="text1"/>
          <w:w w:val="105"/>
          <w:sz w:val="32"/>
          <w:szCs w:val="32"/>
          <w:lang w:val="en-US" w:eastAsia="en-US" w:bidi="ar-SA"/>
          <w14:textFill>
            <w14:solidFill>
              <w14:schemeClr w14:val="tx1"/>
            </w14:solidFill>
          </w14:textFill>
        </w:rPr>
        <w:t>一、明确森林防火期。</w:t>
      </w:r>
      <w:r>
        <w:rPr>
          <w:rFonts w:hint="eastAsia" w:ascii="仿宋_GB2312" w:hAnsi="仿宋_GB2312" w:eastAsia="仿宋_GB2312" w:cs="仿宋_GB2312"/>
          <w:color w:val="000000" w:themeColor="text1"/>
          <w:w w:val="105"/>
          <w:sz w:val="32"/>
          <w:szCs w:val="32"/>
          <w:lang w:val="en-US" w:eastAsia="en-US" w:bidi="ar-SA"/>
          <w14:textFill>
            <w14:solidFill>
              <w14:schemeClr w14:val="tx1"/>
            </w14:solidFill>
          </w14:textFill>
        </w:rPr>
        <w:t>全</w:t>
      </w:r>
      <w:r>
        <w:rPr>
          <w:rFonts w:hint="eastAsia" w:ascii="仿宋_GB2312" w:hAnsi="仿宋_GB2312" w:eastAsia="仿宋_GB2312" w:cs="仿宋_GB2312"/>
          <w:color w:val="000000" w:themeColor="text1"/>
          <w:w w:val="105"/>
          <w:sz w:val="32"/>
          <w:szCs w:val="32"/>
          <w:lang w:val="en-US" w:eastAsia="zh-CN" w:bidi="ar-SA"/>
          <w14:textFill>
            <w14:solidFill>
              <w14:schemeClr w14:val="tx1"/>
            </w14:solidFill>
          </w14:textFill>
        </w:rPr>
        <w:t>县</w:t>
      </w:r>
      <w:r>
        <w:rPr>
          <w:rFonts w:hint="eastAsia" w:ascii="仿宋_GB2312" w:hAnsi="仿宋_GB2312" w:eastAsia="仿宋_GB2312" w:cs="仿宋_GB2312"/>
          <w:color w:val="000000" w:themeColor="text1"/>
          <w:w w:val="105"/>
          <w:sz w:val="32"/>
          <w:szCs w:val="32"/>
          <w:lang w:val="en-US" w:eastAsia="en-US" w:bidi="ar-SA"/>
          <w14:textFill>
            <w14:solidFill>
              <w14:schemeClr w14:val="tx1"/>
            </w14:solidFill>
          </w14:textFill>
        </w:rPr>
        <w:t>森林防火期为</w:t>
      </w:r>
      <w:r>
        <w:rPr>
          <w:rFonts w:hint="eastAsia" w:ascii="仿宋_GB2312" w:hAnsi="仿宋_GB2312" w:eastAsia="仿宋_GB2312" w:cs="仿宋_GB2312"/>
          <w:color w:val="000000" w:themeColor="text1"/>
          <w:w w:val="105"/>
          <w:sz w:val="32"/>
          <w:szCs w:val="32"/>
          <w:lang w:val="en-US" w:eastAsia="zh-CN" w:bidi="ar-SA"/>
          <w14:textFill>
            <w14:solidFill>
              <w14:schemeClr w14:val="tx1"/>
            </w14:solidFill>
          </w14:textFill>
        </w:rPr>
        <w:t>每年</w:t>
      </w:r>
      <w:r>
        <w:rPr>
          <w:rFonts w:hint="eastAsia" w:ascii="仿宋_GB2312" w:hAnsi="仿宋_GB2312" w:eastAsia="仿宋_GB2312" w:cs="仿宋_GB2312"/>
          <w:color w:val="000000" w:themeColor="text1"/>
          <w:w w:val="105"/>
          <w:sz w:val="32"/>
          <w:szCs w:val="32"/>
          <w:lang w:val="en-US" w:eastAsia="en-US" w:bidi="ar-SA"/>
          <w14:textFill>
            <w14:solidFill>
              <w14:schemeClr w14:val="tx1"/>
            </w14:solidFill>
          </w14:textFill>
        </w:rPr>
        <w:t>1月1日至5月31日，其中2月1日至5月10日为森林高火险期。</w:t>
      </w:r>
    </w:p>
    <w:p>
      <w:pPr>
        <w:keepNext w:val="0"/>
        <w:keepLines w:val="0"/>
        <w:pageBreakBefore w:val="0"/>
        <w:widowControl w:val="0"/>
        <w:kinsoku/>
        <w:wordWrap/>
        <w:overflowPunct/>
        <w:topLinePunct w:val="0"/>
        <w:autoSpaceDE w:val="0"/>
        <w:autoSpaceDN w:val="0"/>
        <w:bidi w:val="0"/>
        <w:adjustRightInd/>
        <w:snapToGrid/>
        <w:spacing w:before="0" w:after="0" w:line="570" w:lineRule="exact"/>
        <w:ind w:left="0" w:right="0" w:firstLine="672" w:firstLineChars="200"/>
        <w:jc w:val="left"/>
        <w:textAlignment w:val="auto"/>
        <w:rPr>
          <w:rFonts w:hint="eastAsia" w:ascii="仿宋_GB2312" w:hAnsi="仿宋_GB2312" w:eastAsia="仿宋_GB2312" w:cs="仿宋_GB2312"/>
          <w:sz w:val="32"/>
          <w:szCs w:val="32"/>
          <w:lang w:val="en-US" w:eastAsia="en-US"/>
        </w:rPr>
      </w:pPr>
      <w:r>
        <w:rPr>
          <w:rFonts w:hint="eastAsia" w:ascii="黑体" w:hAnsi="黑体" w:eastAsia="黑体" w:cs="黑体"/>
          <w:color w:val="000000" w:themeColor="text1"/>
          <w:w w:val="105"/>
          <w:sz w:val="32"/>
          <w:szCs w:val="32"/>
          <w:lang w:val="en-US" w:eastAsia="en-US" w:bidi="ar-SA"/>
          <w14:textFill>
            <w14:solidFill>
              <w14:schemeClr w14:val="tx1"/>
            </w14:solidFill>
          </w14:textFill>
        </w:rPr>
        <w:t>二、划定森林防火区。</w:t>
      </w:r>
      <w:r>
        <w:rPr>
          <w:rFonts w:hint="eastAsia" w:ascii="仿宋_GB2312" w:hAnsi="仿宋_GB2312" w:eastAsia="仿宋_GB2312" w:cs="仿宋_GB2312"/>
          <w:sz w:val="32"/>
          <w:szCs w:val="32"/>
          <w:lang w:eastAsia="zh-CN"/>
        </w:rPr>
        <w:t>夹江县</w:t>
      </w:r>
      <w:r>
        <w:rPr>
          <w:rFonts w:hint="eastAsia" w:ascii="仿宋_GB2312" w:hAnsi="仿宋_GB2312" w:eastAsia="仿宋_GB2312" w:cs="仿宋_GB2312"/>
          <w:sz w:val="32"/>
          <w:szCs w:val="32"/>
        </w:rPr>
        <w:t>行政区域范围内的全部林地，以及林地周边100米范围</w:t>
      </w:r>
      <w:r>
        <w:rPr>
          <w:rFonts w:hint="eastAsia" w:ascii="仿宋_GB2312" w:hAnsi="仿宋_GB2312" w:eastAsia="仿宋_GB2312" w:cs="仿宋_GB2312"/>
          <w:sz w:val="32"/>
          <w:szCs w:val="32"/>
          <w:lang w:eastAsia="zh-CN"/>
        </w:rPr>
        <w:t>内为森林防火区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before="0" w:after="0" w:line="570" w:lineRule="exact"/>
        <w:ind w:left="0" w:right="0" w:firstLine="672" w:firstLineChars="200"/>
        <w:jc w:val="left"/>
        <w:textAlignment w:val="auto"/>
        <w:rPr>
          <w:rFonts w:hint="eastAsia" w:ascii="仿宋_GB2312" w:hAnsi="仿宋_GB2312" w:eastAsia="仿宋_GB2312" w:cs="仿宋_GB2312"/>
          <w:color w:val="000000" w:themeColor="text1"/>
          <w:w w:val="105"/>
          <w:sz w:val="32"/>
          <w:szCs w:val="32"/>
          <w:lang w:val="en-US" w:eastAsia="en-US" w:bidi="ar-SA"/>
          <w14:textFill>
            <w14:solidFill>
              <w14:schemeClr w14:val="tx1"/>
            </w14:solidFill>
          </w14:textFill>
        </w:rPr>
      </w:pPr>
      <w:r>
        <w:rPr>
          <w:rFonts w:hint="eastAsia" w:ascii="黑体" w:hAnsi="黑体" w:eastAsia="黑体" w:cs="黑体"/>
          <w:color w:val="000000" w:themeColor="text1"/>
          <w:w w:val="105"/>
          <w:sz w:val="32"/>
          <w:szCs w:val="32"/>
          <w:lang w:val="en-US" w:eastAsia="en-US" w:bidi="ar-SA"/>
          <w14:textFill>
            <w14:solidFill>
              <w14:schemeClr w14:val="tx1"/>
            </w14:solidFill>
          </w14:textFill>
        </w:rPr>
        <w:t>三、适时发布禁火令。</w:t>
      </w:r>
      <w:r>
        <w:rPr>
          <w:rFonts w:hint="eastAsia" w:ascii="仿宋_GB2312" w:hAnsi="仿宋_GB2312" w:eastAsia="仿宋_GB2312" w:cs="仿宋_GB2312"/>
          <w:color w:val="000000" w:themeColor="text1"/>
          <w:w w:val="105"/>
          <w:sz w:val="32"/>
          <w:szCs w:val="32"/>
          <w:lang w:val="en-US" w:eastAsia="en-US" w:bidi="ar-SA"/>
          <w14:textFill>
            <w14:solidFill>
              <w14:schemeClr w14:val="tx1"/>
            </w14:solidFill>
          </w14:textFill>
        </w:rPr>
        <w:t>预报有高温、干旱、大风、强雷暴等高火险天气时，县人民政府适时发布禁火令，严禁一切野外用火</w:t>
      </w:r>
      <w:r>
        <w:rPr>
          <w:rFonts w:hint="eastAsia" w:ascii="仿宋_GB2312" w:hAnsi="仿宋_GB2312" w:eastAsia="仿宋_GB2312" w:cs="仿宋_GB2312"/>
          <w:color w:val="000000" w:themeColor="text1"/>
          <w:w w:val="105"/>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w w:val="105"/>
          <w:sz w:val="32"/>
          <w:szCs w:val="32"/>
          <w:lang w:val="en-US" w:eastAsia="en-US" w:bidi="ar-SA"/>
          <w14:textFill>
            <w14:solidFill>
              <w14:schemeClr w14:val="tx1"/>
            </w14:solidFill>
          </w14:textFill>
        </w:rPr>
        <w:t>对可能引起森林火灾的居民生活用火应当严格管理</w:t>
      </w:r>
      <w:r>
        <w:rPr>
          <w:rFonts w:hint="eastAsia" w:ascii="仿宋_GB2312" w:hAnsi="仿宋_GB2312" w:eastAsia="仿宋_GB2312" w:cs="仿宋_GB2312"/>
          <w:color w:val="000000" w:themeColor="text1"/>
          <w:w w:val="105"/>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w w:val="105"/>
          <w:sz w:val="32"/>
          <w:szCs w:val="32"/>
          <w:lang w:val="en-US" w:eastAsia="en-US" w:bidi="ar-SA"/>
          <w14:textFill>
            <w14:solidFill>
              <w14:schemeClr w14:val="tx1"/>
            </w14:solidFill>
          </w14:textFill>
        </w:rPr>
        <w:t>必要时对高火险区实施封山管理，除封山区域内居民和森林防灭火有关工作人员外，其余人员未经批准一律不得进入。</w:t>
      </w:r>
    </w:p>
    <w:p>
      <w:pPr>
        <w:keepNext w:val="0"/>
        <w:keepLines w:val="0"/>
        <w:pageBreakBefore w:val="0"/>
        <w:widowControl w:val="0"/>
        <w:kinsoku/>
        <w:wordWrap/>
        <w:overflowPunct/>
        <w:topLinePunct w:val="0"/>
        <w:autoSpaceDE w:val="0"/>
        <w:autoSpaceDN w:val="0"/>
        <w:bidi w:val="0"/>
        <w:adjustRightInd/>
        <w:snapToGrid/>
        <w:spacing w:before="0" w:after="0" w:line="570" w:lineRule="exact"/>
        <w:ind w:left="0" w:right="0" w:firstLine="672" w:firstLineChars="200"/>
        <w:jc w:val="left"/>
        <w:textAlignment w:val="auto"/>
        <w:rPr>
          <w:rFonts w:hint="eastAsia" w:ascii="仿宋_GB2312" w:hAnsi="仿宋_GB2312" w:eastAsia="仿宋_GB2312" w:cs="仿宋_GB2312"/>
          <w:color w:val="000000" w:themeColor="text1"/>
          <w:w w:val="105"/>
          <w:sz w:val="32"/>
          <w:szCs w:val="32"/>
          <w:lang w:val="en-US" w:eastAsia="en-US" w:bidi="ar-SA"/>
          <w14:textFill>
            <w14:solidFill>
              <w14:schemeClr w14:val="tx1"/>
            </w14:solidFill>
          </w14:textFill>
        </w:rPr>
      </w:pPr>
      <w:r>
        <w:rPr>
          <w:rFonts w:hint="eastAsia" w:ascii="黑体" w:hAnsi="黑体" w:eastAsia="黑体" w:cs="黑体"/>
          <w:color w:val="000000" w:themeColor="text1"/>
          <w:w w:val="105"/>
          <w:sz w:val="32"/>
          <w:szCs w:val="32"/>
          <w:lang w:val="en-US" w:eastAsia="en-US" w:bidi="ar-SA"/>
          <w14:textFill>
            <w14:solidFill>
              <w14:schemeClr w14:val="tx1"/>
            </w14:solidFill>
          </w14:textFill>
        </w:rPr>
        <w:t>四、严格野外火源管控。</w:t>
      </w:r>
      <w:r>
        <w:rPr>
          <w:rFonts w:hint="eastAsia" w:ascii="仿宋_GB2312" w:hAnsi="仿宋_GB2312" w:eastAsia="仿宋_GB2312" w:cs="仿宋_GB2312"/>
          <w:color w:val="000000" w:themeColor="text1"/>
          <w:w w:val="105"/>
          <w:sz w:val="32"/>
          <w:szCs w:val="32"/>
          <w:lang w:val="en-US" w:eastAsia="en-US" w:bidi="ar-SA"/>
          <w14:textFill>
            <w14:solidFill>
              <w14:schemeClr w14:val="tx1"/>
            </w14:solidFill>
          </w14:textFill>
        </w:rPr>
        <w:t>森林防火期内，应当遵守以下规定：</w:t>
      </w:r>
    </w:p>
    <w:p>
      <w:pPr>
        <w:keepNext w:val="0"/>
        <w:keepLines w:val="0"/>
        <w:pageBreakBefore w:val="0"/>
        <w:widowControl w:val="0"/>
        <w:kinsoku/>
        <w:wordWrap/>
        <w:overflowPunct/>
        <w:topLinePunct w:val="0"/>
        <w:autoSpaceDE w:val="0"/>
        <w:autoSpaceDN w:val="0"/>
        <w:bidi w:val="0"/>
        <w:adjustRightInd/>
        <w:snapToGrid/>
        <w:spacing w:before="0" w:after="0" w:line="570" w:lineRule="exact"/>
        <w:ind w:left="0" w:right="0" w:firstLine="672" w:firstLineChars="200"/>
        <w:jc w:val="left"/>
        <w:textAlignment w:val="auto"/>
        <w:rPr>
          <w:rFonts w:hint="eastAsia" w:ascii="仿宋_GB2312" w:hAnsi="仿宋_GB2312" w:eastAsia="仿宋_GB2312" w:cs="仿宋_GB2312"/>
          <w:color w:val="auto"/>
          <w:w w:val="105"/>
          <w:sz w:val="32"/>
          <w:szCs w:val="32"/>
          <w:lang w:val="en-US" w:eastAsia="en-US" w:bidi="ar-SA"/>
        </w:rPr>
      </w:pPr>
      <w:r>
        <w:rPr>
          <w:rFonts w:hint="eastAsia" w:ascii="仿宋_GB2312" w:hAnsi="仿宋_GB2312" w:eastAsia="仿宋_GB2312" w:cs="仿宋_GB2312"/>
          <w:color w:val="000000" w:themeColor="text1"/>
          <w:w w:val="105"/>
          <w:sz w:val="32"/>
          <w:szCs w:val="32"/>
          <w:lang w:val="en-US" w:eastAsia="en-US" w:bidi="ar-SA"/>
          <w14:textFill>
            <w14:solidFill>
              <w14:schemeClr w14:val="tx1"/>
            </w14:solidFill>
          </w14:textFill>
        </w:rPr>
        <w:t>（一）</w:t>
      </w:r>
      <w:r>
        <w:rPr>
          <w:rFonts w:hint="eastAsia" w:ascii="仿宋_GB2312" w:hAnsi="仿宋_GB2312" w:eastAsia="仿宋_GB2312" w:cs="仿宋_GB2312"/>
          <w:color w:val="000000" w:themeColor="text1"/>
          <w:w w:val="105"/>
          <w:sz w:val="32"/>
          <w:szCs w:val="32"/>
          <w:lang w:val="en-US" w:eastAsia="zh-CN" w:bidi="ar-SA"/>
          <w14:textFill>
            <w14:solidFill>
              <w14:schemeClr w14:val="tx1"/>
            </w14:solidFill>
          </w14:textFill>
        </w:rPr>
        <w:t>严</w:t>
      </w:r>
      <w:r>
        <w:rPr>
          <w:rFonts w:hint="eastAsia" w:ascii="仿宋_GB2312" w:hAnsi="仿宋_GB2312" w:eastAsia="仿宋_GB2312" w:cs="仿宋_GB2312"/>
          <w:sz w:val="32"/>
          <w:szCs w:val="32"/>
        </w:rPr>
        <w:t>禁在森林防火区内野外吸烟、烧纸、烧香、点烛</w:t>
      </w:r>
      <w:r>
        <w:rPr>
          <w:rFonts w:hint="eastAsia" w:ascii="仿宋_GB2312" w:hAnsi="仿宋_GB2312" w:eastAsia="仿宋_GB2312" w:cs="仿宋_GB2312"/>
          <w:color w:val="000000" w:themeColor="text1"/>
          <w:w w:val="105"/>
          <w:sz w:val="32"/>
          <w:szCs w:val="32"/>
          <w:lang w:val="en-US" w:eastAsia="zh-CN" w:bidi="ar-SA"/>
          <w14:textFill>
            <w14:solidFill>
              <w14:schemeClr w14:val="tx1"/>
            </w14:solidFill>
          </w14:textFill>
        </w:rPr>
        <w:t>、</w:t>
      </w:r>
      <w:r>
        <w:rPr>
          <w:rFonts w:hint="eastAsia" w:ascii="仿宋_GB2312" w:hAnsi="仿宋_GB2312" w:eastAsia="仿宋_GB2312" w:cs="仿宋_GB2312"/>
          <w:sz w:val="32"/>
          <w:szCs w:val="32"/>
        </w:rPr>
        <w:t>燃放烟花爆竹、点放孔明灯、烧蜂、</w:t>
      </w:r>
      <w:r>
        <w:rPr>
          <w:rFonts w:hint="eastAsia" w:ascii="仿宋_GB2312" w:hAnsi="仿宋_GB2312" w:eastAsia="仿宋_GB2312" w:cs="仿宋_GB2312"/>
          <w:sz w:val="32"/>
          <w:szCs w:val="32"/>
          <w:lang w:eastAsia="zh-CN"/>
        </w:rPr>
        <w:t>烧山驱兽、</w:t>
      </w:r>
      <w:r>
        <w:rPr>
          <w:rFonts w:hint="eastAsia" w:ascii="仿宋_GB2312" w:hAnsi="仿宋_GB2312" w:eastAsia="仿宋_GB2312" w:cs="仿宋_GB2312"/>
          <w:sz w:val="32"/>
          <w:szCs w:val="32"/>
        </w:rPr>
        <w:t>电猫狩猎、火把照明、生火取暖、野炊、烧荒、烧地边、烧田埂、焚烧秸杆、烧灰积肥、焚烧垃圾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户外露营用火</w:t>
      </w:r>
      <w:r>
        <w:rPr>
          <w:rFonts w:hint="eastAsia" w:ascii="仿宋_GB2312" w:hAnsi="仿宋_GB2312" w:eastAsia="仿宋_GB2312" w:cs="仿宋_GB2312"/>
          <w:color w:val="auto"/>
          <w:sz w:val="32"/>
          <w:szCs w:val="32"/>
        </w:rPr>
        <w:t>及其他野外用火</w:t>
      </w:r>
      <w:r>
        <w:rPr>
          <w:rFonts w:hint="eastAsia" w:ascii="仿宋_GB2312" w:hAnsi="仿宋_GB2312" w:eastAsia="仿宋_GB2312" w:cs="仿宋_GB2312"/>
          <w:color w:val="auto"/>
          <w:w w:val="105"/>
          <w:sz w:val="32"/>
          <w:szCs w:val="32"/>
          <w:lang w:val="en-US" w:eastAsia="en-US"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w w:val="105"/>
          <w:sz w:val="32"/>
          <w:szCs w:val="32"/>
          <w:lang w:val="en-US" w:eastAsia="en-US" w:bidi="ar-SA"/>
        </w:rPr>
        <w:t>（二）</w:t>
      </w:r>
      <w:r>
        <w:rPr>
          <w:rFonts w:hint="eastAsia" w:ascii="仿宋_GB2312" w:hAnsi="仿宋_GB2312" w:eastAsia="仿宋_GB2312" w:cs="仿宋_GB2312"/>
          <w:color w:val="auto"/>
          <w:sz w:val="32"/>
          <w:szCs w:val="32"/>
        </w:rPr>
        <w:t>农林牧生产、焚烧疫木、工程勘察设计、施工作业、民俗活动等确需在森林防火区内野外用火的，应当向县政府提交用火申请，经审查批准后，在指定时间、指定地点、明确现场责任人和采取防“跑火”等安全措施的前提下实施。在森林防火区内进行实弹演习、爆破等活动的,按程序逐级报经</w:t>
      </w:r>
      <w:r>
        <w:rPr>
          <w:rFonts w:hint="eastAsia" w:ascii="仿宋_GB2312" w:hAnsi="仿宋_GB2312" w:eastAsia="仿宋_GB2312" w:cs="仿宋_GB2312"/>
          <w:color w:val="auto"/>
          <w:sz w:val="32"/>
          <w:szCs w:val="32"/>
          <w:lang w:val="en-US" w:eastAsia="zh-CN"/>
        </w:rPr>
        <w:t>省人民政府林业行政主管部门批准，并采取必要的防火措施；</w:t>
      </w:r>
    </w:p>
    <w:p>
      <w:pPr>
        <w:keepNext w:val="0"/>
        <w:keepLines w:val="0"/>
        <w:pageBreakBefore w:val="0"/>
        <w:widowControl w:val="0"/>
        <w:kinsoku/>
        <w:wordWrap/>
        <w:overflowPunct/>
        <w:topLinePunct w:val="0"/>
        <w:autoSpaceDE w:val="0"/>
        <w:autoSpaceDN w:val="0"/>
        <w:bidi w:val="0"/>
        <w:adjustRightInd/>
        <w:snapToGrid/>
        <w:spacing w:before="0" w:after="0" w:line="570" w:lineRule="exact"/>
        <w:ind w:left="0" w:right="0" w:firstLine="672"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w w:val="105"/>
          <w:sz w:val="32"/>
          <w:szCs w:val="32"/>
          <w:lang w:val="en-US" w:eastAsia="en-US" w:bidi="ar-SA"/>
        </w:rPr>
        <w:t>（三）</w:t>
      </w:r>
      <w:r>
        <w:rPr>
          <w:rFonts w:hint="eastAsia" w:ascii="仿宋_GB2312" w:hAnsi="仿宋_GB2312" w:eastAsia="仿宋_GB2312" w:cs="仿宋_GB2312"/>
          <w:color w:val="auto"/>
          <w:sz w:val="32"/>
          <w:szCs w:val="32"/>
        </w:rPr>
        <w:t>按规定在林区要道、国有林场林区、各类自然保护地、景区等出入口设立检查站，并设置森林防火警示牌、预警信息提示牌和“防火码”。凡进入森林防火区的人员和车辆必须扫码登记，接受防火检查，主动交出火源由检查站代为保管，严禁携带火种或易燃易爆物品进入森林防火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机动车等司乘人员严禁在森林防火区丢弃火种火源。</w:t>
      </w:r>
    </w:p>
    <w:p>
      <w:pPr>
        <w:keepNext w:val="0"/>
        <w:keepLines w:val="0"/>
        <w:pageBreakBefore w:val="0"/>
        <w:widowControl w:val="0"/>
        <w:kinsoku/>
        <w:wordWrap/>
        <w:overflowPunct/>
        <w:topLinePunct w:val="0"/>
        <w:autoSpaceDE w:val="0"/>
        <w:autoSpaceDN w:val="0"/>
        <w:bidi w:val="0"/>
        <w:adjustRightInd/>
        <w:snapToGrid/>
        <w:spacing w:before="0" w:after="0" w:line="57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凡违反以上规定</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，县政府</w:t>
      </w:r>
      <w:r>
        <w:rPr>
          <w:rFonts w:hint="eastAsia" w:ascii="仿宋_GB2312" w:hAnsi="仿宋_GB2312" w:eastAsia="仿宋_GB2312" w:cs="仿宋_GB2312"/>
          <w:color w:val="auto"/>
          <w:sz w:val="32"/>
          <w:szCs w:val="32"/>
          <w:lang w:val="en-US" w:eastAsia="zh-CN"/>
        </w:rPr>
        <w:t>自然资源</w:t>
      </w:r>
      <w:r>
        <w:rPr>
          <w:rFonts w:hint="eastAsia" w:ascii="仿宋_GB2312" w:hAnsi="仿宋_GB2312" w:eastAsia="仿宋_GB2312" w:cs="仿宋_GB2312"/>
          <w:color w:val="auto"/>
          <w:sz w:val="32"/>
          <w:szCs w:val="32"/>
        </w:rPr>
        <w:t>行政主管部门或承接有关行政处罚权的镇（</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rPr>
        <w:t>）依法给予相应处罚；构成犯罪的，依法追究刑事责任。对森林防火期内在森林防火区野外烧纸、吸烟等违规用火的，一律依法给予行政处罚；公职人员一律依规依纪依法给予党纪政务处分直至开除公职；对在场不予制止或制止不力的领导干部一律依规依纪依法给予党纪政务处分；对引起火灾构成犯罪的，一律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eastAsia" w:ascii="仿宋" w:hAnsi="仿宋" w:eastAsia="仿宋" w:cs="仿宋"/>
          <w:color w:val="auto"/>
          <w:sz w:val="32"/>
          <w:szCs w:val="32"/>
        </w:rPr>
      </w:pPr>
      <w:r>
        <w:rPr>
          <w:rFonts w:hint="eastAsia" w:ascii="黑体" w:hAnsi="黑体" w:eastAsia="黑体" w:cs="黑体"/>
          <w:color w:val="auto"/>
          <w:w w:val="105"/>
          <w:sz w:val="32"/>
          <w:szCs w:val="32"/>
          <w:lang w:val="en-US" w:eastAsia="en-US" w:bidi="ar-SA"/>
        </w:rPr>
        <w:t>五、排查整治火灾隐患。</w:t>
      </w:r>
      <w:r>
        <w:rPr>
          <w:rFonts w:hint="eastAsia" w:ascii="仿宋_GB2312" w:hAnsi="仿宋_GB2312" w:eastAsia="仿宋_GB2312" w:cs="仿宋_GB2312"/>
          <w:color w:val="auto"/>
          <w:sz w:val="32"/>
          <w:szCs w:val="32"/>
          <w:lang w:eastAsia="zh-CN"/>
        </w:rPr>
        <w:t>县级</w:t>
      </w:r>
      <w:r>
        <w:rPr>
          <w:rFonts w:hint="eastAsia" w:ascii="仿宋_GB2312" w:hAnsi="仿宋_GB2312" w:eastAsia="仿宋_GB2312" w:cs="仿宋_GB2312"/>
          <w:color w:val="auto"/>
          <w:sz w:val="32"/>
          <w:szCs w:val="32"/>
        </w:rPr>
        <w:t>有关部门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）、各镇（街</w:t>
      </w:r>
      <w:r>
        <w:rPr>
          <w:rFonts w:hint="eastAsia" w:ascii="仿宋_GB2312" w:hAnsi="仿宋_GB2312" w:eastAsia="仿宋_GB2312" w:cs="仿宋_GB2312"/>
          <w:color w:val="auto"/>
          <w:sz w:val="32"/>
          <w:szCs w:val="32"/>
          <w:lang w:val="en-US" w:eastAsia="zh-CN"/>
        </w:rPr>
        <w:t>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应常态化组织开展森林火灾隐患排查整治。</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森林防火区内的城镇、道路、村庄（住户）、学校、医院、养老院、文物保护单位、易燃易爆站库、工厂、矿山、电站、施工工地、行人休息驿站、景区旅游步道、祭祀点等重点地段、重点目标和重要设施，以及在森林火灾危险地段的</w:t>
      </w:r>
      <w:r>
        <w:rPr>
          <w:rFonts w:hint="eastAsia" w:ascii="仿宋_GB2312" w:hAnsi="仿宋_GB2312" w:eastAsia="仿宋_GB2312" w:cs="仿宋_GB2312"/>
          <w:color w:val="auto"/>
          <w:sz w:val="32"/>
          <w:szCs w:val="32"/>
          <w:lang w:eastAsia="zh-CN"/>
        </w:rPr>
        <w:t>铁路、</w:t>
      </w:r>
      <w:r>
        <w:rPr>
          <w:rFonts w:hint="eastAsia" w:ascii="仿宋_GB2312" w:hAnsi="仿宋_GB2312" w:eastAsia="仿宋_GB2312" w:cs="仿宋_GB2312"/>
          <w:color w:val="auto"/>
          <w:sz w:val="32"/>
          <w:szCs w:val="32"/>
        </w:rPr>
        <w:t>石油天然气管道、电力和电信线路设施等，有关责任部门（单位）应当开设防火隔离带，清除沿途、周边和下方的枯枝落叶、杂草等可燃物，对电力、通信线路和石油天然气管道定期组织看守巡护和安全检查，整治存在的火灾隐患。</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w w:val="105"/>
          <w:sz w:val="32"/>
          <w:szCs w:val="32"/>
          <w:lang w:val="en-US" w:eastAsia="en-US" w:bidi="ar-SA"/>
        </w:rPr>
        <w:t>六、实施分区分级精准防控。</w:t>
      </w:r>
      <w:r>
        <w:rPr>
          <w:rFonts w:hint="eastAsia" w:ascii="仿宋_GB2312" w:hAnsi="仿宋_GB2312" w:eastAsia="仿宋_GB2312" w:cs="仿宋_GB2312"/>
          <w:color w:val="auto"/>
          <w:sz w:val="32"/>
          <w:szCs w:val="32"/>
        </w:rPr>
        <w:t>县政府</w:t>
      </w:r>
      <w:r>
        <w:rPr>
          <w:rStyle w:val="7"/>
          <w:rFonts w:hint="eastAsia" w:ascii="仿宋_GB2312" w:hAnsi="仿宋_GB2312" w:eastAsia="仿宋_GB2312" w:cs="仿宋_GB2312"/>
          <w:color w:val="auto"/>
          <w:kern w:val="2"/>
          <w:sz w:val="32"/>
          <w:szCs w:val="24"/>
          <w:lang w:val="en-US" w:eastAsia="zh-CN" w:bidi="ar-SA"/>
        </w:rPr>
        <w:t>根据本地火险等级、火险区划等实施分区分级精准防控，明确森林防火责任区域和职责任务，落实村民轮流值班和巡山护林员制度，实行网格化管理。</w:t>
      </w:r>
      <w:r>
        <w:rPr>
          <w:rFonts w:hint="eastAsia" w:ascii="仿宋_GB2312" w:hAnsi="仿宋_GB2312" w:eastAsia="仿宋_GB2312" w:cs="仿宋_GB2312"/>
          <w:color w:val="auto"/>
          <w:sz w:val="32"/>
          <w:szCs w:val="32"/>
        </w:rPr>
        <w:t>对无民事行为能力人和限制民事行为能力人，负有监护责任的单位和个人应当采取措施防止被监护人野外用火、玩火。</w:t>
      </w:r>
      <w:r>
        <w:rPr>
          <w:rFonts w:hint="eastAsia" w:ascii="仿宋_GB2312" w:hAnsi="仿宋_GB2312" w:eastAsia="仿宋_GB2312" w:cs="仿宋_GB2312"/>
          <w:color w:val="auto"/>
          <w:sz w:val="32"/>
          <w:szCs w:val="32"/>
          <w:lang w:val="en-US" w:eastAsia="zh-CN"/>
        </w:rPr>
        <w:t>自然资源</w:t>
      </w:r>
      <w:r>
        <w:rPr>
          <w:rFonts w:hint="eastAsia" w:ascii="仿宋_GB2312" w:hAnsi="仿宋_GB2312" w:eastAsia="仿宋_GB2312" w:cs="仿宋_GB2312"/>
          <w:color w:val="auto"/>
          <w:sz w:val="32"/>
          <w:szCs w:val="32"/>
        </w:rPr>
        <w:t>行政主管部门要加强检查指导，督促国有林保护管理单位和镇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加强防火检查和巡山护林，守住山、看住人、管住火。</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w w:val="105"/>
          <w:sz w:val="32"/>
          <w:szCs w:val="32"/>
          <w:lang w:val="en-US" w:eastAsia="en-US" w:bidi="ar-SA"/>
        </w:rPr>
        <w:t>七、加强应急准备和科学处置。</w:t>
      </w:r>
      <w:r>
        <w:rPr>
          <w:rFonts w:hint="eastAsia" w:ascii="仿宋_GB2312" w:hAnsi="仿宋_GB2312" w:eastAsia="仿宋_GB2312" w:cs="仿宋_GB2312"/>
          <w:color w:val="auto"/>
          <w:sz w:val="32"/>
          <w:szCs w:val="32"/>
        </w:rPr>
        <w:t>森林防火期内，各级森林防灭火指挥机构和</w:t>
      </w:r>
      <w:r>
        <w:rPr>
          <w:rFonts w:hint="eastAsia" w:ascii="仿宋_GB2312" w:hAnsi="仿宋_GB2312" w:eastAsia="仿宋_GB2312" w:cs="仿宋_GB2312"/>
          <w:color w:val="auto"/>
          <w:sz w:val="32"/>
          <w:szCs w:val="32"/>
          <w:lang w:val="en-US" w:eastAsia="zh-CN"/>
        </w:rPr>
        <w:t>重点</w:t>
      </w:r>
      <w:r>
        <w:rPr>
          <w:rFonts w:hint="eastAsia" w:ascii="仿宋_GB2312" w:hAnsi="仿宋_GB2312" w:eastAsia="仿宋_GB2312" w:cs="仿宋_GB2312"/>
          <w:color w:val="auto"/>
          <w:sz w:val="32"/>
          <w:szCs w:val="32"/>
        </w:rPr>
        <w:t>森林防灭火任务的部门</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rPr>
        <w:t>）执行24小时值班和领导带班制度。</w:t>
      </w:r>
      <w:r>
        <w:rPr>
          <w:rFonts w:hint="eastAsia" w:ascii="仿宋_GB2312" w:hAnsi="仿宋_GB2312" w:eastAsia="仿宋_GB2312" w:cs="仿宋_GB2312"/>
          <w:color w:val="auto"/>
          <w:sz w:val="32"/>
          <w:szCs w:val="32"/>
          <w:lang w:eastAsia="zh-CN"/>
        </w:rPr>
        <w:t>县级</w:t>
      </w:r>
      <w:r>
        <w:rPr>
          <w:rFonts w:hint="eastAsia" w:ascii="仿宋_GB2312" w:hAnsi="仿宋_GB2312" w:eastAsia="仿宋_GB2312" w:cs="仿宋_GB2312"/>
          <w:color w:val="auto"/>
          <w:sz w:val="32"/>
          <w:szCs w:val="32"/>
        </w:rPr>
        <w:t>有关部门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）、各镇（街</w:t>
      </w:r>
      <w:r>
        <w:rPr>
          <w:rFonts w:hint="eastAsia" w:ascii="仿宋_GB2312" w:hAnsi="仿宋_GB2312" w:eastAsia="仿宋_GB2312" w:cs="仿宋_GB2312"/>
          <w:color w:val="auto"/>
          <w:sz w:val="32"/>
          <w:szCs w:val="32"/>
          <w:lang w:val="en-US" w:eastAsia="zh-CN"/>
        </w:rPr>
        <w:t>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要“空天地”结合开展火情监测，保持防灭火设施和装备完好有效，备足应急救援物资，补充蓄满消防用水，各类扑火队伍要做好扑火准备，火情早期处置队伍在防火期要靠前驻防、带装巡护，高火险时段在重点地段前置扑火力量、装备和物资。一旦出现火情，按预案规定启动应急响应，第一时间采取措施疏散转移受威胁群众和保护重要设施，在具备条件和扑火人员安全有保障的前提下，立即采取安全有效的措施有序组织开展扑救，控制火情，防止蔓延，减少损失。</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eastAsia" w:ascii="仿宋_GB2312" w:hAnsi="仿宋_GB2312" w:eastAsia="仿宋_GB2312" w:cs="仿宋_GB2312"/>
          <w:sz w:val="32"/>
          <w:szCs w:val="32"/>
        </w:rPr>
      </w:pPr>
      <w:r>
        <w:rPr>
          <w:rFonts w:hint="eastAsia" w:ascii="黑体" w:hAnsi="黑体" w:eastAsia="黑体" w:cs="黑体"/>
          <w:color w:val="auto"/>
          <w:w w:val="105"/>
          <w:sz w:val="32"/>
          <w:szCs w:val="32"/>
          <w:highlight w:val="none"/>
          <w:lang w:val="en-US" w:eastAsia="en-US" w:bidi="ar-SA"/>
        </w:rPr>
        <w:t>八、强化宣传教育。</w:t>
      </w:r>
      <w:r>
        <w:rPr>
          <w:rFonts w:hint="eastAsia" w:ascii="仿宋_GB2312" w:hAnsi="仿宋_GB2312" w:eastAsia="仿宋_GB2312" w:cs="仿宋_GB2312"/>
          <w:color w:val="auto"/>
          <w:sz w:val="32"/>
          <w:szCs w:val="32"/>
          <w:lang w:eastAsia="zh-CN"/>
        </w:rPr>
        <w:t>县级</w:t>
      </w:r>
      <w:r>
        <w:rPr>
          <w:rFonts w:hint="eastAsia" w:ascii="仿宋_GB2312" w:hAnsi="仿宋_GB2312" w:eastAsia="仿宋_GB2312" w:cs="仿宋_GB2312"/>
          <w:color w:val="auto"/>
          <w:sz w:val="32"/>
          <w:szCs w:val="32"/>
        </w:rPr>
        <w:t>有关部门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）、各镇（街</w:t>
      </w:r>
      <w:r>
        <w:rPr>
          <w:rFonts w:hint="eastAsia" w:ascii="仿宋_GB2312" w:hAnsi="仿宋_GB2312" w:eastAsia="仿宋_GB2312" w:cs="仿宋_GB2312"/>
          <w:color w:val="auto"/>
          <w:sz w:val="32"/>
          <w:szCs w:val="32"/>
          <w:lang w:val="en-US" w:eastAsia="zh-CN"/>
        </w:rPr>
        <w:t>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要采取多种形式，广泛开展森林防灭火宣传教育，做好防火宣传月</w:t>
      </w:r>
      <w:r>
        <w:rPr>
          <w:rFonts w:hint="eastAsia" w:ascii="仿宋_GB2312" w:hAnsi="仿宋_GB2312" w:eastAsia="仿宋_GB2312" w:cs="仿宋_GB2312"/>
          <w:sz w:val="32"/>
          <w:szCs w:val="32"/>
        </w:rPr>
        <w:t>和“3·30”森林草原防灭火警示日等系列宣传活动，强化警示教育，引导群众移风易俗和文明安全用火，增强公众的责任意识、安全意识和法治意识，提高公众预防、避险、自救、互救和减灾能力。</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themeColor="text1"/>
          <w:w w:val="105"/>
          <w:sz w:val="32"/>
          <w:szCs w:val="32"/>
          <w:lang w:val="en-US" w:eastAsia="en-US" w:bidi="ar-SA"/>
          <w14:textFill>
            <w14:solidFill>
              <w14:schemeClr w14:val="tx1"/>
            </w14:solidFill>
          </w14:textFill>
        </w:rPr>
        <w:t>九、依法落实防灭火责任。</w:t>
      </w:r>
      <w:r>
        <w:rPr>
          <w:rFonts w:hint="eastAsia" w:ascii="仿宋_GB2312" w:hAnsi="仿宋_GB2312" w:eastAsia="仿宋_GB2312" w:cs="仿宋_GB2312"/>
          <w:sz w:val="32"/>
          <w:szCs w:val="32"/>
        </w:rPr>
        <w:t>全面执行森林防灭火工作行政首长负责制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w:t>
      </w:r>
      <w:r>
        <w:rPr>
          <w:rFonts w:hint="eastAsia" w:ascii="仿宋_GB2312" w:hAnsi="仿宋_GB2312" w:eastAsia="仿宋_GB2312" w:cs="仿宋_GB2312"/>
          <w:sz w:val="32"/>
          <w:szCs w:val="32"/>
          <w:lang w:eastAsia="zh-CN"/>
        </w:rPr>
        <w:t>细</w:t>
      </w:r>
      <w:r>
        <w:rPr>
          <w:rFonts w:hint="eastAsia" w:ascii="仿宋_GB2312" w:hAnsi="仿宋_GB2312" w:eastAsia="仿宋_GB2312" w:cs="仿宋_GB2312"/>
          <w:sz w:val="32"/>
          <w:szCs w:val="32"/>
        </w:rPr>
        <w:t>属地领导责任、部门行业监管责任和生产经营管理单位主体责任；实行县包镇（</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）包村（</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rPr>
        <w:t>）包</w:t>
      </w:r>
      <w:r>
        <w:rPr>
          <w:rFonts w:hint="eastAsia" w:ascii="仿宋_GB2312" w:hAnsi="仿宋_GB2312" w:eastAsia="仿宋_GB2312" w:cs="仿宋_GB2312"/>
          <w:sz w:val="32"/>
          <w:szCs w:val="32"/>
          <w:lang w:val="en-US" w:eastAsia="zh-CN"/>
        </w:rPr>
        <w:t>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组包户，</w:t>
      </w:r>
      <w:r>
        <w:rPr>
          <w:rFonts w:hint="eastAsia" w:ascii="仿宋_GB2312" w:hAnsi="仿宋_GB2312" w:eastAsia="仿宋_GB2312" w:cs="仿宋_GB2312"/>
          <w:sz w:val="32"/>
          <w:szCs w:val="32"/>
        </w:rPr>
        <w:t>护林员包山。林区毗邻地区、单位签订联防协议，落实联防联控责任，协同做好联防区域内的森林防灭火工作。</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themeColor="text1"/>
          <w:w w:val="105"/>
          <w:sz w:val="32"/>
          <w:szCs w:val="32"/>
          <w:lang w:val="en-US" w:eastAsia="zh-CN" w:bidi="ar-SA"/>
          <w14:textFill>
            <w14:solidFill>
              <w14:schemeClr w14:val="tx1"/>
            </w14:solidFill>
          </w14:textFill>
        </w:rPr>
        <w:t>十</w:t>
      </w:r>
      <w:r>
        <w:rPr>
          <w:rFonts w:hint="eastAsia" w:ascii="黑体" w:hAnsi="黑体" w:eastAsia="黑体" w:cs="黑体"/>
          <w:color w:val="000000" w:themeColor="text1"/>
          <w:w w:val="105"/>
          <w:sz w:val="32"/>
          <w:szCs w:val="32"/>
          <w:lang w:val="en-US" w:eastAsia="en-US" w:bidi="ar-SA"/>
          <w14:textFill>
            <w14:solidFill>
              <w14:schemeClr w14:val="tx1"/>
            </w14:solidFill>
          </w14:textFill>
        </w:rPr>
        <w:t>、加大监督检查力度。</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有关部门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）、各镇（街</w:t>
      </w:r>
      <w:r>
        <w:rPr>
          <w:rFonts w:hint="eastAsia" w:ascii="仿宋_GB2312" w:hAnsi="仿宋_GB2312" w:eastAsia="仿宋_GB2312" w:cs="仿宋_GB2312"/>
          <w:sz w:val="32"/>
          <w:szCs w:val="32"/>
          <w:lang w:val="en-US" w:eastAsia="zh-CN"/>
        </w:rPr>
        <w:t>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对检查发现的森林火灾隐患和问题，要向责任单位下发整改通知书，督促限期整改，对拒不整改的，依规依纪依法严肃处理。公安、</w:t>
      </w:r>
      <w:r>
        <w:rPr>
          <w:rFonts w:hint="eastAsia" w:ascii="仿宋_GB2312" w:hAnsi="仿宋_GB2312" w:eastAsia="仿宋_GB2312" w:cs="仿宋_GB2312"/>
          <w:sz w:val="32"/>
          <w:szCs w:val="32"/>
          <w:lang w:val="en-US" w:eastAsia="zh-CN"/>
        </w:rPr>
        <w:t>自然资源</w:t>
      </w:r>
      <w:r>
        <w:rPr>
          <w:rFonts w:hint="eastAsia" w:ascii="仿宋_GB2312" w:hAnsi="仿宋_GB2312" w:eastAsia="仿宋_GB2312" w:cs="仿宋_GB2312"/>
          <w:sz w:val="32"/>
          <w:szCs w:val="32"/>
        </w:rPr>
        <w:t>等部门坚持依法行政、依法治火，严格查处森林火灾案件，做到每案必查、每案必究。凡发生重大及以上人为森林火灾或造成重大人员伤亡的，一律依规依纪依法严肃问责。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任何单位和个人发现森林火</w:t>
      </w:r>
      <w:r>
        <w:rPr>
          <w:rFonts w:hint="eastAsia" w:ascii="仿宋_GB2312" w:hAnsi="仿宋_GB2312" w:eastAsia="仿宋_GB2312" w:cs="仿宋_GB2312"/>
          <w:sz w:val="32"/>
          <w:szCs w:val="32"/>
          <w:lang w:eastAsia="zh-CN"/>
        </w:rPr>
        <w:t>灾</w:t>
      </w:r>
      <w:r>
        <w:rPr>
          <w:rFonts w:hint="eastAsia" w:ascii="仿宋_GB2312" w:hAnsi="仿宋_GB2312" w:eastAsia="仿宋_GB2312" w:cs="仿宋_GB2312"/>
          <w:sz w:val="32"/>
          <w:szCs w:val="32"/>
        </w:rPr>
        <w:t>，应立即拨打报警电话12119。</w:t>
      </w:r>
    </w:p>
    <w:p>
      <w:pPr>
        <w:pStyle w:val="2"/>
        <w:ind w:firstLine="672" w:firstLineChars="200"/>
        <w:rPr>
          <w:rFonts w:hint="default" w:ascii="仿宋_GB2312" w:hAnsi="仿宋_GB2312" w:eastAsia="仿宋_GB2312" w:cs="仿宋_GB2312"/>
          <w:kern w:val="2"/>
          <w:sz w:val="32"/>
          <w:szCs w:val="32"/>
          <w:lang w:val="en-US" w:eastAsia="zh-CN" w:bidi="ar-SA"/>
        </w:rPr>
      </w:pPr>
      <w:r>
        <w:rPr>
          <w:rFonts w:hint="eastAsia" w:ascii="黑体" w:hAnsi="黑体" w:eastAsia="黑体" w:cs="黑体"/>
          <w:color w:val="000000" w:themeColor="text1"/>
          <w:w w:val="105"/>
          <w:kern w:val="2"/>
          <w:sz w:val="32"/>
          <w:szCs w:val="32"/>
          <w:lang w:val="en-US" w:eastAsia="zh-CN" w:bidi="ar-SA"/>
          <w14:textFill>
            <w14:solidFill>
              <w14:schemeClr w14:val="tx1"/>
            </w14:solidFill>
          </w14:textFill>
        </w:rPr>
        <w:t>十一、本防火令有限期五年。</w:t>
      </w:r>
      <w:r>
        <w:rPr>
          <w:rFonts w:hint="eastAsia" w:ascii="仿宋_GB2312" w:hAnsi="仿宋_GB2312" w:eastAsia="仿宋_GB2312" w:cs="仿宋_GB2312"/>
          <w:kern w:val="2"/>
          <w:sz w:val="32"/>
          <w:szCs w:val="32"/>
          <w:lang w:val="en-US" w:eastAsia="zh-CN" w:bidi="ar-SA"/>
        </w:rPr>
        <w:t>根据中央、省、市工作要求逐年修订。</w:t>
      </w:r>
    </w:p>
    <w:p>
      <w:pPr>
        <w:pStyle w:val="2"/>
        <w:rPr>
          <w:rFonts w:hint="eastAsia"/>
        </w:rPr>
      </w:pP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before="0" w:after="0" w:line="570" w:lineRule="exact"/>
        <w:ind w:left="0" w:right="0" w:firstLine="672" w:firstLineChars="200"/>
        <w:jc w:val="left"/>
        <w:textAlignment w:val="auto"/>
        <w:rPr>
          <w:rFonts w:hint="eastAsia" w:ascii="仿宋_GB2312" w:hAnsi="仿宋_GB2312" w:eastAsia="仿宋_GB2312" w:cs="仿宋_GB2312"/>
          <w:color w:val="000000" w:themeColor="text1"/>
          <w:w w:val="105"/>
          <w:sz w:val="32"/>
          <w:szCs w:val="32"/>
          <w:lang w:val="en-US" w:eastAsia="en-US" w:bidi="ar-SA"/>
          <w14:textFill>
            <w14:solidFill>
              <w14:schemeClr w14:val="tx1"/>
            </w14:solidFill>
          </w14:textFill>
        </w:rPr>
      </w:pPr>
    </w:p>
    <w:p>
      <w:pPr>
        <w:pStyle w:val="2"/>
        <w:rPr>
          <w:rFonts w:hint="default"/>
          <w:lang w:val="en-US" w:eastAsia="zh-CN"/>
        </w:rPr>
      </w:pPr>
    </w:p>
    <w:sectPr>
      <w:footerReference r:id="rId3" w:type="default"/>
      <w:pgSz w:w="11906" w:h="16838"/>
      <w:pgMar w:top="2098" w:right="1474" w:bottom="1984" w:left="1587" w:header="851" w:footer="1417"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59264;mso-width-relative:page;mso-height-relative:page;" filled="f" stroked="f" coordsize="21600,21600" o:gfxdata="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gVjynVAAAACA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wMjdjNTM2NzQ3ZmM1NzY2YTI1Yjg3YzY4N2I3Y2UifQ=="/>
  </w:docVars>
  <w:rsids>
    <w:rsidRoot w:val="34F06A37"/>
    <w:rsid w:val="00EE636B"/>
    <w:rsid w:val="00FF5BE1"/>
    <w:rsid w:val="06DF0467"/>
    <w:rsid w:val="0A342878"/>
    <w:rsid w:val="0B29036F"/>
    <w:rsid w:val="0D3342DC"/>
    <w:rsid w:val="0D582A0F"/>
    <w:rsid w:val="0E675E9D"/>
    <w:rsid w:val="0E8B15CA"/>
    <w:rsid w:val="11C6025A"/>
    <w:rsid w:val="12B04A66"/>
    <w:rsid w:val="16585B40"/>
    <w:rsid w:val="1DBC0763"/>
    <w:rsid w:val="1EE55D10"/>
    <w:rsid w:val="1F6355C2"/>
    <w:rsid w:val="2073514F"/>
    <w:rsid w:val="21F046BC"/>
    <w:rsid w:val="22B424E7"/>
    <w:rsid w:val="22B56DE8"/>
    <w:rsid w:val="240D7DAE"/>
    <w:rsid w:val="27EF2940"/>
    <w:rsid w:val="286F2FA1"/>
    <w:rsid w:val="29A053DC"/>
    <w:rsid w:val="2C5B4D1F"/>
    <w:rsid w:val="2CB5119F"/>
    <w:rsid w:val="2DBC0615"/>
    <w:rsid w:val="30AB4D93"/>
    <w:rsid w:val="325E3E4A"/>
    <w:rsid w:val="340F055D"/>
    <w:rsid w:val="346438BC"/>
    <w:rsid w:val="34F06A37"/>
    <w:rsid w:val="37FA03AE"/>
    <w:rsid w:val="39A46823"/>
    <w:rsid w:val="3CE31410"/>
    <w:rsid w:val="3DAE1A1E"/>
    <w:rsid w:val="3EE75183"/>
    <w:rsid w:val="3FF35E0E"/>
    <w:rsid w:val="40DE3AF6"/>
    <w:rsid w:val="41D63971"/>
    <w:rsid w:val="430B346F"/>
    <w:rsid w:val="433032BA"/>
    <w:rsid w:val="46674E60"/>
    <w:rsid w:val="4851391A"/>
    <w:rsid w:val="4B4B11F4"/>
    <w:rsid w:val="507C3BFE"/>
    <w:rsid w:val="519136D9"/>
    <w:rsid w:val="51AD440F"/>
    <w:rsid w:val="52036385"/>
    <w:rsid w:val="55207A5F"/>
    <w:rsid w:val="56535401"/>
    <w:rsid w:val="56876E58"/>
    <w:rsid w:val="589026F4"/>
    <w:rsid w:val="5A76346C"/>
    <w:rsid w:val="5C9127DF"/>
    <w:rsid w:val="60A8350E"/>
    <w:rsid w:val="61665FE8"/>
    <w:rsid w:val="62E73159"/>
    <w:rsid w:val="6AC63F9C"/>
    <w:rsid w:val="6B58289F"/>
    <w:rsid w:val="7090627E"/>
    <w:rsid w:val="71297032"/>
    <w:rsid w:val="72BB1F0C"/>
    <w:rsid w:val="73FC5ABD"/>
    <w:rsid w:val="74CB752F"/>
    <w:rsid w:val="7AB94F83"/>
    <w:rsid w:val="7BEB277B"/>
    <w:rsid w:val="7FCF6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NormalCharacter"/>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2589</Words>
  <Characters>2627</Characters>
  <Lines>0</Lines>
  <Paragraphs>0</Paragraphs>
  <TotalTime>0</TotalTime>
  <ScaleCrop>false</ScaleCrop>
  <LinksUpToDate>false</LinksUpToDate>
  <CharactersWithSpaces>2678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2021-01-05T02:02:00Z</dcterms:created>
  <dc:creator>王志坤</dc:creator>
  <cp:lastModifiedBy>Admin</cp:lastModifiedBy>
  <cp:lastPrinted>2023-11-07T06:22:00Z</cp:lastPrinted>
  <dcterms:modified xsi:type="dcterms:W3CDTF">2023-12-04T08:13:06Z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936E43EC75D047AE9C9F35DD5C4D9AEA_13</vt:lpwstr>
  </property>
</Properties>
</file>