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b/>
          <w:sz w:val="28"/>
          <w:szCs w:val="28"/>
        </w:rPr>
      </w:pPr>
    </w:p>
    <w:p>
      <w:pPr>
        <w:spacing w:beforeLines="50" w:afterLines="50"/>
        <w:jc w:val="center"/>
        <w:rPr>
          <w:rFonts w:hint="default" w:ascii="Times New Roman" w:hAnsi="Times New Roman" w:cs="Times New Roman"/>
          <w:snapToGrid w:val="0"/>
          <w:kern w:val="40"/>
          <w:sz w:val="52"/>
        </w:rPr>
      </w:pPr>
    </w:p>
    <w:p>
      <w:pPr>
        <w:spacing w:beforeLines="50" w:afterLines="50"/>
        <w:jc w:val="center"/>
        <w:rPr>
          <w:rFonts w:hint="default" w:ascii="Times New Roman" w:hAnsi="Times New Roman" w:cs="Times New Roman"/>
          <w:snapToGrid w:val="0"/>
          <w:kern w:val="40"/>
          <w:sz w:val="52"/>
        </w:rPr>
      </w:pPr>
    </w:p>
    <w:p>
      <w:pPr>
        <w:spacing w:beforeLines="50" w:afterLines="50"/>
        <w:jc w:val="center"/>
        <w:rPr>
          <w:rFonts w:hint="default" w:ascii="Times New Roman" w:hAnsi="Times New Roman" w:cs="Times New Roman"/>
          <w:b/>
          <w:bCs/>
          <w:snapToGrid w:val="0"/>
          <w:kern w:val="40"/>
          <w:sz w:val="44"/>
          <w:szCs w:val="44"/>
        </w:rPr>
      </w:pPr>
      <w:r>
        <w:rPr>
          <w:rFonts w:hint="default" w:ascii="Times New Roman" w:hAnsi="Times New Roman" w:cs="Times New Roman"/>
          <w:b/>
          <w:bCs/>
          <w:kern w:val="0"/>
          <w:sz w:val="90"/>
        </w:rPr>
        <w:pict>
          <v:line id="直接连接符 6" o:spid="_x0000_s2052" o:spt="20" style="position:absolute;left:0pt;margin-left:37.1pt;margin-top:37.1pt;height:0.05pt;width:396pt;z-index:251655168;mso-width-relative:page;mso-height-relative:page;" coordsize="21600,21600" o:gfxdata="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8BJcfSAAAABAEAAA8AAAAAAAAAAQAgAAAAIgAAAGRy&#10;cy9kb3ducmV2LnhtbFBLAQIUABQAAAAIAIdO4kDcWS8Q0gEAAHADAAAOAAAAAAAAAAEAIAAAACEB&#10;AABkcnMvZTJvRG9jLnhtbFBLBQYAAAAABgAGAFkBAABlBQAAAAA=&#10;">
            <v:path arrowok="t"/>
            <v:fill focussize="0,0"/>
            <v:stroke weight="5pt" linestyle="thinThick"/>
            <v:imagedata o:title=""/>
            <o:lock v:ext="edit"/>
          </v:line>
        </w:pict>
      </w:r>
      <w:r>
        <w:rPr>
          <w:rFonts w:hint="default" w:ascii="Times New Roman" w:hAnsi="Times New Roman" w:cs="Times New Roman"/>
          <w:b/>
          <w:bCs/>
          <w:snapToGrid w:val="0"/>
          <w:kern w:val="40"/>
          <w:sz w:val="44"/>
          <w:szCs w:val="44"/>
        </w:rPr>
        <w:t>新建年出栏14000头生猪养殖场</w:t>
      </w:r>
    </w:p>
    <w:p>
      <w:pPr>
        <w:spacing w:beforeLines="100" w:afterLines="100"/>
        <w:jc w:val="center"/>
        <w:rPr>
          <w:rFonts w:hint="default" w:ascii="Times New Roman" w:hAnsi="Times New Roman" w:cs="Times New Roman"/>
          <w:b/>
          <w:bCs/>
          <w:kern w:val="0"/>
          <w:sz w:val="90"/>
        </w:rPr>
      </w:pPr>
      <w:r>
        <w:rPr>
          <w:rFonts w:hint="default" w:ascii="Times New Roman" w:hAnsi="Times New Roman" w:cs="Times New Roman"/>
          <w:b/>
          <w:bCs/>
          <w:kern w:val="0"/>
          <w:sz w:val="90"/>
        </w:rPr>
        <w:t>环境影响报告书</w:t>
      </w:r>
    </w:p>
    <w:p>
      <w:pPr>
        <w:spacing w:beforeLines="100" w:afterLines="100"/>
        <w:jc w:val="center"/>
        <w:rPr>
          <w:rFonts w:hint="default" w:ascii="Times New Roman" w:hAnsi="Times New Roman" w:cs="Times New Roman"/>
          <w:b/>
          <w:bCs/>
          <w:snapToGrid w:val="0"/>
          <w:kern w:val="0"/>
          <w:sz w:val="36"/>
        </w:rPr>
      </w:pPr>
      <w:r>
        <w:rPr>
          <w:rFonts w:hint="default" w:ascii="Times New Roman" w:hAnsi="Times New Roman" w:cs="Times New Roman"/>
          <w:b/>
          <w:bCs/>
          <w:snapToGrid w:val="0"/>
          <w:kern w:val="0"/>
          <w:sz w:val="36"/>
        </w:rPr>
        <w:t>（</w:t>
      </w:r>
      <w:r>
        <w:rPr>
          <w:rFonts w:hint="eastAsia" w:ascii="Times New Roman" w:hAnsi="Times New Roman" w:cs="Times New Roman"/>
          <w:b/>
          <w:bCs/>
          <w:snapToGrid w:val="0"/>
          <w:kern w:val="0"/>
          <w:sz w:val="36"/>
          <w:lang w:eastAsia="zh-CN"/>
        </w:rPr>
        <w:t>公示</w:t>
      </w:r>
      <w:r>
        <w:rPr>
          <w:rFonts w:hint="default" w:ascii="Times New Roman" w:hAnsi="Times New Roman" w:cs="Times New Roman"/>
          <w:b/>
          <w:bCs/>
          <w:snapToGrid w:val="0"/>
          <w:kern w:val="0"/>
          <w:sz w:val="36"/>
          <w:lang w:eastAsia="zh-CN"/>
        </w:rPr>
        <w:t>本</w:t>
      </w:r>
      <w:r>
        <w:rPr>
          <w:rFonts w:hint="default" w:ascii="Times New Roman" w:hAnsi="Times New Roman" w:cs="Times New Roman"/>
          <w:b/>
          <w:bCs/>
          <w:snapToGrid w:val="0"/>
          <w:kern w:val="0"/>
          <w:sz w:val="36"/>
        </w:rPr>
        <w:t>）</w:t>
      </w:r>
    </w:p>
    <w:p>
      <w:pPr>
        <w:jc w:val="center"/>
        <w:rPr>
          <w:rFonts w:hint="default" w:ascii="Times New Roman" w:hAnsi="Times New Roman" w:cs="Times New Roman"/>
          <w:snapToGrid w:val="0"/>
          <w:kern w:val="0"/>
          <w:sz w:val="36"/>
        </w:rPr>
      </w:pPr>
    </w:p>
    <w:p>
      <w:pPr>
        <w:jc w:val="center"/>
        <w:rPr>
          <w:rFonts w:hint="default" w:ascii="Times New Roman" w:hAnsi="Times New Roman" w:cs="Times New Roman"/>
          <w:snapToGrid w:val="0"/>
          <w:kern w:val="0"/>
          <w:sz w:val="36"/>
        </w:rPr>
      </w:pPr>
    </w:p>
    <w:p>
      <w:pPr>
        <w:jc w:val="center"/>
        <w:rPr>
          <w:rFonts w:hint="default" w:ascii="Times New Roman" w:hAnsi="Times New Roman" w:cs="Times New Roman"/>
          <w:snapToGrid w:val="0"/>
          <w:kern w:val="0"/>
          <w:sz w:val="36"/>
        </w:rPr>
      </w:pPr>
    </w:p>
    <w:p>
      <w:pPr>
        <w:jc w:val="center"/>
        <w:rPr>
          <w:rFonts w:hint="default" w:ascii="Times New Roman" w:hAnsi="Times New Roman" w:cs="Times New Roman"/>
          <w:snapToGrid w:val="0"/>
          <w:kern w:val="0"/>
          <w:sz w:val="36"/>
        </w:rPr>
      </w:pPr>
    </w:p>
    <w:p>
      <w:pPr>
        <w:jc w:val="center"/>
        <w:rPr>
          <w:rFonts w:hint="default" w:ascii="Times New Roman" w:hAnsi="Times New Roman" w:cs="Times New Roman"/>
          <w:snapToGrid w:val="0"/>
          <w:kern w:val="0"/>
          <w:sz w:val="36"/>
        </w:rPr>
      </w:pPr>
    </w:p>
    <w:p>
      <w:pPr>
        <w:jc w:val="center"/>
        <w:rPr>
          <w:rFonts w:hint="default" w:ascii="Times New Roman" w:hAnsi="Times New Roman" w:cs="Times New Roman"/>
          <w:b/>
          <w:sz w:val="32"/>
        </w:rPr>
      </w:pPr>
      <w:r>
        <w:rPr>
          <w:rFonts w:hint="default" w:ascii="Times New Roman" w:hAnsi="Times New Roman" w:cs="Times New Roman"/>
          <w:b/>
          <w:sz w:val="32"/>
        </w:rPr>
        <w:t>建设单位：</w:t>
      </w:r>
      <w:bookmarkStart w:id="0" w:name="_Toc256601144"/>
      <w:bookmarkStart w:id="1" w:name="_Toc255314178"/>
      <w:bookmarkStart w:id="2" w:name="_Toc255935365"/>
      <w:bookmarkStart w:id="3" w:name="_Toc255315322"/>
      <w:bookmarkStart w:id="4" w:name="_Toc256601423"/>
      <w:bookmarkStart w:id="5" w:name="_Toc256601284"/>
      <w:r>
        <w:rPr>
          <w:rFonts w:hint="default" w:ascii="Times New Roman" w:hAnsi="Times New Roman" w:cs="Times New Roman"/>
          <w:b/>
          <w:sz w:val="32"/>
        </w:rPr>
        <w:t>夹江县旺鑫农牧科技有限公司</w:t>
      </w:r>
    </w:p>
    <w:p>
      <w:pPr>
        <w:jc w:val="center"/>
        <w:rPr>
          <w:rFonts w:hint="default" w:ascii="Times New Roman" w:hAnsi="Times New Roman" w:cs="Times New Roman"/>
          <w:b/>
          <w:sz w:val="30"/>
        </w:rPr>
      </w:pPr>
      <w:r>
        <w:rPr>
          <w:rFonts w:hint="default" w:ascii="Times New Roman" w:hAnsi="Times New Roman" w:cs="Times New Roman"/>
          <w:b/>
          <w:sz w:val="32"/>
        </w:rPr>
        <w:t>编制单位：</w:t>
      </w:r>
      <w:bookmarkEnd w:id="0"/>
      <w:bookmarkEnd w:id="1"/>
      <w:bookmarkEnd w:id="2"/>
      <w:bookmarkEnd w:id="3"/>
      <w:bookmarkEnd w:id="4"/>
      <w:bookmarkEnd w:id="5"/>
      <w:r>
        <w:rPr>
          <w:rFonts w:hint="default" w:ascii="Times New Roman" w:hAnsi="Times New Roman" w:cs="Times New Roman"/>
          <w:b/>
          <w:sz w:val="30"/>
          <w:szCs w:val="30"/>
        </w:rPr>
        <w:t>新疆鑫旺德盛土地环境工程有限公司</w:t>
      </w:r>
    </w:p>
    <w:p>
      <w:pPr>
        <w:spacing w:line="360" w:lineRule="auto"/>
        <w:jc w:val="center"/>
        <w:rPr>
          <w:rFonts w:hint="default" w:ascii="Times New Roman" w:hAnsi="Times New Roman" w:cs="Times New Roman"/>
          <w:b/>
          <w:sz w:val="30"/>
        </w:rPr>
      </w:pPr>
    </w:p>
    <w:p>
      <w:pPr>
        <w:spacing w:line="360" w:lineRule="auto"/>
        <w:jc w:val="center"/>
        <w:rPr>
          <w:rFonts w:hint="default" w:ascii="Times New Roman" w:hAnsi="Times New Roman" w:cs="Times New Roman"/>
          <w:b/>
          <w:sz w:val="30"/>
        </w:rPr>
      </w:pPr>
    </w:p>
    <w:p>
      <w:pPr>
        <w:spacing w:line="360" w:lineRule="auto"/>
        <w:jc w:val="center"/>
        <w:rPr>
          <w:rFonts w:hint="default" w:ascii="Times New Roman" w:hAnsi="Times New Roman" w:cs="Times New Roman"/>
          <w:b/>
          <w:sz w:val="30"/>
        </w:rPr>
      </w:pPr>
      <w:r>
        <w:rPr>
          <w:rFonts w:hint="default" w:ascii="Times New Roman" w:hAnsi="Times New Roman" w:cs="Times New Roman"/>
          <w:b/>
          <w:sz w:val="30"/>
          <w:lang w:val="en-US" w:eastAsia="zh-CN"/>
        </w:rPr>
        <w:t>2019</w:t>
      </w:r>
      <w:r>
        <w:rPr>
          <w:rFonts w:hint="default" w:ascii="Times New Roman" w:hAnsi="Times New Roman" w:cs="Times New Roman"/>
          <w:b/>
          <w:sz w:val="30"/>
        </w:rPr>
        <w:t>年</w:t>
      </w:r>
      <w:r>
        <w:rPr>
          <w:rFonts w:hint="default" w:ascii="Times New Roman" w:hAnsi="Times New Roman" w:cs="Times New Roman"/>
          <w:b/>
          <w:sz w:val="30"/>
          <w:lang w:val="en-US" w:eastAsia="zh-CN"/>
        </w:rPr>
        <w:t>0</w:t>
      </w:r>
      <w:r>
        <w:rPr>
          <w:rFonts w:hint="eastAsia" w:ascii="Times New Roman" w:hAnsi="Times New Roman" w:cs="Times New Roman"/>
          <w:b/>
          <w:sz w:val="30"/>
          <w:lang w:val="en-US" w:eastAsia="zh-CN"/>
        </w:rPr>
        <w:t>8</w:t>
      </w:r>
      <w:r>
        <w:rPr>
          <w:rFonts w:hint="default" w:ascii="Times New Roman" w:hAnsi="Times New Roman" w:cs="Times New Roman"/>
          <w:b/>
          <w:sz w:val="30"/>
        </w:rPr>
        <w:t>月</w:t>
      </w:r>
    </w:p>
    <w:p>
      <w:pPr>
        <w:jc w:val="center"/>
        <w:rPr>
          <w:rFonts w:hint="default" w:ascii="Times New Roman" w:hAnsi="Times New Roman" w:cs="Times New Roman"/>
          <w:b/>
          <w:sz w:val="28"/>
          <w:szCs w:val="28"/>
        </w:rPr>
        <w:sectPr>
          <w:headerReference r:id="rId3" w:type="default"/>
          <w:footerReference r:id="rId4" w:type="default"/>
          <w:pgSz w:w="11906" w:h="16838"/>
          <w:pgMar w:top="1276" w:right="1134" w:bottom="901" w:left="1276"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bookmarkStart w:id="501" w:name="_GoBack"/>
      <w:bookmarkEnd w:id="501"/>
    </w:p>
    <w:p>
      <w:pPr>
        <w:jc w:val="center"/>
        <w:rPr>
          <w:rFonts w:hint="default" w:ascii="Times New Roman" w:hAnsi="Times New Roman" w:cs="Times New Roman"/>
          <w:b/>
          <w:sz w:val="28"/>
          <w:szCs w:val="28"/>
        </w:rPr>
      </w:pPr>
      <w:r>
        <w:rPr>
          <w:rFonts w:hint="default" w:ascii="Times New Roman" w:hAnsi="Times New Roman" w:cs="Times New Roman"/>
          <w:b/>
          <w:sz w:val="28"/>
          <w:szCs w:val="28"/>
        </w:rPr>
        <w:t>目  录</w:t>
      </w:r>
    </w:p>
    <w:p>
      <w:pPr>
        <w:pStyle w:val="20"/>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color w:val="FF0000"/>
          <w:sz w:val="24"/>
          <w:szCs w:val="24"/>
        </w:rPr>
        <w:instrText xml:space="preserve"> TOC \o "1-2" \h \z \u </w:instrText>
      </w:r>
      <w:r>
        <w:rPr>
          <w:rFonts w:hint="default" w:ascii="Times New Roman" w:hAnsi="Times New Roman" w:cs="Times New Roman"/>
          <w:color w:val="FF0000"/>
          <w:sz w:val="24"/>
          <w:szCs w:val="24"/>
        </w:rPr>
        <w:fldChar w:fldCharType="separate"/>
      </w: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_Toc14168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概 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_Toc14168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_Toc26538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 项目由来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_Toc26538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_Toc17073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 环境影响评价过程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_Toc17073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_Toc18644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 评价目的及原则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_Toc18644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III</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_Toc7985 </w:instrText>
      </w:r>
      <w:r>
        <w:rPr>
          <w:rFonts w:hint="default" w:ascii="Times New Roman" w:hAnsi="Times New Roman" w:cs="Times New Roman"/>
          <w:sz w:val="24"/>
          <w:szCs w:val="24"/>
        </w:rPr>
        <w:fldChar w:fldCharType="separate"/>
      </w:r>
      <w:r>
        <w:rPr>
          <w:rFonts w:hint="default" w:ascii="Times New Roman" w:hAnsi="Times New Roman" w:cs="Times New Roman"/>
          <w:bCs w:val="0"/>
          <w:sz w:val="24"/>
          <w:szCs w:val="24"/>
        </w:rPr>
        <w:t>1.4 关注的主要环境问题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_Toc7985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III</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_Toc5753 </w:instrText>
      </w:r>
      <w:r>
        <w:rPr>
          <w:rFonts w:hint="default" w:ascii="Times New Roman" w:hAnsi="Times New Roman" w:cs="Times New Roman"/>
          <w:sz w:val="24"/>
          <w:szCs w:val="24"/>
        </w:rPr>
        <w:fldChar w:fldCharType="separate"/>
      </w:r>
      <w:r>
        <w:rPr>
          <w:rFonts w:hint="default" w:ascii="Times New Roman" w:hAnsi="Times New Roman" w:cs="Times New Roman"/>
          <w:bCs w:val="0"/>
          <w:sz w:val="24"/>
          <w:szCs w:val="24"/>
        </w:rPr>
        <w:t>1.5 环境影响评价主要结论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_Toc5753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IV</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_Toc15942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kern w:val="2"/>
          <w:sz w:val="24"/>
          <w:szCs w:val="24"/>
          <w:lang w:val="en-US" w:eastAsia="zh-CN" w:bidi="ar-SA"/>
        </w:rPr>
        <w:t>第一章 总则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_Toc15942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_Toc6658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  编制依据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_Toc6658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_Toc28118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 区域环境功能区划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_Toc28118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_Toc31276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 影响因素识别及评价因子筛选</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_Toc31276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_Toc18154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 评价标准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_Toc18154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_Toc12259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 评价工作等级与范围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_Toc12259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_Toc23049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 产业政策符合性及选址合理性分析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_Toc23049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_Toc29781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 本项目建设与“三线一单”符合性分析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_Toc29781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_Toc17261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1.8 主要保护目标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_Toc17261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_Toc931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第二章</w:t>
      </w:r>
      <w:r>
        <w:rPr>
          <w:rFonts w:hint="default" w:ascii="Times New Roman" w:hAnsi="Times New Roman" w:eastAsia="宋体" w:cs="Times New Roman"/>
          <w:spacing w:val="68"/>
          <w:sz w:val="24"/>
          <w:szCs w:val="24"/>
        </w:rPr>
        <w:t xml:space="preserve"> </w:t>
      </w:r>
      <w:r>
        <w:rPr>
          <w:rFonts w:hint="default" w:ascii="Times New Roman" w:hAnsi="Times New Roman" w:eastAsia="宋体" w:cs="Times New Roman"/>
          <w:spacing w:val="2"/>
          <w:sz w:val="24"/>
          <w:szCs w:val="24"/>
        </w:rPr>
        <w:t>建</w:t>
      </w:r>
      <w:r>
        <w:rPr>
          <w:rFonts w:hint="default" w:ascii="Times New Roman" w:hAnsi="Times New Roman" w:eastAsia="宋体" w:cs="Times New Roman"/>
          <w:sz w:val="24"/>
          <w:szCs w:val="24"/>
        </w:rPr>
        <w:t>设</w:t>
      </w:r>
      <w:r>
        <w:rPr>
          <w:rFonts w:hint="default" w:ascii="Times New Roman" w:hAnsi="Times New Roman" w:eastAsia="宋体" w:cs="Times New Roman"/>
          <w:spacing w:val="2"/>
          <w:sz w:val="24"/>
          <w:szCs w:val="24"/>
        </w:rPr>
        <w:t>项</w:t>
      </w:r>
      <w:r>
        <w:rPr>
          <w:rFonts w:hint="default" w:ascii="Times New Roman" w:hAnsi="Times New Roman" w:eastAsia="宋体" w:cs="Times New Roman"/>
          <w:sz w:val="24"/>
          <w:szCs w:val="24"/>
        </w:rPr>
        <w:t>目</w:t>
      </w:r>
      <w:r>
        <w:rPr>
          <w:rFonts w:hint="default" w:ascii="Times New Roman" w:hAnsi="Times New Roman" w:eastAsia="宋体" w:cs="Times New Roman"/>
          <w:spacing w:val="2"/>
          <w:sz w:val="24"/>
          <w:szCs w:val="24"/>
        </w:rPr>
        <w:t>概</w:t>
      </w:r>
      <w:r>
        <w:rPr>
          <w:rFonts w:hint="default" w:ascii="Times New Roman" w:hAnsi="Times New Roman" w:eastAsia="宋体" w:cs="Times New Roman"/>
          <w:sz w:val="24"/>
          <w:szCs w:val="24"/>
        </w:rPr>
        <w:t>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_Toc931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_Toc25652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2.1 项目概况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_Toc25652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_Toc21374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2.2 主要设备清单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_Toc21374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_Toc13769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2.3 </w:t>
      </w:r>
      <w:r>
        <w:rPr>
          <w:rFonts w:hint="default" w:ascii="Times New Roman" w:hAnsi="Times New Roman" w:eastAsia="宋体" w:cs="Times New Roman"/>
          <w:snapToGrid w:val="0"/>
          <w:sz w:val="24"/>
          <w:szCs w:val="24"/>
        </w:rPr>
        <w:t>主要原辅材料及能耗情况表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_Toc13769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_Toc13781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 xml:space="preserve">2.4 </w:t>
      </w:r>
      <w:r>
        <w:rPr>
          <w:rFonts w:hint="default" w:ascii="Times New Roman" w:hAnsi="Times New Roman" w:eastAsia="宋体" w:cs="Times New Roman"/>
          <w:snapToGrid w:val="0"/>
          <w:sz w:val="24"/>
          <w:szCs w:val="24"/>
        </w:rPr>
        <w:t>公用工程及辅助工程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_Toc13781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_Toc4417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2.5 场区平面布置合理性分析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_Toc4417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_Toc3036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kern w:val="2"/>
          <w:sz w:val="24"/>
          <w:szCs w:val="24"/>
          <w:lang w:val="en-US" w:eastAsia="zh-CN" w:bidi="ar-SA"/>
        </w:rPr>
        <w:t>第三章 工程分析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_Toc3036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_Toc6852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zh-CN"/>
        </w:rPr>
        <w:t>3.1</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zh-CN"/>
        </w:rPr>
        <w:t>项目用地现状及现有环境遗留问题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_Toc6852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_Toc26180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zh-CN"/>
        </w:rPr>
        <w:t>3.2施工期工程分析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_Toc26180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_Toc13226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zh-CN"/>
        </w:rPr>
        <w:t>3.3</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zh-CN"/>
        </w:rPr>
        <w:t>运营期工程分析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_Toc13226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_Toc3556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zh-CN"/>
        </w:rPr>
        <w:t>3.</w:t>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zh-CN"/>
        </w:rPr>
        <w:t xml:space="preserve"> 总量控制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_Toc3556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72</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_Toc3933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第四章 区域环境概况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_Toc3933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76</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_Toc28397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4.1 自然环境概况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_Toc28397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76</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_Toc24178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4.2 环境质量现状调查与评价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_Toc24178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78</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_Toc10037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4.3 环境污染源调查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_Toc10037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87</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pos="2400"/>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_Toc3414 </w:instrText>
      </w:r>
      <w:r>
        <w:rPr>
          <w:rFonts w:hint="default" w:ascii="Times New Roman" w:hAnsi="Times New Roman" w:cs="Times New Roman"/>
          <w:sz w:val="24"/>
          <w:szCs w:val="24"/>
        </w:rPr>
        <w:fldChar w:fldCharType="separate"/>
      </w:r>
      <w:r>
        <w:rPr>
          <w:rFonts w:hint="default" w:ascii="Times New Roman" w:hAnsi="Times New Roman" w:cs="Times New Roman"/>
          <w:spacing w:val="1"/>
          <w:sz w:val="24"/>
          <w:szCs w:val="24"/>
        </w:rPr>
        <w:t>第五章</w:t>
      </w:r>
      <w:r>
        <w:rPr>
          <w:rFonts w:hint="default" w:ascii="Times New Roman" w:hAnsi="Times New Roman" w:cs="Times New Roman"/>
          <w:spacing w:val="1"/>
          <w:sz w:val="24"/>
          <w:szCs w:val="24"/>
        </w:rPr>
        <w:tab/>
      </w:r>
      <w:r>
        <w:rPr>
          <w:rFonts w:hint="default" w:ascii="Times New Roman" w:hAnsi="Times New Roman" w:cs="Times New Roman"/>
          <w:spacing w:val="1"/>
          <w:sz w:val="24"/>
          <w:szCs w:val="24"/>
        </w:rPr>
        <w:t>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_Toc3414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88</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_Toc2470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5.1 施工期环境影响分析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_Toc2470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88</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_Toc1234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5.2  运营期环境影响分析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96</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_Toc13701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第六章</w:t>
      </w:r>
      <w:r>
        <w:rPr>
          <w:rFonts w:hint="default" w:ascii="Times New Roman" w:hAnsi="Times New Roman" w:cs="Times New Roman"/>
          <w:snapToGrid w:val="0"/>
          <w:spacing w:val="-20"/>
          <w:kern w:val="0"/>
          <w:sz w:val="24"/>
          <w:szCs w:val="24"/>
        </w:rPr>
        <w:t xml:space="preserve"> 环境保护措施及经济技术论证</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_Toc13701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112</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_Toc17648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 施工期污染防治措施及论证</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_Toc17648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112</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_Toc13354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6.2营运期污染防治措施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_Toc13354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114</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_Toc26234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6.3 污染防治环保投资估算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_Toc26234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120</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_Toc1602 </w:instrText>
      </w:r>
      <w:r>
        <w:rPr>
          <w:rFonts w:hint="default" w:ascii="Times New Roman" w:hAnsi="Times New Roman" w:cs="Times New Roman"/>
          <w:sz w:val="24"/>
          <w:szCs w:val="24"/>
        </w:rPr>
        <w:fldChar w:fldCharType="separate"/>
      </w:r>
      <w:r>
        <w:rPr>
          <w:rFonts w:hint="default" w:ascii="Times New Roman" w:hAnsi="Times New Roman" w:cs="Times New Roman"/>
          <w:snapToGrid w:val="0"/>
          <w:spacing w:val="-20"/>
          <w:kern w:val="0"/>
          <w:sz w:val="24"/>
          <w:szCs w:val="24"/>
        </w:rPr>
        <w:t>第七章  清洁生产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_Toc1602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122</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_Toc7863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7.1 清洁生产的意义</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_Toc7863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122</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_Toc23072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7.2 清洁生产分析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_Toc23072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122</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_Toc5372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7.3 清洁生产评价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_Toc5372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127</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_Toc27344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7.4 持续清洁生产计划建议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_Toc27344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128</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_Toc11528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7.5 清洁生产结论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_Toc11528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128</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_Toc22130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第八章 环境风险分析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_Toc22130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129</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_Toc6258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8.1 评价依据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_Toc6258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129</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_Toc5110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8.2源项分析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_Toc5110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131</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_Toc18335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8.3 风险防范措施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_Toc18335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133</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_Toc17863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8.4 污染处理设施运行风险分析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_Toc17863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137</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_Toc1414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8.5 风险评价结论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_Toc1414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138</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_Toc18984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第九章 环境管理与环境监测计划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_Toc18984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139</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_Toc19535 </w:instrText>
      </w:r>
      <w:r>
        <w:rPr>
          <w:rFonts w:hint="default" w:ascii="Times New Roman" w:hAnsi="Times New Roman" w:cs="Times New Roman"/>
          <w:sz w:val="24"/>
          <w:szCs w:val="24"/>
        </w:rPr>
        <w:fldChar w:fldCharType="separate"/>
      </w:r>
      <w:r>
        <w:rPr>
          <w:rFonts w:hint="default" w:ascii="Times New Roman" w:hAnsi="Times New Roman" w:cs="Times New Roman"/>
          <w:bCs w:val="0"/>
          <w:sz w:val="24"/>
          <w:szCs w:val="24"/>
        </w:rPr>
        <w:t>9.1 环境管理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_Toc19535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139</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_Toc4133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9.2 环境监测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_Toc4133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145</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_Toc30318 </w:instrText>
      </w:r>
      <w:r>
        <w:rPr>
          <w:rFonts w:hint="default" w:ascii="Times New Roman" w:hAnsi="Times New Roman" w:cs="Times New Roman"/>
          <w:sz w:val="24"/>
          <w:szCs w:val="24"/>
        </w:rPr>
        <w:fldChar w:fldCharType="separate"/>
      </w:r>
      <w:r>
        <w:rPr>
          <w:rFonts w:hint="default" w:ascii="Times New Roman" w:hAnsi="Times New Roman" w:cs="Times New Roman"/>
          <w:bCs/>
          <w:kern w:val="44"/>
          <w:sz w:val="24"/>
          <w:szCs w:val="24"/>
        </w:rPr>
        <w:t>第十章  环境经济损益分析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_Toc30318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147</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_Toc15396 </w:instrText>
      </w:r>
      <w:r>
        <w:rPr>
          <w:rFonts w:hint="default" w:ascii="Times New Roman" w:hAnsi="Times New Roman" w:cs="Times New Roman"/>
          <w:sz w:val="24"/>
          <w:szCs w:val="24"/>
        </w:rPr>
        <w:fldChar w:fldCharType="separate"/>
      </w:r>
      <w:r>
        <w:rPr>
          <w:rFonts w:hint="default" w:ascii="Times New Roman" w:hAnsi="Times New Roman" w:eastAsia="宋体" w:cs="Times New Roman"/>
          <w:snapToGrid w:val="0"/>
          <w:kern w:val="0"/>
          <w:sz w:val="24"/>
          <w:szCs w:val="24"/>
        </w:rPr>
        <w:t>10.1 环保投资估算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_Toc15396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147</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_Toc6017 </w:instrText>
      </w:r>
      <w:r>
        <w:rPr>
          <w:rFonts w:hint="default" w:ascii="Times New Roman" w:hAnsi="Times New Roman" w:cs="Times New Roman"/>
          <w:sz w:val="24"/>
          <w:szCs w:val="24"/>
        </w:rPr>
        <w:fldChar w:fldCharType="separate"/>
      </w:r>
      <w:r>
        <w:rPr>
          <w:rFonts w:hint="default" w:ascii="Times New Roman" w:hAnsi="Times New Roman" w:eastAsia="宋体" w:cs="Times New Roman"/>
          <w:snapToGrid w:val="0"/>
          <w:kern w:val="0"/>
          <w:sz w:val="24"/>
          <w:szCs w:val="24"/>
        </w:rPr>
        <w:t>10.2 环境影响经济损失分析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_Toc6017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147</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_Toc32089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napToGrid w:val="0"/>
          <w:kern w:val="0"/>
          <w:sz w:val="24"/>
          <w:szCs w:val="24"/>
        </w:rPr>
        <w:t>10.3 经济效益分析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_Toc32089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148</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_Toc11192 </w:instrText>
      </w:r>
      <w:r>
        <w:rPr>
          <w:rFonts w:hint="default" w:ascii="Times New Roman" w:hAnsi="Times New Roman" w:cs="Times New Roman"/>
          <w:sz w:val="24"/>
          <w:szCs w:val="24"/>
        </w:rPr>
        <w:fldChar w:fldCharType="separate"/>
      </w:r>
      <w:r>
        <w:rPr>
          <w:rFonts w:hint="default" w:ascii="Times New Roman" w:hAnsi="Times New Roman" w:eastAsia="宋体" w:cs="Times New Roman"/>
          <w:snapToGrid w:val="0"/>
          <w:kern w:val="0"/>
          <w:sz w:val="24"/>
          <w:szCs w:val="24"/>
        </w:rPr>
        <w:t>10.4 环境效益分析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_Toc11192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148</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_Toc27098 </w:instrText>
      </w:r>
      <w:r>
        <w:rPr>
          <w:rFonts w:hint="default" w:ascii="Times New Roman" w:hAnsi="Times New Roman" w:cs="Times New Roman"/>
          <w:sz w:val="24"/>
          <w:szCs w:val="24"/>
        </w:rPr>
        <w:fldChar w:fldCharType="separate"/>
      </w:r>
      <w:r>
        <w:rPr>
          <w:rFonts w:hint="default" w:ascii="Times New Roman" w:hAnsi="Times New Roman" w:eastAsia="宋体" w:cs="Times New Roman"/>
          <w:snapToGrid w:val="0"/>
          <w:kern w:val="0"/>
          <w:sz w:val="24"/>
          <w:szCs w:val="24"/>
        </w:rPr>
        <w:t>10.5 社会效益分析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_Toc27098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148</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_Toc22758 </w:instrText>
      </w:r>
      <w:r>
        <w:rPr>
          <w:rFonts w:hint="default" w:ascii="Times New Roman" w:hAnsi="Times New Roman" w:cs="Times New Roman"/>
          <w:sz w:val="24"/>
          <w:szCs w:val="24"/>
        </w:rPr>
        <w:fldChar w:fldCharType="separate"/>
      </w:r>
      <w:r>
        <w:rPr>
          <w:rFonts w:hint="default" w:ascii="Times New Roman" w:hAnsi="Times New Roman" w:eastAsia="宋体" w:cs="Times New Roman"/>
          <w:snapToGrid w:val="0"/>
          <w:kern w:val="0"/>
          <w:sz w:val="24"/>
          <w:szCs w:val="24"/>
        </w:rPr>
        <w:t>10.6 生态效益</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_Toc22758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149</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_Toc16348 </w:instrText>
      </w:r>
      <w:r>
        <w:rPr>
          <w:rFonts w:hint="default" w:ascii="Times New Roman" w:hAnsi="Times New Roman" w:cs="Times New Roman"/>
          <w:sz w:val="24"/>
          <w:szCs w:val="24"/>
        </w:rPr>
        <w:fldChar w:fldCharType="separate"/>
      </w:r>
      <w:r>
        <w:rPr>
          <w:rFonts w:hint="default" w:ascii="Times New Roman" w:hAnsi="Times New Roman" w:eastAsia="宋体" w:cs="Times New Roman"/>
          <w:snapToGrid w:val="0"/>
          <w:kern w:val="0"/>
          <w:sz w:val="24"/>
          <w:szCs w:val="24"/>
        </w:rPr>
        <w:t>10.7 分析结论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_Toc16348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149</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0"/>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_Toc7510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kern w:val="44"/>
          <w:sz w:val="24"/>
          <w:szCs w:val="24"/>
          <w:lang w:val="en-US" w:eastAsia="zh-CN" w:bidi="ar-SA"/>
        </w:rPr>
        <w:t>第十一章 评价结论与建议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_Toc7510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150</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_Toc451 </w:instrText>
      </w:r>
      <w:r>
        <w:rPr>
          <w:rFonts w:hint="default" w:ascii="Times New Roman" w:hAnsi="Times New Roman" w:cs="Times New Roman"/>
          <w:sz w:val="24"/>
          <w:szCs w:val="24"/>
        </w:rPr>
        <w:fldChar w:fldCharType="separate"/>
      </w:r>
      <w:r>
        <w:rPr>
          <w:rFonts w:hint="default" w:ascii="Times New Roman" w:hAnsi="Times New Roman" w:eastAsia="宋体" w:cs="Times New Roman"/>
          <w:snapToGrid w:val="0"/>
          <w:kern w:val="0"/>
          <w:sz w:val="24"/>
          <w:szCs w:val="24"/>
        </w:rPr>
        <w:t>11.1 环境影响评价结论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_Toc451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150</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_Toc538 </w:instrText>
      </w:r>
      <w:r>
        <w:rPr>
          <w:rFonts w:hint="default" w:ascii="Times New Roman" w:hAnsi="Times New Roman" w:cs="Times New Roman"/>
          <w:sz w:val="24"/>
          <w:szCs w:val="24"/>
        </w:rPr>
        <w:fldChar w:fldCharType="separate"/>
      </w:r>
      <w:r>
        <w:rPr>
          <w:rFonts w:hint="default" w:ascii="Times New Roman" w:hAnsi="Times New Roman" w:cs="Times New Roman"/>
          <w:snapToGrid w:val="0"/>
          <w:kern w:val="0"/>
          <w:sz w:val="24"/>
          <w:szCs w:val="24"/>
        </w:rPr>
        <w:t>11.2 环境影响评价结论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_Toc538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154</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pStyle w:val="24"/>
        <w:tabs>
          <w:tab w:val="right" w:leader="dot" w:pos="9496"/>
        </w:tabs>
        <w:spacing w:line="360" w:lineRule="auto"/>
        <w:rPr>
          <w:rFonts w:hint="default" w:ascii="Times New Roman" w:hAnsi="Times New Roman" w:cs="Times New Roman"/>
          <w:sz w:val="24"/>
          <w:szCs w:val="24"/>
        </w:rPr>
      </w:pPr>
      <w:r>
        <w:rPr>
          <w:rFonts w:hint="default" w:ascii="Times New Roman" w:hAnsi="Times New Roman" w:cs="Times New Roman"/>
          <w:color w:val="FF0000"/>
          <w:sz w:val="24"/>
          <w:szCs w:val="24"/>
        </w:rPr>
        <w:fldChar w:fldCharType="begin"/>
      </w:r>
      <w:r>
        <w:rPr>
          <w:rFonts w:hint="default" w:ascii="Times New Roman" w:hAnsi="Times New Roman" w:cs="Times New Roman"/>
          <w:sz w:val="24"/>
          <w:szCs w:val="24"/>
        </w:rPr>
        <w:instrText xml:space="preserve"> HYPERLINK \l _Toc19372 </w:instrText>
      </w:r>
      <w:r>
        <w:rPr>
          <w:rFonts w:hint="default" w:ascii="Times New Roman" w:hAnsi="Times New Roman" w:cs="Times New Roman"/>
          <w:sz w:val="24"/>
          <w:szCs w:val="24"/>
        </w:rPr>
        <w:fldChar w:fldCharType="separate"/>
      </w:r>
      <w:r>
        <w:rPr>
          <w:rFonts w:hint="default" w:ascii="Times New Roman" w:hAnsi="Times New Roman" w:eastAsia="宋体" w:cs="Times New Roman"/>
          <w:snapToGrid w:val="0"/>
          <w:kern w:val="0"/>
          <w:sz w:val="24"/>
          <w:szCs w:val="24"/>
        </w:rPr>
        <w:t>11.3 环评建议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_Toc19372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154</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rPr>
        <w:fldChar w:fldCharType="end"/>
      </w:r>
    </w:p>
    <w:p>
      <w:pPr>
        <w:spacing w:line="360" w:lineRule="auto"/>
        <w:rPr>
          <w:rFonts w:hint="default" w:ascii="Times New Roman" w:hAnsi="Times New Roman" w:cs="Times New Roman"/>
          <w:b/>
          <w:sz w:val="28"/>
          <w:szCs w:val="28"/>
        </w:rPr>
      </w:pPr>
      <w:r>
        <w:rPr>
          <w:rFonts w:hint="default" w:ascii="Times New Roman" w:hAnsi="Times New Roman" w:cs="Times New Roman"/>
          <w:color w:val="FF0000"/>
          <w:sz w:val="24"/>
          <w:szCs w:val="24"/>
        </w:rPr>
        <w:fldChar w:fldCharType="end"/>
      </w:r>
    </w:p>
    <w:p>
      <w:pPr>
        <w:spacing w:line="360" w:lineRule="auto"/>
        <w:rPr>
          <w:rFonts w:hint="default" w:ascii="Times New Roman" w:hAnsi="Times New Roman" w:cs="Times New Roman"/>
          <w:b/>
          <w:sz w:val="28"/>
          <w:szCs w:val="28"/>
        </w:rPr>
      </w:pPr>
    </w:p>
    <w:p>
      <w:pPr>
        <w:spacing w:line="360" w:lineRule="auto"/>
        <w:rPr>
          <w:rFonts w:hint="default" w:ascii="Times New Roman" w:hAnsi="Times New Roman" w:cs="Times New Roman"/>
          <w:b/>
          <w:bCs/>
          <w:sz w:val="24"/>
          <w:szCs w:val="24"/>
        </w:rPr>
      </w:pPr>
      <w:r>
        <w:rPr>
          <w:rFonts w:hint="default" w:ascii="Times New Roman" w:hAnsi="Times New Roman" w:cs="Times New Roman"/>
          <w:b/>
          <w:sz w:val="28"/>
          <w:szCs w:val="28"/>
        </w:rPr>
        <w:br w:type="page"/>
      </w:r>
      <w:bookmarkStart w:id="6" w:name="_Toc500840293"/>
      <w:bookmarkStart w:id="7" w:name="_Toc500840106"/>
      <w:bookmarkStart w:id="8" w:name="_Toc498252988"/>
      <w:bookmarkStart w:id="9" w:name="_Toc498253547"/>
      <w:bookmarkStart w:id="10" w:name="_Toc17262"/>
      <w:r>
        <w:rPr>
          <w:rFonts w:hint="default" w:ascii="Times New Roman" w:hAnsi="Times New Roman" w:cs="Times New Roman"/>
          <w:b/>
          <w:bCs/>
          <w:sz w:val="24"/>
          <w:szCs w:val="24"/>
        </w:rPr>
        <w:t>本环境影响报告书附以下附图、附件、附表：</w:t>
      </w:r>
      <w:bookmarkEnd w:id="6"/>
      <w:bookmarkEnd w:id="7"/>
      <w:bookmarkEnd w:id="8"/>
      <w:bookmarkEnd w:id="9"/>
      <w:bookmarkEnd w:id="10"/>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附图</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附图1    项目地理位置图</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附图2    项目与《夹江县畜禽养殖区域规划》（2016）符合性图</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附图3</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 xml:space="preserve">   项目外环境关系及监测布点图</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附图3</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 xml:space="preserve">   </w:t>
      </w:r>
      <w:r>
        <w:rPr>
          <w:rFonts w:hint="default" w:ascii="Times New Roman" w:hAnsi="Times New Roman" w:cs="Times New Roman"/>
          <w:sz w:val="24"/>
          <w:szCs w:val="24"/>
          <w:lang w:eastAsia="zh-CN"/>
        </w:rPr>
        <w:t>引用</w:t>
      </w:r>
      <w:r>
        <w:rPr>
          <w:rFonts w:hint="default" w:ascii="Times New Roman" w:hAnsi="Times New Roman" w:cs="Times New Roman"/>
          <w:sz w:val="24"/>
          <w:szCs w:val="24"/>
        </w:rPr>
        <w:t>监测布点图</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附图4    项目总平面布置及分区防渗图</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附图</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 xml:space="preserve">    项目分区防渗图</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附图</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 xml:space="preserve">    项目卫生防护距离包络线图</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附图</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 xml:space="preserve">    项目</w:t>
      </w:r>
      <w:r>
        <w:rPr>
          <w:rFonts w:hint="default" w:ascii="Times New Roman" w:hAnsi="Times New Roman" w:cs="Times New Roman"/>
          <w:sz w:val="24"/>
          <w:szCs w:val="24"/>
          <w:lang w:eastAsia="zh-CN"/>
        </w:rPr>
        <w:t>消纳</w:t>
      </w:r>
      <w:r>
        <w:rPr>
          <w:rFonts w:hint="default" w:ascii="Times New Roman" w:hAnsi="Times New Roman" w:cs="Times New Roman"/>
          <w:sz w:val="24"/>
          <w:szCs w:val="24"/>
        </w:rPr>
        <w:t>区位置图</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附图</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rPr>
        <w:t xml:space="preserve">    项目区地表水系图</w:t>
      </w:r>
    </w:p>
    <w:p>
      <w:pPr>
        <w:spacing w:line="360" w:lineRule="auto"/>
        <w:ind w:firstLine="720" w:firstLineChars="300"/>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附图</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 xml:space="preserve">    项目</w:t>
      </w:r>
      <w:r>
        <w:rPr>
          <w:rFonts w:hint="default" w:ascii="Times New Roman" w:hAnsi="Times New Roman" w:cs="Times New Roman"/>
          <w:sz w:val="24"/>
          <w:szCs w:val="24"/>
          <w:lang w:eastAsia="zh-CN"/>
        </w:rPr>
        <w:t>生态红线图</w:t>
      </w:r>
    </w:p>
    <w:p>
      <w:pPr>
        <w:spacing w:line="360" w:lineRule="auto"/>
        <w:ind w:firstLine="720" w:firstLineChars="300"/>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附图</w:t>
      </w:r>
      <w:r>
        <w:rPr>
          <w:rFonts w:hint="default" w:ascii="Times New Roman" w:hAnsi="Times New Roman" w:cs="Times New Roman"/>
          <w:sz w:val="24"/>
          <w:szCs w:val="24"/>
          <w:lang w:val="en-US" w:eastAsia="zh-CN"/>
        </w:rPr>
        <w:t>10</w:t>
      </w:r>
      <w:r>
        <w:rPr>
          <w:rFonts w:hint="default" w:ascii="Times New Roman" w:hAnsi="Times New Roman" w:cs="Times New Roman"/>
          <w:sz w:val="24"/>
          <w:szCs w:val="24"/>
        </w:rPr>
        <w:t xml:space="preserve">   项目</w:t>
      </w:r>
      <w:r>
        <w:rPr>
          <w:rFonts w:hint="default" w:ascii="Times New Roman" w:hAnsi="Times New Roman" w:cs="Times New Roman"/>
          <w:sz w:val="24"/>
          <w:szCs w:val="24"/>
          <w:lang w:eastAsia="zh-CN"/>
        </w:rPr>
        <w:t>地下水评价区域图</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附图</w:t>
      </w:r>
      <w:r>
        <w:rPr>
          <w:rFonts w:hint="default" w:ascii="Times New Roman" w:hAnsi="Times New Roman" w:cs="Times New Roman"/>
          <w:sz w:val="24"/>
          <w:szCs w:val="24"/>
          <w:lang w:val="en-US" w:eastAsia="zh-CN"/>
        </w:rPr>
        <w:t>11</w:t>
      </w:r>
      <w:r>
        <w:rPr>
          <w:rFonts w:hint="default" w:ascii="Times New Roman" w:hAnsi="Times New Roman" w:cs="Times New Roman"/>
          <w:sz w:val="24"/>
          <w:szCs w:val="24"/>
        </w:rPr>
        <w:t xml:space="preserve">    项目现场图</w:t>
      </w:r>
    </w:p>
    <w:p>
      <w:pPr>
        <w:spacing w:line="360" w:lineRule="auto"/>
        <w:rPr>
          <w:rFonts w:hint="default" w:ascii="Times New Roman" w:hAnsi="Times New Roman" w:cs="Times New Roman"/>
          <w:sz w:val="24"/>
          <w:szCs w:val="24"/>
        </w:rPr>
      </w:pPr>
      <w:r>
        <w:rPr>
          <w:rFonts w:hint="default" w:ascii="Times New Roman" w:hAnsi="Times New Roman" w:cs="Times New Roman"/>
          <w:b/>
          <w:sz w:val="24"/>
          <w:szCs w:val="24"/>
        </w:rPr>
        <w:t>附件</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附件1   环评委托书</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附件2   项目备案表</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附件3   农业局规划文件</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附件4   土地出租合同及林地审核同意书</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附件5   用地预审</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附件6   土地流转合同</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附件7   三洞镇政府证明</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附件8   三洞镇政府选址意见</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附件9   营业执照</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附件10  沼液消纳协议</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附件11  粪便消纳协议</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附件12  《夹江县畜禽养殖区域规划》（2016）</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附件13  乐山市建设项目环境准入负面清单（试行）及不在生态红线范围内的说明</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 xml:space="preserve">附件14  </w:t>
      </w:r>
      <w:r>
        <w:rPr>
          <w:rFonts w:hint="default" w:ascii="Times New Roman" w:hAnsi="Times New Roman" w:cs="Times New Roman"/>
          <w:sz w:val="24"/>
          <w:szCs w:val="24"/>
          <w:lang w:eastAsia="zh-CN"/>
        </w:rPr>
        <w:t>租房协议</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附件1</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 xml:space="preserve">  执行标准</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附件16  监测报告</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附件1</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 xml:space="preserve">  引用监测报告</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附件1</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rPr>
        <w:t xml:space="preserve">  </w:t>
      </w:r>
      <w:r>
        <w:rPr>
          <w:rFonts w:hint="default" w:ascii="Times New Roman" w:hAnsi="Times New Roman" w:cs="Times New Roman"/>
          <w:sz w:val="24"/>
          <w:szCs w:val="24"/>
          <w:lang w:eastAsia="zh-CN"/>
        </w:rPr>
        <w:t>土壤</w:t>
      </w:r>
      <w:r>
        <w:rPr>
          <w:rFonts w:hint="default" w:ascii="Times New Roman" w:hAnsi="Times New Roman" w:cs="Times New Roman"/>
          <w:sz w:val="24"/>
          <w:szCs w:val="24"/>
        </w:rPr>
        <w:t>监测报告</w:t>
      </w:r>
    </w:p>
    <w:p>
      <w:pPr>
        <w:pStyle w:val="2"/>
        <w:rPr>
          <w:rFonts w:hint="default" w:ascii="Times New Roman" w:hAnsi="Times New Roman" w:cs="Times New Roman"/>
        </w:rPr>
      </w:pP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附表</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附表1  建设项目环评审批基础信息表</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附表2  大气自查表</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附表3  地表水自查表</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附表4  环境风险自查表</w:t>
      </w:r>
    </w:p>
    <w:p>
      <w:pPr>
        <w:spacing w:line="360" w:lineRule="auto"/>
        <w:ind w:firstLine="720" w:firstLineChars="300"/>
        <w:rPr>
          <w:rFonts w:hint="default" w:ascii="Times New Roman" w:hAnsi="Times New Roman" w:cs="Times New Roman"/>
          <w:snapToGrid w:val="0"/>
          <w:spacing w:val="-20"/>
          <w:kern w:val="0"/>
          <w:sz w:val="24"/>
          <w:szCs w:val="24"/>
        </w:rPr>
        <w:sectPr>
          <w:headerReference r:id="rId5" w:type="default"/>
          <w:footerReference r:id="rId6" w:type="default"/>
          <w:pgSz w:w="11906" w:h="16838"/>
          <w:pgMar w:top="1276" w:right="1134" w:bottom="901" w:left="1276"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default" w:ascii="Times New Roman" w:hAnsi="Times New Roman" w:cs="Times New Roman"/>
          <w:sz w:val="24"/>
          <w:szCs w:val="24"/>
        </w:rPr>
        <w:t>附表</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 xml:space="preserve">  </w:t>
      </w:r>
      <w:r>
        <w:rPr>
          <w:rFonts w:hint="default" w:ascii="Times New Roman" w:hAnsi="Times New Roman" w:cs="Times New Roman"/>
          <w:sz w:val="24"/>
          <w:szCs w:val="24"/>
          <w:lang w:eastAsia="zh-CN"/>
        </w:rPr>
        <w:t>土壤</w:t>
      </w:r>
      <w:r>
        <w:rPr>
          <w:rFonts w:hint="default" w:ascii="Times New Roman" w:hAnsi="Times New Roman" w:cs="Times New Roman"/>
          <w:sz w:val="24"/>
          <w:szCs w:val="24"/>
        </w:rPr>
        <w:t>自查表</w:t>
      </w:r>
    </w:p>
    <w:p>
      <w:pPr>
        <w:spacing w:line="480" w:lineRule="auto"/>
        <w:jc w:val="center"/>
        <w:outlineLvl w:val="0"/>
        <w:rPr>
          <w:rFonts w:hint="default" w:ascii="Times New Roman" w:hAnsi="Times New Roman" w:cs="Times New Roman"/>
          <w:b/>
          <w:sz w:val="44"/>
          <w:szCs w:val="44"/>
        </w:rPr>
      </w:pPr>
      <w:r>
        <w:rPr>
          <w:rFonts w:hint="default" w:ascii="Times New Roman" w:hAnsi="Times New Roman" w:cs="Times New Roman"/>
          <w:b/>
          <w:sz w:val="44"/>
          <w:szCs w:val="44"/>
        </w:rPr>
        <w:t xml:space="preserve"> </w:t>
      </w:r>
      <w:bookmarkStart w:id="11" w:name="_Toc14168"/>
      <w:r>
        <w:rPr>
          <w:rFonts w:hint="default" w:ascii="Times New Roman" w:hAnsi="Times New Roman" w:cs="Times New Roman"/>
          <w:b/>
          <w:sz w:val="44"/>
          <w:szCs w:val="44"/>
        </w:rPr>
        <w:t>概 述</w:t>
      </w:r>
      <w:bookmarkEnd w:id="11"/>
    </w:p>
    <w:p>
      <w:pPr>
        <w:spacing w:line="360" w:lineRule="auto"/>
        <w:outlineLvl w:val="1"/>
        <w:rPr>
          <w:rFonts w:hint="default" w:ascii="Times New Roman" w:hAnsi="Times New Roman" w:cs="Times New Roman"/>
          <w:b/>
          <w:sz w:val="28"/>
          <w:szCs w:val="28"/>
        </w:rPr>
      </w:pPr>
      <w:bookmarkStart w:id="12" w:name="_Toc26538"/>
      <w:r>
        <w:rPr>
          <w:rFonts w:hint="default" w:ascii="Times New Roman" w:hAnsi="Times New Roman" w:cs="Times New Roman"/>
          <w:b/>
          <w:sz w:val="28"/>
          <w:szCs w:val="28"/>
        </w:rPr>
        <w:t>1.1 项目由来</w:t>
      </w:r>
      <w:bookmarkEnd w:id="12"/>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养猪业是农业和农村经济的支柱产业，猪肉是居民的主要副食消费品。大力发展生猪生产，对于增强农业发展后劲，促进农民增收，满足人们消费需求，增强人民体质具有重要的意义。同时，“十二五”规划纲要提出，在工业化、城镇化深入发展中同步推进农业现代化，完善以工促农、以城带乡长效机制，加大强农惠农力度，提高农业现代化水平和农民生活水平。发展畜牧业，帮助农民增收致富是我国农业产业的重要内容，而养猪业是高效农业产业，是促进农民增收的重要途径之一，也是吸纳返乡农民工就业或帮助其自主创业的重要途径。该项目有利于促进乐山市市农业产业结构调整，进一步带动标准化规模养猪的发展，相关联的饲料业、食品业等也将得到进一步发展。</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为了促进农业产业结构调整和养殖业的发展，推动养殖专业化进程，推动农业增效、农民增收，夹江县旺鑫农牧科技有限公司拟在夹江县三洞镇周冲村</w:t>
      </w:r>
      <w:r>
        <w:rPr>
          <w:rFonts w:hint="eastAsia" w:ascii="Times New Roman" w:hAnsi="Times New Roman" w:cs="Times New Roman"/>
          <w:sz w:val="24"/>
          <w:szCs w:val="24"/>
          <w:lang w:eastAsia="zh-CN"/>
        </w:rPr>
        <w:t>6社</w:t>
      </w:r>
      <w:r>
        <w:rPr>
          <w:rFonts w:hint="default" w:ascii="Times New Roman" w:hAnsi="Times New Roman" w:cs="Times New Roman"/>
          <w:sz w:val="24"/>
          <w:szCs w:val="24"/>
        </w:rPr>
        <w:t>建设“新建年出栏14000头生猪养殖场”。占地面积19650平方米，项目总投资4800万元。</w:t>
      </w:r>
      <w:r>
        <w:rPr>
          <w:rFonts w:hint="default" w:ascii="Times New Roman" w:hAnsi="Times New Roman" w:cs="Times New Roman"/>
          <w:b/>
          <w:bCs/>
          <w:sz w:val="24"/>
          <w:szCs w:val="24"/>
        </w:rPr>
        <w:t>本项目建设内容包括：</w:t>
      </w:r>
      <w:r>
        <w:rPr>
          <w:rFonts w:hint="default" w:ascii="Times New Roman" w:hAnsi="Times New Roman" w:cs="Times New Roman"/>
          <w:sz w:val="24"/>
          <w:szCs w:val="24"/>
        </w:rPr>
        <w:t>饲料仓库、会议室、办公室、员工宿舍、消毒室、食堂、猪舍及配套建设污水处理站等环保设施；清粪方式采用重力干清粪工艺；项目建成后年存栏量生猪7000头，年出栏量生猪14000头。</w:t>
      </w:r>
    </w:p>
    <w:p>
      <w:pPr>
        <w:spacing w:line="360" w:lineRule="auto"/>
        <w:outlineLvl w:val="1"/>
        <w:rPr>
          <w:rFonts w:hint="default" w:ascii="Times New Roman" w:hAnsi="Times New Roman" w:cs="Times New Roman"/>
          <w:b/>
          <w:sz w:val="28"/>
          <w:szCs w:val="28"/>
        </w:rPr>
      </w:pPr>
      <w:bookmarkStart w:id="13" w:name="_Toc17073"/>
      <w:r>
        <w:rPr>
          <w:rFonts w:hint="default" w:ascii="Times New Roman" w:hAnsi="Times New Roman" w:cs="Times New Roman"/>
          <w:b/>
          <w:sz w:val="28"/>
          <w:szCs w:val="28"/>
        </w:rPr>
        <w:t>1.2 环境影响评价过程</w:t>
      </w:r>
      <w:bookmarkEnd w:id="13"/>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按照《中华人民共和国环境保护法》（2015年1月1日实施）、《中华人民共和国环境影响评价法》（2018年12月修订）、建设项目环境保护管理条例》（国务院令682号），本项目应开展环境影响评价工作。根据</w:t>
      </w:r>
      <w:r>
        <w:rPr>
          <w:rFonts w:hint="default" w:ascii="Times New Roman" w:hAnsi="Times New Roman" w:cs="Times New Roman"/>
          <w:color w:val="000000"/>
          <w:sz w:val="24"/>
        </w:rPr>
        <w:t>《建设项目环境影响评价分类管理名录》（生态环境部1号部令）</w:t>
      </w:r>
      <w:r>
        <w:rPr>
          <w:rFonts w:hint="default" w:ascii="Times New Roman" w:hAnsi="Times New Roman" w:cs="Times New Roman"/>
          <w:sz w:val="24"/>
          <w:szCs w:val="24"/>
        </w:rPr>
        <w:t>，本项目为其中“</w:t>
      </w:r>
      <w:r>
        <w:rPr>
          <w:rFonts w:hint="default" w:ascii="Times New Roman" w:hAnsi="Times New Roman" w:cs="Times New Roman"/>
          <w:sz w:val="24"/>
          <w:szCs w:val="24"/>
          <w:u w:val="single"/>
        </w:rPr>
        <w:t>一、畜牧业；1、畜禽养殖场、养殖小区；年出栏生猪5000头（其他畜禽种类折合猪的养殖规模）及以上，涉及环境敏感区的</w:t>
      </w:r>
      <w:r>
        <w:rPr>
          <w:rFonts w:hint="default" w:ascii="Times New Roman" w:hAnsi="Times New Roman" w:cs="Times New Roman"/>
          <w:sz w:val="24"/>
          <w:szCs w:val="24"/>
        </w:rPr>
        <w:t>”，应编制环境影响报告书。本项目年出栏生猪14000头，应编制环境影响报告书。为此，夹江县旺鑫农牧科技有限公司于2018年09月委托新疆鑫旺德盛土地环境工程有限公司（我司）承担本项目的环境影响评价工作。我公司接受委托后，在详细了解项目建设内容、主要工艺、并对项目现场进行踏勘、周边外环境调查的基础上，按照环境影响评价的有关技术规范及导则要求完成了《新建年出栏14000头生猪养殖场环境影响评价报告书》，待审批后作为开展项目建设环保设计及主管部门环境管理工作的依据。</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环评工作分为三个阶段，包括前期准备、调研和工作方案，分析论证和预测评价，环评文件编制三个阶段。</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环评工作程序图见图1。</w:t>
      </w:r>
    </w:p>
    <w:p>
      <w:pPr>
        <w:spacing w:line="360" w:lineRule="auto"/>
        <w:jc w:val="center"/>
        <w:rPr>
          <w:rFonts w:hint="default" w:ascii="Times New Roman" w:hAnsi="Times New Roman" w:cs="Times New Roman"/>
          <w:kern w:val="0"/>
        </w:rPr>
      </w:pPr>
      <w:r>
        <w:rPr>
          <w:rFonts w:hint="default" w:ascii="Times New Roman" w:hAnsi="Times New Roman" w:cs="Times New Roman"/>
          <w:kern w:val="0"/>
        </w:rPr>
        <w:pict>
          <v:group id="画布 2081" o:spid="_x0000_s2050" o:spt="203" style="height:423.7pt;width:366.5pt;" coordorigin="2449,5802" coordsize="7330,8474" editas="canvas">
            <o:lock v:ext="edit"/>
            <v:shape id="画布 2081" o:spid="_x0000_s2051" o:spt="75" type="#_x0000_t75" style="position:absolute;left:2449;top:5802;height:8474;width:7330;" filled="f" o:preferrelative="f" stroked="t" coordsize="21600,21600">
              <v:fill on="f" focussize="0,0"/>
              <v:stroke dashstyle="dash"/>
              <v:imagedata o:title=""/>
              <o:lock v:ext="edit" rotation="t" text="t" aspectratio="t"/>
            </v:shape>
            <v:shape id="_x0000_s2098" o:spid="_x0000_s2098" o:spt="202" type="#_x0000_t202" style="position:absolute;left:3870;top:5970;height:435;width:4440;" filled="f" coordsize="21600,21600">
              <v:path/>
              <v:fill on="f" focussize="0,0"/>
              <v:stroke joinstyle="miter"/>
              <v:imagedata o:title=""/>
              <o:lock v:ext="edit"/>
              <v:textbox>
                <w:txbxContent>
                  <w:p>
                    <w:pPr>
                      <w:jc w:val="center"/>
                    </w:pPr>
                    <w:r>
                      <w:rPr>
                        <w:rFonts w:hint="eastAsia"/>
                      </w:rPr>
                      <w:t>依据相关规定确定环境影响评价文件类型</w:t>
                    </w:r>
                  </w:p>
                </w:txbxContent>
              </v:textbox>
            </v:shape>
            <v:shape id="_x0000_s2099" o:spid="_x0000_s2099" o:spt="32" type="#_x0000_t32" style="position:absolute;left:6088;top:6405;height:305;width:1;" o:connectortype="straight" filled="f" coordsize="21600,21600">
              <v:path arrowok="t"/>
              <v:fill on="f" focussize="0,0"/>
              <v:stroke endarrow="block"/>
              <v:imagedata o:title=""/>
              <o:lock v:ext="edit"/>
            </v:shape>
            <v:shape id="_x0000_s2100" o:spid="_x0000_s2100" o:spt="202" type="#_x0000_t202" style="position:absolute;left:4110;top:6704;height:954;width:3960;" filled="f" coordsize="21600,21600">
              <v:path/>
              <v:fill on="f" focussize="0,0"/>
              <v:stroke joinstyle="miter"/>
              <v:imagedata o:title=""/>
              <o:lock v:ext="edit"/>
              <v:textbox>
                <w:txbxContent>
                  <w:p>
                    <w:pPr>
                      <w:adjustRightInd w:val="0"/>
                      <w:snapToGrid w:val="0"/>
                      <w:jc w:val="left"/>
                      <w:rPr>
                        <w:rFonts w:hint="eastAsia"/>
                      </w:rPr>
                    </w:pPr>
                    <w:r>
                      <w:rPr>
                        <w:rFonts w:hint="eastAsia"/>
                      </w:rPr>
                      <w:t>1研究相关技术文件和其他有关文件</w:t>
                    </w:r>
                  </w:p>
                  <w:p>
                    <w:pPr>
                      <w:adjustRightInd w:val="0"/>
                      <w:snapToGrid w:val="0"/>
                      <w:jc w:val="left"/>
                      <w:rPr>
                        <w:rFonts w:hint="eastAsia"/>
                      </w:rPr>
                    </w:pPr>
                    <w:r>
                      <w:rPr>
                        <w:rFonts w:hint="eastAsia"/>
                      </w:rPr>
                      <w:t>2进行初步工程分析</w:t>
                    </w:r>
                  </w:p>
                  <w:p>
                    <w:pPr>
                      <w:adjustRightInd w:val="0"/>
                      <w:snapToGrid w:val="0"/>
                      <w:jc w:val="left"/>
                    </w:pPr>
                    <w:r>
                      <w:rPr>
                        <w:rFonts w:hint="eastAsia"/>
                      </w:rPr>
                      <w:t>3开展初步的环境现状调查</w:t>
                    </w:r>
                  </w:p>
                </w:txbxContent>
              </v:textbox>
            </v:shape>
            <v:shape id="_x0000_s2101" o:spid="_x0000_s2101" o:spt="202" type="#_x0000_t202" style="position:absolute;left:4110;top:7958;height:996;width:3960;" filled="f" coordsize="21600,21600">
              <v:path/>
              <v:fill on="f" focussize="0,0"/>
              <v:stroke joinstyle="miter"/>
              <v:imagedata o:title=""/>
              <o:lock v:ext="edit"/>
              <v:textbox>
                <w:txbxContent>
                  <w:p>
                    <w:pPr>
                      <w:adjustRightInd w:val="0"/>
                      <w:snapToGrid w:val="0"/>
                      <w:jc w:val="left"/>
                      <w:rPr>
                        <w:rFonts w:hint="eastAsia"/>
                      </w:rPr>
                    </w:pPr>
                    <w:r>
                      <w:rPr>
                        <w:rFonts w:hint="eastAsia"/>
                      </w:rPr>
                      <w:t>1环境影响识别和评价因子筛选</w:t>
                    </w:r>
                  </w:p>
                  <w:p>
                    <w:pPr>
                      <w:adjustRightInd w:val="0"/>
                      <w:snapToGrid w:val="0"/>
                      <w:jc w:val="left"/>
                      <w:rPr>
                        <w:rFonts w:hint="eastAsia"/>
                      </w:rPr>
                    </w:pPr>
                    <w:r>
                      <w:rPr>
                        <w:rFonts w:hint="eastAsia"/>
                      </w:rPr>
                      <w:t>2明确评价重点和环境保护目标</w:t>
                    </w:r>
                  </w:p>
                  <w:p>
                    <w:pPr>
                      <w:adjustRightInd w:val="0"/>
                      <w:snapToGrid w:val="0"/>
                      <w:jc w:val="left"/>
                    </w:pPr>
                    <w:r>
                      <w:rPr>
                        <w:rFonts w:hint="eastAsia"/>
                      </w:rPr>
                      <w:t>3确定工作等级、评价范围和评价标准</w:t>
                    </w:r>
                  </w:p>
                </w:txbxContent>
              </v:textbox>
            </v:shape>
            <v:shape id="_x0000_s2102" o:spid="_x0000_s2102" o:spt="202" type="#_x0000_t202" style="position:absolute;left:4635;top:13697;height:435;width:3030;" filled="f" coordsize="21600,21600">
              <v:path/>
              <v:fill on="f" focussize="0,0"/>
              <v:stroke joinstyle="miter"/>
              <v:imagedata o:title=""/>
              <o:lock v:ext="edit"/>
              <v:textbox>
                <w:txbxContent>
                  <w:p>
                    <w:pPr>
                      <w:jc w:val="center"/>
                    </w:pPr>
                    <w:r>
                      <w:rPr>
                        <w:rFonts w:hint="eastAsia"/>
                      </w:rPr>
                      <w:t>编制环境影响报告书</w:t>
                    </w:r>
                  </w:p>
                </w:txbxContent>
              </v:textbox>
            </v:shape>
            <v:shape id="_x0000_s2103" o:spid="_x0000_s2103" o:spt="202" type="#_x0000_t202" style="position:absolute;left:6796;top:10232;height:669;width:1905;" filled="f" coordsize="21600,21600">
              <v:path/>
              <v:fill on="f" focussize="0,0"/>
              <v:stroke joinstyle="miter"/>
              <v:imagedata o:title=""/>
              <o:lock v:ext="edit"/>
              <v:textbox>
                <w:txbxContent>
                  <w:p>
                    <w:pPr>
                      <w:adjustRightInd w:val="0"/>
                      <w:snapToGrid w:val="0"/>
                      <w:jc w:val="center"/>
                      <w:rPr>
                        <w:rFonts w:hint="eastAsia"/>
                      </w:rPr>
                    </w:pPr>
                    <w:r>
                      <w:rPr>
                        <w:rFonts w:hint="eastAsia"/>
                      </w:rPr>
                      <w:t>建设项目</w:t>
                    </w:r>
                  </w:p>
                  <w:p>
                    <w:pPr>
                      <w:adjustRightInd w:val="0"/>
                      <w:snapToGrid w:val="0"/>
                      <w:jc w:val="center"/>
                    </w:pPr>
                    <w:r>
                      <w:rPr>
                        <w:rFonts w:hint="eastAsia"/>
                      </w:rPr>
                      <w:t>工程分析</w:t>
                    </w:r>
                  </w:p>
                </w:txbxContent>
              </v:textbox>
            </v:shape>
            <v:shape id="_x0000_s2104" o:spid="_x0000_s2104" o:spt="202" type="#_x0000_t202" style="position:absolute;left:4845;top:9263;height:435;width:2475;" filled="f" coordsize="21600,21600">
              <v:path/>
              <v:fill on="f" focussize="0,0"/>
              <v:stroke joinstyle="miter"/>
              <v:imagedata o:title=""/>
              <o:lock v:ext="edit"/>
              <v:textbox>
                <w:txbxContent>
                  <w:p>
                    <w:pPr>
                      <w:jc w:val="center"/>
                    </w:pPr>
                    <w:r>
                      <w:rPr>
                        <w:rFonts w:hint="eastAsia"/>
                      </w:rPr>
                      <w:t>制定工作方案</w:t>
                    </w:r>
                  </w:p>
                </w:txbxContent>
              </v:textbox>
            </v:shape>
            <v:shape id="_x0000_s2105" o:spid="_x0000_s2105" o:spt="202" type="#_x0000_t202" style="position:absolute;left:4110;top:12404;height:996;width:4065;" filled="f" coordsize="21600,21600">
              <v:path/>
              <v:fill on="f" focussize="0,0"/>
              <v:stroke joinstyle="miter"/>
              <v:imagedata o:title=""/>
              <o:lock v:ext="edit"/>
              <v:textbox>
                <w:txbxContent>
                  <w:p>
                    <w:pPr>
                      <w:adjustRightInd w:val="0"/>
                      <w:snapToGrid w:val="0"/>
                      <w:jc w:val="left"/>
                      <w:rPr>
                        <w:rFonts w:hint="eastAsia"/>
                      </w:rPr>
                    </w:pPr>
                    <w:r>
                      <w:rPr>
                        <w:rFonts w:hint="eastAsia"/>
                      </w:rPr>
                      <w:t>1提出环境保护措施，进行技术经济论证</w:t>
                    </w:r>
                  </w:p>
                  <w:p>
                    <w:pPr>
                      <w:adjustRightInd w:val="0"/>
                      <w:snapToGrid w:val="0"/>
                      <w:jc w:val="left"/>
                      <w:rPr>
                        <w:rFonts w:hint="eastAsia"/>
                      </w:rPr>
                    </w:pPr>
                    <w:r>
                      <w:rPr>
                        <w:rFonts w:hint="eastAsia"/>
                      </w:rPr>
                      <w:t>2给出污染物排放清单</w:t>
                    </w:r>
                  </w:p>
                  <w:p>
                    <w:pPr>
                      <w:adjustRightInd w:val="0"/>
                      <w:snapToGrid w:val="0"/>
                      <w:jc w:val="left"/>
                    </w:pPr>
                    <w:r>
                      <w:rPr>
                        <w:rFonts w:hint="eastAsia"/>
                      </w:rPr>
                      <w:t>3给出建设项目环境影响评价结论</w:t>
                    </w:r>
                  </w:p>
                </w:txbxContent>
              </v:textbox>
            </v:shape>
            <v:shape id="_x0000_s2106" o:spid="_x0000_s2106" o:spt="202" type="#_x0000_t202" style="position:absolute;left:4335;top:11423;height:669;width:3615;" filled="f" coordsize="21600,21600">
              <v:path/>
              <v:fill on="f" focussize="0,0"/>
              <v:stroke joinstyle="miter"/>
              <v:imagedata o:title=""/>
              <o:lock v:ext="edit"/>
              <v:textbox>
                <w:txbxContent>
                  <w:p>
                    <w:pPr>
                      <w:adjustRightInd w:val="0"/>
                      <w:snapToGrid w:val="0"/>
                      <w:jc w:val="left"/>
                      <w:rPr>
                        <w:rFonts w:hint="eastAsia"/>
                      </w:rPr>
                    </w:pPr>
                    <w:r>
                      <w:rPr>
                        <w:rFonts w:hint="eastAsia"/>
                      </w:rPr>
                      <w:t>1各环境要素环境影响预测与评价</w:t>
                    </w:r>
                  </w:p>
                  <w:p>
                    <w:pPr>
                      <w:adjustRightInd w:val="0"/>
                      <w:snapToGrid w:val="0"/>
                      <w:jc w:val="left"/>
                    </w:pPr>
                    <w:r>
                      <w:rPr>
                        <w:rFonts w:hint="eastAsia"/>
                      </w:rPr>
                      <w:t>2各专题环境影响分析与评价</w:t>
                    </w:r>
                  </w:p>
                </w:txbxContent>
              </v:textbox>
            </v:shape>
            <v:shape id="_x0000_s2107" o:spid="_x0000_s2107" o:spt="202" type="#_x0000_t202" style="position:absolute;left:3495;top:10232;height:669;width:1905;" filled="f" coordsize="21600,21600">
              <v:path/>
              <v:fill on="f" focussize="0,0"/>
              <v:stroke joinstyle="miter"/>
              <v:imagedata o:title=""/>
              <o:lock v:ext="edit"/>
              <v:textbox>
                <w:txbxContent>
                  <w:p>
                    <w:pPr>
                      <w:adjustRightInd w:val="0"/>
                      <w:snapToGrid w:val="0"/>
                      <w:jc w:val="center"/>
                      <w:rPr>
                        <w:rFonts w:hint="eastAsia"/>
                      </w:rPr>
                    </w:pPr>
                    <w:r>
                      <w:rPr>
                        <w:rFonts w:hint="eastAsia"/>
                      </w:rPr>
                      <w:t>环境现状调查</w:t>
                    </w:r>
                  </w:p>
                  <w:p>
                    <w:pPr>
                      <w:adjustRightInd w:val="0"/>
                      <w:snapToGrid w:val="0"/>
                      <w:jc w:val="center"/>
                    </w:pPr>
                    <w:r>
                      <w:rPr>
                        <w:rFonts w:hint="eastAsia"/>
                      </w:rPr>
                      <w:t>监测与评价</w:t>
                    </w:r>
                  </w:p>
                </w:txbxContent>
              </v:textbox>
            </v:shape>
            <v:shape id="_x0000_s2108" o:spid="_x0000_s2108" o:spt="32" type="#_x0000_t32" style="position:absolute;left:6090;top:9698;height:297;width:1;" o:connectortype="straight" filled="f" coordsize="21600,21600">
              <v:path arrowok="t"/>
              <v:fill on="f" focussize="0,0"/>
              <v:stroke endarrow="block"/>
              <v:imagedata o:title=""/>
              <o:lock v:ext="edit"/>
            </v:shape>
            <v:shape id="_x0000_s2109" o:spid="_x0000_s2109" o:spt="32" type="#_x0000_t32" style="position:absolute;left:6089;top:7658;height:305;width:1;" o:connectortype="straight" filled="f" coordsize="21600,21600">
              <v:path arrowok="t"/>
              <v:fill on="f" focussize="0,0"/>
              <v:stroke endarrow="block"/>
              <v:imagedata o:title=""/>
              <o:lock v:ext="edit"/>
            </v:shape>
            <v:shape id="_x0000_s2110" o:spid="_x0000_s2110" o:spt="32" type="#_x0000_t32" style="position:absolute;left:6087;top:8954;height:305;width:1;" o:connectortype="straight" filled="f" coordsize="21600,21600">
              <v:path arrowok="t"/>
              <v:fill on="f" focussize="0,0"/>
              <v:stroke endarrow="block"/>
              <v:imagedata o:title=""/>
              <o:lock v:ext="edit"/>
            </v:shape>
            <v:shape id="_x0000_s2111" o:spid="_x0000_s2111" o:spt="32" type="#_x0000_t32" style="position:absolute;left:4455;top:9994;height:1;width:3300;" o:connectortype="straight" filled="f" coordsize="21600,21600">
              <v:path arrowok="t"/>
              <v:fill on="f" focussize="0,0"/>
              <v:stroke/>
              <v:imagedata o:title=""/>
              <o:lock v:ext="edit"/>
            </v:shape>
            <v:shape id="_x0000_s2112" o:spid="_x0000_s2112" o:spt="32" type="#_x0000_t32" style="position:absolute;left:6151;top:11123;height:297;width:1;" o:connectortype="straight" filled="f" coordsize="21600,21600">
              <v:path arrowok="t"/>
              <v:fill on="f" focussize="0,0"/>
              <v:stroke endarrow="block"/>
              <v:imagedata o:title=""/>
              <o:lock v:ext="edit"/>
            </v:shape>
            <v:shape id="_x0000_s2113" o:spid="_x0000_s2113" o:spt="32" type="#_x0000_t32" style="position:absolute;left:6150;top:12107;height:297;width:1;" o:connectortype="straight" filled="f" coordsize="21600,21600">
              <v:path arrowok="t"/>
              <v:fill on="f" focussize="0,0"/>
              <v:stroke endarrow="block"/>
              <v:imagedata o:title=""/>
              <o:lock v:ext="edit"/>
            </v:shape>
            <v:shape id="_x0000_s2114" o:spid="_x0000_s2114" o:spt="32" type="#_x0000_t32" style="position:absolute;left:6151;top:13400;height:297;width:1;" o:connectortype="straight" filled="f" coordsize="21600,21600">
              <v:path arrowok="t"/>
              <v:fill on="f" focussize="0,0"/>
              <v:stroke endarrow="block"/>
              <v:imagedata o:title=""/>
              <o:lock v:ext="edit"/>
            </v:shape>
            <v:shape id="_x0000_s2115" o:spid="_x0000_s2115" o:spt="32" type="#_x0000_t32" style="position:absolute;left:4453;top:11123;height:1;width:3300;" o:connectortype="straight" filled="f" coordsize="21600,21600">
              <v:path arrowok="t"/>
              <v:fill on="f" focussize="0,0"/>
              <v:stroke/>
              <v:imagedata o:title=""/>
              <o:lock v:ext="edit"/>
            </v:shape>
            <v:shape id="_x0000_s2116" o:spid="_x0000_s2116" o:spt="32" type="#_x0000_t32" style="position:absolute;left:4455;top:9995;height:223;width:1;" o:connectortype="straight" filled="f" coordsize="21600,21600">
              <v:path arrowok="t"/>
              <v:fill on="f" focussize="0,0"/>
              <v:stroke/>
              <v:imagedata o:title=""/>
              <o:lock v:ext="edit"/>
            </v:shape>
            <v:shape id="_x0000_s2117" o:spid="_x0000_s2117" o:spt="32" type="#_x0000_t32" style="position:absolute;left:7754;top:9997;height:223;width:1;" o:connectortype="straight" filled="f" coordsize="21600,21600">
              <v:path arrowok="t"/>
              <v:fill on="f" focussize="0,0"/>
              <v:stroke/>
              <v:imagedata o:title=""/>
              <o:lock v:ext="edit"/>
            </v:shape>
            <v:shape id="_x0000_s2118" o:spid="_x0000_s2118" o:spt="32" type="#_x0000_t32" style="position:absolute;left:4456;top:10901;height:223;width:1;" o:connectortype="straight" filled="f" coordsize="21600,21600">
              <v:path arrowok="t"/>
              <v:fill on="f" focussize="0,0"/>
              <v:stroke/>
              <v:imagedata o:title=""/>
              <o:lock v:ext="edit"/>
            </v:shape>
            <v:shape id="_x0000_s2119" o:spid="_x0000_s2119" o:spt="32" type="#_x0000_t32" style="position:absolute;left:7753;top:10901;height:223;width:1;" o:connectortype="straight" filled="f" coordsize="21600,21600">
              <v:path arrowok="t"/>
              <v:fill on="f" focussize="0,0"/>
              <v:stroke/>
              <v:imagedata o:title=""/>
              <o:lock v:ext="edit"/>
            </v:shape>
            <v:shape id="_x0000_s2120" o:spid="_x0000_s2120" o:spt="32" type="#_x0000_t32" style="position:absolute;left:2449;top:9788;height:1;width:7330;" o:connectortype="straight" filled="f" coordsize="21600,21600">
              <v:path arrowok="t"/>
              <v:fill on="f" focussize="0,0"/>
              <v:stroke dashstyle="dash"/>
              <v:imagedata o:title=""/>
              <o:lock v:ext="edit"/>
            </v:shape>
            <v:shape id="_x0000_s2121" o:spid="_x0000_s2121" o:spt="32" type="#_x0000_t32" style="position:absolute;left:2449;top:12205;height:1;width:7330;" o:connectortype="straight" filled="f" coordsize="21600,21600">
              <v:path arrowok="t"/>
              <v:fill on="f" focussize="0,0"/>
              <v:stroke dashstyle="dash"/>
              <v:imagedata o:title=""/>
              <o:lock v:ext="edit"/>
            </v:shape>
            <v:shape id="_x0000_s2122" o:spid="_x0000_s2122" o:spt="202" type="#_x0000_t202" style="position:absolute;left:2748;top:7074;height:1420;width:447;" filled="f" stroked="f" coordsize="21600,21600">
              <v:path/>
              <v:fill on="f" focussize="0,0"/>
              <v:stroke on="f" joinstyle="miter"/>
              <v:imagedata o:title=""/>
              <o:lock v:ext="edit"/>
              <v:textbox>
                <w:txbxContent>
                  <w:p>
                    <w:r>
                      <w:rPr>
                        <w:rFonts w:hint="eastAsia"/>
                      </w:rPr>
                      <w:t>第一阶段</w:t>
                    </w:r>
                  </w:p>
                </w:txbxContent>
              </v:textbox>
            </v:shape>
            <v:shape id="_x0000_s2123" o:spid="_x0000_s2123" o:spt="202" type="#_x0000_t202" style="position:absolute;left:2748;top:10284;height:1420;width:447;" filled="f" stroked="f" coordsize="21600,21600">
              <v:path/>
              <v:fill on="f" focussize="0,0"/>
              <v:stroke on="f" joinstyle="miter"/>
              <v:imagedata o:title=""/>
              <o:lock v:ext="edit"/>
              <v:textbox>
                <w:txbxContent>
                  <w:p>
                    <w:r>
                      <w:rPr>
                        <w:rFonts w:hint="eastAsia"/>
                      </w:rPr>
                      <w:t>第二阶段</w:t>
                    </w:r>
                  </w:p>
                </w:txbxContent>
              </v:textbox>
            </v:shape>
            <v:shape id="_x0000_s2124" o:spid="_x0000_s2124" o:spt="202" type="#_x0000_t202" style="position:absolute;left:2748;top:12549;height:1420;width:447;" filled="f" stroked="f" coordsize="21600,21600">
              <v:path/>
              <v:fill on="f" focussize="0,0"/>
              <v:stroke on="f" joinstyle="miter"/>
              <v:imagedata o:title=""/>
              <o:lock v:ext="edit"/>
              <v:textbox>
                <w:txbxContent>
                  <w:p>
                    <w:r>
                      <w:rPr>
                        <w:rFonts w:hint="eastAsia"/>
                      </w:rPr>
                      <w:t>第三阶段</w:t>
                    </w:r>
                  </w:p>
                </w:txbxContent>
              </v:textbox>
            </v:shape>
            <w10:wrap type="none"/>
            <w10:anchorlock/>
          </v:group>
        </w:pict>
      </w:r>
    </w:p>
    <w:p>
      <w:pPr>
        <w:spacing w:line="360" w:lineRule="auto"/>
        <w:ind w:firstLine="482"/>
        <w:jc w:val="center"/>
        <w:rPr>
          <w:rFonts w:hint="default" w:ascii="Times New Roman" w:hAnsi="Times New Roman" w:cs="Times New Roman"/>
          <w:bCs/>
          <w:kern w:val="0"/>
          <w:sz w:val="24"/>
          <w:szCs w:val="24"/>
        </w:rPr>
      </w:pPr>
      <w:r>
        <w:rPr>
          <w:rFonts w:hint="default" w:ascii="Times New Roman" w:hAnsi="Times New Roman" w:cs="Times New Roman"/>
          <w:bCs/>
          <w:sz w:val="24"/>
          <w:szCs w:val="24"/>
        </w:rPr>
        <w:t>图</w:t>
      </w:r>
      <w:r>
        <w:rPr>
          <w:rFonts w:hint="default" w:ascii="Times New Roman" w:hAnsi="Times New Roman" w:cs="Times New Roman"/>
          <w:bCs/>
          <w:sz w:val="24"/>
          <w:szCs w:val="24"/>
          <w:lang w:val="en-US" w:eastAsia="zh-CN"/>
        </w:rPr>
        <w:t>1</w:t>
      </w:r>
      <w:r>
        <w:rPr>
          <w:rFonts w:hint="default" w:ascii="Times New Roman" w:hAnsi="Times New Roman" w:cs="Times New Roman"/>
          <w:bCs/>
          <w:sz w:val="24"/>
          <w:szCs w:val="24"/>
        </w:rPr>
        <w:t xml:space="preserve">  环境影响评价工作程序图</w:t>
      </w:r>
    </w:p>
    <w:p>
      <w:pPr>
        <w:spacing w:line="480" w:lineRule="auto"/>
        <w:jc w:val="center"/>
        <w:rPr>
          <w:rFonts w:hint="default" w:ascii="Times New Roman" w:hAnsi="Times New Roman" w:cs="Times New Roman"/>
          <w:b/>
          <w:sz w:val="36"/>
          <w:szCs w:val="36"/>
        </w:rPr>
        <w:sectPr>
          <w:headerReference r:id="rId7" w:type="default"/>
          <w:footerReference r:id="rId8" w:type="default"/>
          <w:pgSz w:w="11906" w:h="16838"/>
          <w:pgMar w:top="1276" w:right="1134" w:bottom="901" w:left="1276"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spacing w:line="360" w:lineRule="auto"/>
        <w:outlineLvl w:val="1"/>
        <w:rPr>
          <w:rFonts w:hint="default" w:ascii="Times New Roman" w:hAnsi="Times New Roman" w:cs="Times New Roman"/>
          <w:b/>
          <w:sz w:val="28"/>
          <w:szCs w:val="28"/>
        </w:rPr>
      </w:pPr>
      <w:bookmarkStart w:id="14" w:name="_Toc18644"/>
      <w:bookmarkStart w:id="15" w:name="_Toc20857"/>
      <w:r>
        <w:rPr>
          <w:rFonts w:hint="default" w:ascii="Times New Roman" w:hAnsi="Times New Roman" w:cs="Times New Roman"/>
          <w:b/>
          <w:sz w:val="28"/>
          <w:szCs w:val="28"/>
        </w:rPr>
        <w:t>1.3 评价目的及原则</w:t>
      </w:r>
      <w:bookmarkEnd w:id="14"/>
    </w:p>
    <w:p>
      <w:pPr>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1.3.1 评价目的</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（1）通过国家和省市的产业政策、城市及环境规划的了解和分析，论证项目建设及其选址的可行性和合理性；</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（2）通过对建设项目周围环境现状资料调查收集及环境现状监测，掌握评价区域的环境质量现状，确定主要环境保护目标；</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3）通过对该建设项目工程内容的分析，确定项目建成后的工程特点、污染物排放特征。结合周围环境特点和项目污染物排放特征，主要分析预测项目运营期对周围环境的影响程度、影响范围以及环境质量可能发生的变化；</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（4）根据工程分析和影响预测评价的结果，对建设单位选用的污染治理设施作出评价，论述本项目环保设施的可靠性和合理性，提出防治和减缓措施的对策和建议；</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（5）从环保的角度明确给出项目建设的可行性结论，同时对项目提出环境管理和环境监测建议，从而为环保决策和管理部门提供科学依据。</w:t>
      </w:r>
    </w:p>
    <w:p>
      <w:pPr>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1.3.2 评价原则</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突出环境影响评价的源头预防作用，坚持保护和改善环境质量。</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（1）依法评价</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贯彻执行我国环境保护相关法律法规、标准、政策和规划等，优化项目建设，服务环境管理。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（2）科学评价</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规范环境影响评价方法、科学分析项目建设对环境质量的影响。</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（3）突出重点</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根据建设项目的工程内容及其特点，明确与环境要素间的作用效应关系，根据规划环境影响评价结论和审查意见，充分利用符合时效的数据资料及成果，对建设项目主要环境影响予以重点分析和评价。</w:t>
      </w:r>
    </w:p>
    <w:p>
      <w:pPr>
        <w:spacing w:line="360" w:lineRule="auto"/>
        <w:outlineLvl w:val="1"/>
        <w:rPr>
          <w:rFonts w:hint="default" w:ascii="Times New Roman" w:hAnsi="Times New Roman" w:cs="Times New Roman"/>
          <w:b/>
          <w:bCs w:val="0"/>
          <w:sz w:val="28"/>
          <w:szCs w:val="28"/>
        </w:rPr>
      </w:pPr>
      <w:bookmarkStart w:id="16" w:name="_Toc7985"/>
      <w:r>
        <w:rPr>
          <w:rFonts w:hint="default" w:ascii="Times New Roman" w:hAnsi="Times New Roman" w:cs="Times New Roman"/>
          <w:b/>
          <w:bCs w:val="0"/>
          <w:sz w:val="28"/>
          <w:szCs w:val="28"/>
        </w:rPr>
        <w:t>1.4 关注的主要环境问题</w:t>
      </w:r>
      <w:bookmarkEnd w:id="16"/>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本次评价重点关注项目运营期废气、噪声、废水、固体废物的排放情况及拟采取的污染防治措施。同时建设关注的主要环境问题还有如下几点：</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（1）项目选址合理性及规划符合性分析；</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（2）主要养殖流程及产污节点分析；</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（3）产污源强分析：</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（4）工程采取的污染防治对策及污染物排放达标可靠性分析：</w:t>
      </w:r>
    </w:p>
    <w:p>
      <w:pPr>
        <w:spacing w:line="360" w:lineRule="auto"/>
        <w:ind w:firstLine="360" w:firstLineChars="150"/>
        <w:rPr>
          <w:rFonts w:hint="default" w:ascii="Times New Roman" w:hAnsi="Times New Roman" w:cs="Times New Roman"/>
          <w:sz w:val="24"/>
          <w:szCs w:val="24"/>
        </w:rPr>
        <w:sectPr>
          <w:footerReference r:id="rId9" w:type="default"/>
          <w:pgSz w:w="11907" w:h="16840"/>
          <w:pgMar w:top="940" w:right="1134" w:bottom="900" w:left="1276" w:header="567" w:footer="851" w:gutter="0"/>
          <w:pgBorders>
            <w:top w:val="none" w:sz="0" w:space="0"/>
            <w:left w:val="none" w:sz="0" w:space="0"/>
            <w:bottom w:val="none" w:sz="0" w:space="0"/>
            <w:right w:val="none" w:sz="0" w:space="0"/>
          </w:pgBorders>
          <w:pgNumType w:fmt="upperRoman"/>
          <w:cols w:space="720" w:num="1"/>
        </w:sectPr>
      </w:pP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（5）环境风险分析；</w:t>
      </w:r>
    </w:p>
    <w:p>
      <w:pPr>
        <w:spacing w:line="360" w:lineRule="auto"/>
        <w:outlineLvl w:val="1"/>
        <w:rPr>
          <w:rFonts w:hint="default" w:ascii="Times New Roman" w:hAnsi="Times New Roman" w:cs="Times New Roman"/>
          <w:b/>
          <w:bCs w:val="0"/>
          <w:sz w:val="28"/>
          <w:szCs w:val="28"/>
        </w:rPr>
      </w:pPr>
      <w:bookmarkStart w:id="17" w:name="_Toc5753"/>
      <w:r>
        <w:rPr>
          <w:rFonts w:hint="default" w:ascii="Times New Roman" w:hAnsi="Times New Roman" w:cs="Times New Roman"/>
          <w:b/>
          <w:bCs w:val="0"/>
          <w:sz w:val="28"/>
          <w:szCs w:val="28"/>
        </w:rPr>
        <w:t>1.5 环境影响评价主要结论</w:t>
      </w:r>
      <w:bookmarkEnd w:id="17"/>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w:t>
      </w:r>
      <w:bookmarkEnd w:id="15"/>
      <w:r>
        <w:rPr>
          <w:rFonts w:hint="default" w:ascii="Times New Roman" w:hAnsi="Times New Roman" w:cs="Times New Roman"/>
          <w:sz w:val="24"/>
          <w:szCs w:val="24"/>
        </w:rPr>
        <w:t>夹江县旺鑫农牧科技有限公司关于新建年出栏14000头生猪养殖场</w:t>
      </w:r>
      <w:r>
        <w:rPr>
          <w:rFonts w:hint="default" w:ascii="Times New Roman" w:hAnsi="Times New Roman" w:cs="Times New Roman"/>
          <w:color w:val="000000"/>
          <w:sz w:val="24"/>
          <w:szCs w:val="24"/>
        </w:rPr>
        <w:t>项目</w:t>
      </w:r>
      <w:r>
        <w:rPr>
          <w:rFonts w:hint="default" w:ascii="Times New Roman" w:hAnsi="Times New Roman" w:cs="Times New Roman"/>
          <w:sz w:val="24"/>
          <w:szCs w:val="24"/>
        </w:rPr>
        <w:t>位于</w:t>
      </w:r>
      <w:r>
        <w:rPr>
          <w:rFonts w:hint="default" w:ascii="Times New Roman" w:hAnsi="Times New Roman" w:cs="Times New Roman"/>
          <w:color w:val="000000"/>
          <w:sz w:val="24"/>
          <w:szCs w:val="24"/>
        </w:rPr>
        <w:t>夹江县三洞镇周冲村6社</w:t>
      </w:r>
      <w:r>
        <w:rPr>
          <w:rFonts w:hint="default" w:ascii="Times New Roman" w:hAnsi="Times New Roman" w:cs="Times New Roman"/>
          <w:sz w:val="24"/>
          <w:szCs w:val="24"/>
        </w:rPr>
        <w:t>，项目建设符合当前国家和地方产业政策、《四川省畜牧业“十三五”发展规划》（2016-2020）的要求，符合卫生防护距离要求，选址合理，公众总体意见支持。项目施工期主要环境污染问题为扬尘、噪声、固体废物、废水等的污染影响，营运期主要为恶臭、养殖废水、猪粪、病死猪、医疗废物、生活污水、生活垃圾等的影响。在切实落实本报告书中提出的各项管理措施、环保措施的前提条件下，各种污染对环境影响均不大，可实现社会效益、经济效益和环境效益的协调发展，项目的建设在环境保护方面是可行的。</w:t>
      </w:r>
    </w:p>
    <w:p>
      <w:pPr>
        <w:pStyle w:val="3"/>
        <w:spacing w:before="0" w:after="0" w:line="360" w:lineRule="auto"/>
        <w:jc w:val="center"/>
        <w:rPr>
          <w:rFonts w:hint="default" w:ascii="Times New Roman" w:hAnsi="Times New Roman" w:cs="Times New Roman"/>
          <w:bCs w:val="0"/>
          <w:kern w:val="2"/>
          <w:sz w:val="32"/>
          <w:szCs w:val="32"/>
        </w:rPr>
        <w:sectPr>
          <w:footerReference r:id="rId10" w:type="default"/>
          <w:pgSz w:w="11907" w:h="16840"/>
          <w:pgMar w:top="940" w:right="1134" w:bottom="900" w:left="1276" w:header="567" w:footer="851" w:gutter="0"/>
          <w:pgBorders>
            <w:top w:val="none" w:sz="0" w:space="0"/>
            <w:left w:val="none" w:sz="0" w:space="0"/>
            <w:bottom w:val="none" w:sz="0" w:space="0"/>
            <w:right w:val="none" w:sz="0" w:space="0"/>
          </w:pgBorders>
          <w:pgNumType w:fmt="upperRoman"/>
          <w:cols w:space="720" w:num="1"/>
        </w:sectPr>
      </w:pPr>
      <w:bookmarkStart w:id="18" w:name="_Toc3102"/>
      <w:bookmarkStart w:id="19" w:name="_Toc6161624"/>
    </w:p>
    <w:p>
      <w:pPr>
        <w:pStyle w:val="3"/>
        <w:keepNext/>
        <w:keepLines/>
        <w:pageBreakBefore w:val="0"/>
        <w:widowControl w:val="0"/>
        <w:kinsoku/>
        <w:wordWrap/>
        <w:overflowPunct/>
        <w:topLinePunct w:val="0"/>
        <w:autoSpaceDE/>
        <w:autoSpaceDN/>
        <w:bidi w:val="0"/>
        <w:adjustRightInd/>
        <w:snapToGrid/>
        <w:spacing w:before="0" w:beforeLines="100" w:after="0" w:line="360" w:lineRule="auto"/>
        <w:jc w:val="center"/>
        <w:textAlignment w:val="auto"/>
        <w:outlineLvl w:val="0"/>
        <w:rPr>
          <w:rFonts w:hint="default" w:ascii="Times New Roman" w:hAnsi="Times New Roman" w:eastAsia="宋体" w:cs="Times New Roman"/>
          <w:b/>
          <w:bCs/>
          <w:color w:val="000000"/>
          <w:kern w:val="2"/>
          <w:sz w:val="44"/>
          <w:szCs w:val="44"/>
          <w:lang w:val="en-US" w:eastAsia="zh-CN" w:bidi="ar-SA"/>
        </w:rPr>
      </w:pPr>
      <w:bookmarkStart w:id="20" w:name="_Toc15942"/>
      <w:r>
        <w:rPr>
          <w:rFonts w:hint="default" w:ascii="Times New Roman" w:hAnsi="Times New Roman" w:eastAsia="宋体" w:cs="Times New Roman"/>
          <w:b/>
          <w:bCs/>
          <w:color w:val="000000"/>
          <w:kern w:val="2"/>
          <w:sz w:val="44"/>
          <w:szCs w:val="44"/>
          <w:lang w:val="en-US" w:eastAsia="zh-CN" w:bidi="ar-SA"/>
        </w:rPr>
        <w:t xml:space="preserve">第一章 </w:t>
      </w:r>
      <w:bookmarkEnd w:id="18"/>
      <w:bookmarkEnd w:id="19"/>
      <w:r>
        <w:rPr>
          <w:rFonts w:hint="default" w:ascii="Times New Roman" w:hAnsi="Times New Roman" w:eastAsia="宋体" w:cs="Times New Roman"/>
          <w:b/>
          <w:bCs/>
          <w:color w:val="000000"/>
          <w:kern w:val="2"/>
          <w:sz w:val="44"/>
          <w:szCs w:val="44"/>
          <w:lang w:val="en-US" w:eastAsia="zh-CN" w:bidi="ar-SA"/>
        </w:rPr>
        <w:t>总则</w:t>
      </w:r>
      <w:bookmarkEnd w:id="20"/>
    </w:p>
    <w:p>
      <w:pPr>
        <w:spacing w:line="360" w:lineRule="auto"/>
        <w:outlineLvl w:val="1"/>
        <w:rPr>
          <w:rFonts w:hint="default" w:ascii="Times New Roman" w:hAnsi="Times New Roman" w:cs="Times New Roman"/>
          <w:b/>
          <w:sz w:val="28"/>
          <w:szCs w:val="28"/>
        </w:rPr>
      </w:pPr>
      <w:bookmarkStart w:id="21" w:name="_Toc6658"/>
      <w:r>
        <w:rPr>
          <w:rFonts w:hint="default" w:ascii="Times New Roman" w:hAnsi="Times New Roman" w:cs="Times New Roman"/>
          <w:b/>
          <w:sz w:val="28"/>
          <w:szCs w:val="28"/>
        </w:rPr>
        <w:t>1.1  编制依据</w:t>
      </w:r>
      <w:bookmarkEnd w:id="21"/>
    </w:p>
    <w:p>
      <w:pPr>
        <w:spacing w:line="360" w:lineRule="auto"/>
        <w:ind w:firstLine="482" w:firstLineChars="200"/>
        <w:outlineLvl w:val="2"/>
        <w:rPr>
          <w:rFonts w:hint="default" w:ascii="Times New Roman" w:hAnsi="Times New Roman" w:cs="Times New Roman"/>
          <w:b/>
          <w:sz w:val="24"/>
          <w:szCs w:val="24"/>
        </w:rPr>
      </w:pPr>
      <w:bookmarkStart w:id="22" w:name="_Toc275449582"/>
      <w:bookmarkStart w:id="23" w:name="_Toc275448951"/>
      <w:bookmarkStart w:id="24" w:name="_Toc275796840"/>
      <w:bookmarkStart w:id="25" w:name="_Toc328371590"/>
      <w:bookmarkStart w:id="26" w:name="_Toc275796677"/>
      <w:bookmarkStart w:id="27" w:name="_Toc345417234"/>
      <w:bookmarkStart w:id="28" w:name="_Toc278310142"/>
      <w:bookmarkStart w:id="29" w:name="_Toc363720523"/>
      <w:r>
        <w:rPr>
          <w:rFonts w:hint="default" w:ascii="Times New Roman" w:hAnsi="Times New Roman" w:cs="Times New Roman"/>
          <w:b/>
          <w:sz w:val="24"/>
          <w:szCs w:val="24"/>
        </w:rPr>
        <w:t>1.1.</w:t>
      </w:r>
      <w:bookmarkEnd w:id="22"/>
      <w:bookmarkEnd w:id="23"/>
      <w:bookmarkEnd w:id="24"/>
      <w:bookmarkEnd w:id="25"/>
      <w:bookmarkEnd w:id="26"/>
      <w:bookmarkEnd w:id="27"/>
      <w:bookmarkEnd w:id="28"/>
      <w:r>
        <w:rPr>
          <w:rFonts w:hint="default" w:ascii="Times New Roman" w:hAnsi="Times New Roman" w:cs="Times New Roman"/>
          <w:b/>
          <w:sz w:val="24"/>
          <w:szCs w:val="24"/>
        </w:rPr>
        <w:t>1</w:t>
      </w:r>
      <w:bookmarkEnd w:id="29"/>
      <w:r>
        <w:rPr>
          <w:rFonts w:hint="default" w:ascii="Times New Roman" w:hAnsi="Times New Roman" w:cs="Times New Roman"/>
          <w:b/>
          <w:sz w:val="24"/>
          <w:szCs w:val="24"/>
        </w:rPr>
        <w:t xml:space="preserve"> 环境保护法律</w:t>
      </w:r>
    </w:p>
    <w:p>
      <w:pPr>
        <w:spacing w:line="360" w:lineRule="auto"/>
        <w:ind w:firstLine="480" w:firstLineChars="200"/>
        <w:rPr>
          <w:rFonts w:hint="default" w:ascii="Times New Roman" w:hAnsi="Times New Roman" w:cs="Times New Roman"/>
          <w:bCs/>
          <w:sz w:val="24"/>
          <w:szCs w:val="24"/>
        </w:rPr>
      </w:pPr>
      <w:bookmarkStart w:id="30" w:name="_Toc275796678"/>
      <w:bookmarkStart w:id="31" w:name="_Toc278310143"/>
      <w:bookmarkStart w:id="32" w:name="_Toc345417235"/>
      <w:bookmarkStart w:id="33" w:name="_Toc328371591"/>
      <w:bookmarkStart w:id="34" w:name="_Toc275449583"/>
      <w:bookmarkStart w:id="35" w:name="_Toc363720524"/>
      <w:bookmarkStart w:id="36" w:name="_Toc275448952"/>
      <w:bookmarkStart w:id="37" w:name="_Toc275796841"/>
      <w:r>
        <w:rPr>
          <w:rFonts w:hint="default" w:ascii="Times New Roman" w:hAnsi="Times New Roman" w:cs="Times New Roman"/>
          <w:bCs/>
          <w:sz w:val="24"/>
          <w:szCs w:val="24"/>
        </w:rPr>
        <w:t>（1）《中华人民共和国环境保护法》（2014年4月24日修订，2015年1月1日实施）；</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（2）《中华人民共和国环境影响评价法》（2018年12月29日修订并施行）；</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（3）《中华人民共和国大气污染防治法》（2018年10月26日修订并施行）；</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（4）《中华人民共和国水污染防治法》（2017年6月27日修订，2018年1月1日施行）；</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（5）《中华人民共和国环境噪声污染防治法》（2018年12月29日修订并施行）；</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（6）《中华人民共和国环境固体废物污染环境防治法》（2016年11月7日修订）；</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（7）《中华人民共和国水法》（2016 年 7月 2日修订）；</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（8）《中华人民共和国水土保持法》（2011 年 3 月 1 日施行）；</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（9）《中华人民共和国土地管理法》（2004年8月28日修订）；</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lang w:eastAsia="zh-CN"/>
        </w:rPr>
        <w:t>（</w:t>
      </w:r>
      <w:r>
        <w:rPr>
          <w:rFonts w:hint="default" w:ascii="Times New Roman" w:hAnsi="Times New Roman" w:cs="Times New Roman"/>
          <w:bCs/>
          <w:sz w:val="24"/>
          <w:szCs w:val="24"/>
          <w:lang w:val="en-US" w:eastAsia="zh-CN"/>
        </w:rPr>
        <w:t>10</w:t>
      </w:r>
      <w:r>
        <w:rPr>
          <w:rFonts w:hint="default" w:ascii="Times New Roman" w:hAnsi="Times New Roman" w:cs="Times New Roman"/>
          <w:bCs/>
          <w:sz w:val="24"/>
          <w:szCs w:val="24"/>
          <w:lang w:eastAsia="zh-CN"/>
        </w:rPr>
        <w:t>）</w:t>
      </w:r>
      <w:r>
        <w:rPr>
          <w:rFonts w:hint="default" w:ascii="Times New Roman" w:hAnsi="Times New Roman" w:cs="Times New Roman"/>
          <w:bCs/>
          <w:sz w:val="24"/>
          <w:szCs w:val="24"/>
        </w:rPr>
        <w:t>《基本农田保护条例》（国务院令第257号，1998年12月27日）；</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bCs/>
          <w:sz w:val="24"/>
          <w:szCs w:val="24"/>
          <w:lang w:val="en-US" w:eastAsia="zh-CN"/>
        </w:rPr>
        <w:t>1</w:t>
      </w:r>
      <w:r>
        <w:rPr>
          <w:rFonts w:hint="default" w:ascii="Times New Roman" w:hAnsi="Times New Roman" w:cs="Times New Roman"/>
          <w:bCs/>
          <w:sz w:val="24"/>
          <w:szCs w:val="24"/>
        </w:rPr>
        <w:t>）《中华人民共和国畜牧法》（2015 年 4月24 日修正）；</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bCs/>
          <w:sz w:val="24"/>
          <w:szCs w:val="24"/>
          <w:lang w:val="en-US" w:eastAsia="zh-CN"/>
        </w:rPr>
        <w:t>2</w:t>
      </w:r>
      <w:r>
        <w:rPr>
          <w:rFonts w:hint="default" w:ascii="Times New Roman" w:hAnsi="Times New Roman" w:cs="Times New Roman"/>
          <w:bCs/>
          <w:sz w:val="24"/>
          <w:szCs w:val="24"/>
        </w:rPr>
        <w:t>）《中华人民共和国动物防疫法》（2008 年 8 月 1 日起施行）；</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bCs/>
          <w:sz w:val="24"/>
          <w:szCs w:val="24"/>
          <w:lang w:val="en-US" w:eastAsia="zh-CN"/>
        </w:rPr>
        <w:t>3</w:t>
      </w:r>
      <w:r>
        <w:rPr>
          <w:rFonts w:hint="default" w:ascii="Times New Roman" w:hAnsi="Times New Roman" w:cs="Times New Roman"/>
          <w:bCs/>
          <w:sz w:val="24"/>
          <w:szCs w:val="24"/>
        </w:rPr>
        <w:t>）《中华人民共和国传染病防治法》（2004 年 12 月 1 日起施行）；</w:t>
      </w:r>
    </w:p>
    <w:p>
      <w:pPr>
        <w:spacing w:line="360" w:lineRule="auto"/>
        <w:ind w:firstLine="480" w:firstLineChars="200"/>
        <w:rPr>
          <w:rFonts w:hint="default" w:ascii="Times New Roman" w:hAnsi="Times New Roman" w:eastAsia="宋体" w:cs="Times New Roman"/>
          <w:bCs/>
          <w:sz w:val="24"/>
          <w:szCs w:val="24"/>
          <w:lang w:eastAsia="zh-CN"/>
        </w:rPr>
      </w:pPr>
      <w:r>
        <w:rPr>
          <w:rFonts w:hint="default" w:ascii="Times New Roman" w:hAnsi="Times New Roman" w:cs="Times New Roman"/>
          <w:bCs/>
          <w:sz w:val="24"/>
          <w:szCs w:val="24"/>
          <w:lang w:eastAsia="zh-CN"/>
        </w:rPr>
        <w:t>（</w:t>
      </w:r>
      <w:r>
        <w:rPr>
          <w:rFonts w:hint="default" w:ascii="Times New Roman" w:hAnsi="Times New Roman" w:cs="Times New Roman"/>
          <w:bCs/>
          <w:sz w:val="24"/>
          <w:szCs w:val="24"/>
          <w:lang w:val="en-US" w:eastAsia="zh-CN"/>
        </w:rPr>
        <w:t>14</w:t>
      </w:r>
      <w:r>
        <w:rPr>
          <w:rFonts w:hint="default" w:ascii="Times New Roman" w:hAnsi="Times New Roman" w:cs="Times New Roman"/>
          <w:bCs/>
          <w:sz w:val="24"/>
          <w:szCs w:val="24"/>
          <w:lang w:eastAsia="zh-CN"/>
        </w:rPr>
        <w:t>）</w:t>
      </w:r>
      <w:r>
        <w:rPr>
          <w:rFonts w:hint="default" w:ascii="Times New Roman" w:hAnsi="Times New Roman" w:cs="Times New Roman"/>
          <w:bCs/>
          <w:sz w:val="24"/>
          <w:szCs w:val="24"/>
        </w:rPr>
        <w:t>《环境影响评价公众参与办法》（生态环境部令第4号，2019年1月1日实施）</w:t>
      </w:r>
      <w:r>
        <w:rPr>
          <w:rFonts w:hint="default" w:ascii="Times New Roman" w:hAnsi="Times New Roman" w:cs="Times New Roman"/>
          <w:bCs/>
          <w:sz w:val="24"/>
          <w:szCs w:val="24"/>
          <w:lang w:eastAsia="zh-CN"/>
        </w:rPr>
        <w:t>。</w:t>
      </w:r>
    </w:p>
    <w:p>
      <w:pPr>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1.1.2 环境保护行政法规和国务院发布的规范性文件</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（1）《建设项目环境保护管理条例》，国务院令第682号，2017年10月1日实施；</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（2）《种畜禽管理条例》，国务院令第 153号；</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（3）《重大动物疫情应急条例》，国务院令第 450 号；</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（4）《关于落实科学发展观加强环境保护的决定》，国发［2005]39号；</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（5）《关于环境保护若干问题的决定》，国发［1996]31号；</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（6）《关于促进畜牧业持续健康发展的意见》，国发［2007]4号；</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（7）《国务院办公厅转发农业部关于加快畜牧业发展意见的通知》</w:t>
      </w:r>
      <w:r>
        <w:rPr>
          <w:rFonts w:hint="default" w:ascii="Times New Roman" w:hAnsi="Times New Roman" w:cs="Times New Roman"/>
          <w:color w:val="000000"/>
          <w:lang w:val="en-US" w:eastAsia="zh-CN"/>
        </w:rPr>
        <w:t>,</w:t>
      </w:r>
      <w:r>
        <w:rPr>
          <w:rFonts w:hint="default" w:ascii="Times New Roman" w:hAnsi="Times New Roman" w:cs="Times New Roman"/>
          <w:color w:val="000000"/>
        </w:rPr>
        <w:t>国办发</w:t>
      </w:r>
      <w:r>
        <w:rPr>
          <w:rFonts w:hint="default" w:ascii="Times New Roman" w:hAnsi="Times New Roman" w:cs="Times New Roman"/>
          <w:color w:val="000000"/>
          <w:lang w:val="en-US" w:eastAsia="zh-CN"/>
        </w:rPr>
        <w:t>[</w:t>
      </w:r>
      <w:r>
        <w:rPr>
          <w:rFonts w:hint="default" w:ascii="Times New Roman" w:hAnsi="Times New Roman" w:cs="Times New Roman"/>
          <w:color w:val="000000"/>
        </w:rPr>
        <w:t>2001]76号。</w:t>
      </w:r>
    </w:p>
    <w:p>
      <w:pPr>
        <w:pStyle w:val="5"/>
        <w:spacing w:before="0" w:after="0" w:line="360" w:lineRule="auto"/>
        <w:ind w:firstLine="482" w:firstLineChars="200"/>
        <w:rPr>
          <w:rFonts w:hint="default" w:ascii="Times New Roman" w:hAnsi="Times New Roman" w:cs="Times New Roman"/>
          <w:bCs w:val="0"/>
          <w:sz w:val="24"/>
          <w:szCs w:val="24"/>
        </w:rPr>
      </w:pPr>
      <w:bookmarkStart w:id="38" w:name="_Toc489290354"/>
      <w:r>
        <w:rPr>
          <w:rFonts w:hint="default" w:ascii="Times New Roman" w:hAnsi="Times New Roman" w:cs="Times New Roman"/>
          <w:bCs w:val="0"/>
          <w:sz w:val="24"/>
          <w:szCs w:val="24"/>
        </w:rPr>
        <w:t>1.1.3 部门规章和部门发布的规范性文件</w:t>
      </w:r>
      <w:bookmarkEnd w:id="38"/>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（1）《建设项目环境影响评价分类管理名录》，环境保护部令第44号，</w:t>
      </w:r>
      <w:r>
        <w:rPr>
          <w:rFonts w:hint="default" w:ascii="Times New Roman" w:hAnsi="Times New Roman" w:cs="Times New Roman"/>
          <w:szCs w:val="24"/>
        </w:rPr>
        <w:t xml:space="preserve">及《关于修改〈建设项目环境影响评价分类管理名录〉部分内容的决定》（生态环保部 第1号）； </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（2）《产业结构调整指导目录（2011 年本）》（2013修订本）（中华人民共和国国家发展和改革委员会令第21号）；</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（3）《畜禽养殖业污染防治办法》，国家环境保护总局令第9号；</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（4）《关于促进规模化畜禽养殖有关用地政策的通知》，国土资发[2007]220 号；</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（5）《农业部关于加快推进畜禽标准化规模养殖的意见》，农牧发[2010]6号；</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（6）《农业部关于进一步加强病死动物无害化处理监管工作的通知》，农医发[2012]12号；</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（7）</w:t>
      </w:r>
      <w:r>
        <w:rPr>
          <w:rFonts w:hint="default" w:ascii="Times New Roman" w:hAnsi="Times New Roman" w:cs="Times New Roman"/>
          <w:szCs w:val="24"/>
        </w:rPr>
        <w:t>《全国规模化畜禽养殖业污染情况调查及防治对策》国家环保总局自然生 态保护司编，中国环境科学出版社，北京，2002</w:t>
      </w:r>
      <w:r>
        <w:rPr>
          <w:rFonts w:hint="default" w:ascii="Times New Roman" w:hAnsi="Times New Roman" w:cs="Times New Roman"/>
          <w:color w:val="000000"/>
        </w:rPr>
        <w:t>。</w:t>
      </w:r>
    </w:p>
    <w:p>
      <w:pPr>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 xml:space="preserve">1.1.4 </w:t>
      </w:r>
      <w:bookmarkEnd w:id="30"/>
      <w:bookmarkEnd w:id="31"/>
      <w:bookmarkEnd w:id="32"/>
      <w:bookmarkEnd w:id="33"/>
      <w:bookmarkEnd w:id="34"/>
      <w:bookmarkEnd w:id="35"/>
      <w:bookmarkEnd w:id="36"/>
      <w:bookmarkEnd w:id="37"/>
      <w:r>
        <w:rPr>
          <w:rFonts w:hint="default" w:ascii="Times New Roman" w:hAnsi="Times New Roman" w:cs="Times New Roman"/>
          <w:b/>
          <w:sz w:val="24"/>
          <w:szCs w:val="24"/>
        </w:rPr>
        <w:t>地方性法规和文件</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（1）四川省人民政府贯彻《国务院关于落实科学发展观加强环境保护的决定》的实施意见；</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（2）《四川省环境保护条例》；</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（3）《四川省畜牧业发展“十三五”规划》</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（4）《夹江县畜禽养殖区域规划》（2016）；</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（5）乐山市环境保护局关于印发《乐山市建设项目环境准入负面清单（试行）》的通知（乐市环发[2017]59号）。</w:t>
      </w:r>
    </w:p>
    <w:p>
      <w:pPr>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1.1.5 评价技术规范及行业相关规范</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（1）《环境影响评价技术导则—总纲》（HJ 2.1-2016）；</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（2）《环境影响评价技术导则—大气环境》（HJ 2.2-2018）；</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（3）《环境影响评价技术导则—地表水环境》（HJ 2.3-2018）；</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（4）《环境影响评价技术导则—声环境》（HJ 2.4-2009）；</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（5）《环境影响评价技术导则—地下水环境》（HJ 610-2016）；</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（6）《环境影响评价技术导则—生态影响》（HJ 19-2011）；</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（7）《环境影响评价技术导则—土壤环境（试行）》（HJ964-2018）</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w:t>
      </w:r>
      <w:r>
        <w:rPr>
          <w:rFonts w:hint="default" w:ascii="Times New Roman" w:hAnsi="Times New Roman" w:cs="Times New Roman"/>
          <w:bCs/>
          <w:sz w:val="24"/>
          <w:szCs w:val="24"/>
          <w:lang w:val="en-US" w:eastAsia="zh-CN"/>
        </w:rPr>
        <w:t>8</w:t>
      </w:r>
      <w:r>
        <w:rPr>
          <w:rFonts w:hint="default" w:ascii="Times New Roman" w:hAnsi="Times New Roman" w:cs="Times New Roman"/>
          <w:bCs/>
          <w:sz w:val="24"/>
          <w:szCs w:val="24"/>
        </w:rPr>
        <w:t>）《地下水环境监测技术规范》（HJ/T 164-2004）；</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w:t>
      </w:r>
      <w:r>
        <w:rPr>
          <w:rFonts w:hint="default" w:ascii="Times New Roman" w:hAnsi="Times New Roman" w:cs="Times New Roman"/>
          <w:bCs/>
          <w:sz w:val="24"/>
          <w:szCs w:val="24"/>
          <w:lang w:val="en-US" w:eastAsia="zh-CN"/>
        </w:rPr>
        <w:t>9</w:t>
      </w:r>
      <w:r>
        <w:rPr>
          <w:rFonts w:hint="default" w:ascii="Times New Roman" w:hAnsi="Times New Roman" w:cs="Times New Roman"/>
          <w:bCs/>
          <w:sz w:val="24"/>
          <w:szCs w:val="24"/>
        </w:rPr>
        <w:t>）《地表水和污水监测技术规范》（HJ/T91-2002）；</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w:t>
      </w:r>
      <w:r>
        <w:rPr>
          <w:rFonts w:hint="default" w:ascii="Times New Roman" w:hAnsi="Times New Roman" w:cs="Times New Roman"/>
          <w:bCs/>
          <w:sz w:val="24"/>
          <w:szCs w:val="24"/>
          <w:lang w:val="en-US" w:eastAsia="zh-CN"/>
        </w:rPr>
        <w:t>10</w:t>
      </w:r>
      <w:r>
        <w:rPr>
          <w:rFonts w:hint="default" w:ascii="Times New Roman" w:hAnsi="Times New Roman" w:cs="Times New Roman"/>
          <w:bCs/>
          <w:sz w:val="24"/>
          <w:szCs w:val="24"/>
        </w:rPr>
        <w:t>）《建设项目环境影响评价分类管理名录》（生态环境保护部 第1号令）；</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bCs/>
          <w:sz w:val="24"/>
          <w:szCs w:val="24"/>
          <w:lang w:val="en-US" w:eastAsia="zh-CN"/>
        </w:rPr>
        <w:t>1</w:t>
      </w:r>
      <w:r>
        <w:rPr>
          <w:rFonts w:hint="default" w:ascii="Times New Roman" w:hAnsi="Times New Roman" w:cs="Times New Roman"/>
          <w:bCs/>
          <w:sz w:val="24"/>
          <w:szCs w:val="24"/>
        </w:rPr>
        <w:t>）《建设项目环境风险评价技术导则》（HJ 169-2018）；</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bCs/>
          <w:sz w:val="24"/>
          <w:szCs w:val="24"/>
          <w:lang w:val="en-US" w:eastAsia="zh-CN"/>
        </w:rPr>
        <w:t>2</w:t>
      </w:r>
      <w:r>
        <w:rPr>
          <w:rFonts w:hint="default" w:ascii="Times New Roman" w:hAnsi="Times New Roman" w:cs="Times New Roman"/>
          <w:bCs/>
          <w:sz w:val="24"/>
          <w:szCs w:val="24"/>
        </w:rPr>
        <w:t>）《畜禽养殖业污染防治技术规范》（HJ/T81-2001）；</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bCs/>
          <w:sz w:val="24"/>
          <w:szCs w:val="24"/>
          <w:lang w:val="en-US" w:eastAsia="zh-CN"/>
        </w:rPr>
        <w:t>3</w:t>
      </w:r>
      <w:r>
        <w:rPr>
          <w:rFonts w:hint="default" w:ascii="Times New Roman" w:hAnsi="Times New Roman" w:cs="Times New Roman"/>
          <w:bCs/>
          <w:sz w:val="24"/>
          <w:szCs w:val="24"/>
        </w:rPr>
        <w:t>）《畜禽养殖业污染治理工程技术规范》（HJ497-2009）；</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bCs/>
          <w:sz w:val="24"/>
          <w:szCs w:val="24"/>
          <w:lang w:val="en-US" w:eastAsia="zh-CN"/>
        </w:rPr>
        <w:t>4</w:t>
      </w:r>
      <w:r>
        <w:rPr>
          <w:rFonts w:hint="default" w:ascii="Times New Roman" w:hAnsi="Times New Roman" w:cs="Times New Roman"/>
          <w:bCs/>
          <w:sz w:val="24"/>
          <w:szCs w:val="24"/>
        </w:rPr>
        <w:t>）《畜禽养殖业污染防治技术政策》环发【2010】151号；</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bCs/>
          <w:sz w:val="24"/>
          <w:szCs w:val="24"/>
          <w:lang w:val="en-US" w:eastAsia="zh-CN"/>
        </w:rPr>
        <w:t>5</w:t>
      </w:r>
      <w:r>
        <w:rPr>
          <w:rFonts w:hint="default" w:ascii="Times New Roman" w:hAnsi="Times New Roman" w:cs="Times New Roman"/>
          <w:bCs/>
          <w:sz w:val="24"/>
          <w:szCs w:val="24"/>
        </w:rPr>
        <w:t>）《畜禽养殖污水贮存设施设计要求》（GB/T26624-2011）；</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bCs/>
          <w:sz w:val="24"/>
          <w:szCs w:val="24"/>
          <w:lang w:val="en-US" w:eastAsia="zh-CN"/>
        </w:rPr>
        <w:t>6</w:t>
      </w:r>
      <w:r>
        <w:rPr>
          <w:rFonts w:hint="default" w:ascii="Times New Roman" w:hAnsi="Times New Roman" w:cs="Times New Roman"/>
          <w:bCs/>
          <w:sz w:val="24"/>
          <w:szCs w:val="24"/>
        </w:rPr>
        <w:t>）《全国畜禽养殖污染防治“十二五”规划》；</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bCs/>
          <w:sz w:val="24"/>
          <w:szCs w:val="24"/>
          <w:lang w:val="en-US" w:eastAsia="zh-CN"/>
        </w:rPr>
        <w:t>7</w:t>
      </w:r>
      <w:r>
        <w:rPr>
          <w:rFonts w:hint="default" w:ascii="Times New Roman" w:hAnsi="Times New Roman" w:cs="Times New Roman"/>
          <w:bCs/>
          <w:sz w:val="24"/>
          <w:szCs w:val="24"/>
        </w:rPr>
        <w:t>）《畜禽养殖污染防治管理办法》（ 总局令 第9号）；</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bCs/>
          <w:sz w:val="24"/>
          <w:szCs w:val="24"/>
          <w:lang w:val="en-US" w:eastAsia="zh-CN"/>
        </w:rPr>
        <w:t>8</w:t>
      </w:r>
      <w:r>
        <w:rPr>
          <w:rFonts w:hint="default" w:ascii="Times New Roman" w:hAnsi="Times New Roman" w:cs="Times New Roman"/>
          <w:bCs/>
          <w:sz w:val="24"/>
          <w:szCs w:val="24"/>
        </w:rPr>
        <w:t>）《规模畜禽养殖场污染防治最佳可行技术指南（试行）》（HJ-BAT-10）；</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w:t>
      </w:r>
      <w:r>
        <w:rPr>
          <w:rFonts w:hint="default" w:ascii="Times New Roman" w:hAnsi="Times New Roman" w:cs="Times New Roman"/>
          <w:bCs/>
          <w:sz w:val="24"/>
          <w:szCs w:val="24"/>
          <w:lang w:val="en-US" w:eastAsia="zh-CN"/>
        </w:rPr>
        <w:t>9</w:t>
      </w:r>
      <w:r>
        <w:rPr>
          <w:rFonts w:hint="default" w:ascii="Times New Roman" w:hAnsi="Times New Roman" w:cs="Times New Roman"/>
          <w:bCs/>
          <w:sz w:val="24"/>
          <w:szCs w:val="24"/>
        </w:rPr>
        <w:t>）《畜禽粪便还田技术规范》（GB/T25246-2010）；</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w:t>
      </w:r>
      <w:r>
        <w:rPr>
          <w:rFonts w:hint="default" w:ascii="Times New Roman" w:hAnsi="Times New Roman" w:cs="Times New Roman"/>
          <w:bCs/>
          <w:sz w:val="24"/>
          <w:szCs w:val="24"/>
          <w:lang w:val="en-US" w:eastAsia="zh-CN"/>
        </w:rPr>
        <w:t>20</w:t>
      </w:r>
      <w:r>
        <w:rPr>
          <w:rFonts w:hint="default" w:ascii="Times New Roman" w:hAnsi="Times New Roman" w:cs="Times New Roman"/>
          <w:bCs/>
          <w:sz w:val="24"/>
          <w:szCs w:val="24"/>
        </w:rPr>
        <w:t>）《国家危险废物名录》（部令 第39号2016年8月1日实施）。</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（2</w:t>
      </w:r>
      <w:r>
        <w:rPr>
          <w:rFonts w:hint="default" w:ascii="Times New Roman" w:hAnsi="Times New Roman" w:cs="Times New Roman"/>
          <w:bCs/>
          <w:sz w:val="24"/>
          <w:szCs w:val="24"/>
          <w:lang w:val="en-US" w:eastAsia="zh-CN"/>
        </w:rPr>
        <w:t>1</w:t>
      </w:r>
      <w:r>
        <w:rPr>
          <w:rFonts w:hint="default" w:ascii="Times New Roman" w:hAnsi="Times New Roman" w:cs="Times New Roman"/>
          <w:bCs/>
          <w:sz w:val="24"/>
          <w:szCs w:val="24"/>
        </w:rPr>
        <w:t>）建设项目危险废物环境影响评价指南（环境保护部公告2017年第43号）</w:t>
      </w:r>
    </w:p>
    <w:p>
      <w:pPr>
        <w:spacing w:line="360" w:lineRule="auto"/>
        <w:ind w:firstLine="482" w:firstLineChars="200"/>
        <w:outlineLvl w:val="2"/>
        <w:rPr>
          <w:rFonts w:hint="default" w:ascii="Times New Roman" w:hAnsi="Times New Roman" w:cs="Times New Roman"/>
          <w:b/>
          <w:sz w:val="24"/>
          <w:szCs w:val="24"/>
        </w:rPr>
      </w:pPr>
      <w:bookmarkStart w:id="39" w:name="_Toc363720526"/>
      <w:r>
        <w:rPr>
          <w:rFonts w:hint="default" w:ascii="Times New Roman" w:hAnsi="Times New Roman" w:cs="Times New Roman"/>
          <w:b/>
          <w:sz w:val="24"/>
          <w:szCs w:val="24"/>
        </w:rPr>
        <w:t>1.1.6 地方性法规和文件</w:t>
      </w:r>
    </w:p>
    <w:bookmarkEnd w:id="39"/>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（1）本项目环评工作委托书；</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（2）立项文件；</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（3）与项目有关的其他资料和文件。</w:t>
      </w:r>
      <w:bookmarkStart w:id="40" w:name="_Toc489290359"/>
      <w:bookmarkStart w:id="41" w:name="_Toc500840299"/>
    </w:p>
    <w:p>
      <w:pPr>
        <w:spacing w:line="360" w:lineRule="auto"/>
        <w:outlineLvl w:val="1"/>
        <w:rPr>
          <w:rFonts w:hint="default" w:ascii="Times New Roman" w:hAnsi="Times New Roman" w:cs="Times New Roman"/>
          <w:b/>
          <w:sz w:val="28"/>
          <w:szCs w:val="28"/>
        </w:rPr>
      </w:pPr>
      <w:bookmarkStart w:id="42" w:name="_Toc511809576"/>
      <w:bookmarkStart w:id="43" w:name="_Toc5023362"/>
      <w:bookmarkStart w:id="44" w:name="_Toc28118"/>
      <w:r>
        <w:rPr>
          <w:rFonts w:hint="default" w:ascii="Times New Roman" w:hAnsi="Times New Roman" w:cs="Times New Roman"/>
          <w:b/>
          <w:sz w:val="28"/>
          <w:szCs w:val="28"/>
        </w:rPr>
        <w:t>1.2 区域环境功能区划</w:t>
      </w:r>
      <w:bookmarkEnd w:id="42"/>
      <w:bookmarkEnd w:id="43"/>
      <w:bookmarkEnd w:id="44"/>
    </w:p>
    <w:p>
      <w:pPr>
        <w:spacing w:line="360" w:lineRule="auto"/>
        <w:rPr>
          <w:rFonts w:hint="default" w:ascii="Times New Roman" w:hAnsi="Times New Roman" w:cs="Times New Roman"/>
          <w:sz w:val="24"/>
        </w:rPr>
      </w:pPr>
      <w:r>
        <w:rPr>
          <w:rFonts w:hint="default" w:ascii="Times New Roman" w:hAnsi="Times New Roman" w:cs="Times New Roman"/>
          <w:sz w:val="24"/>
        </w:rPr>
        <w:t xml:space="preserve">    根据《夹江县环境保护局关于新建年出栏14000头生猪（种猪）养殖场项目环境影响评价执行标准的通知》（夹环审[2018]124号），评价区域相应环境功能区划如下：</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（1）空气环境</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本项目拟建地址位于夹江县三洞镇周冲村6社，评价区内无自然保护区、风景名胜区和其他需要特殊保护的区域，根据夹江县环境保护局出具的环评执行标准函，环境空气功能区为二类区。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（2）地表水环境</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项目区域地表水体按地表水III类水体执行。</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（3）地下水环境</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评价区地下水环境功能属III类区。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（4）环境噪声</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参照《声环境功能区划分技术规范》（GB/T15190-2014），评价区声环境功能区执行《声环境质量标准》（GB3096-2008）2类区。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（5）土壤</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项目区土壤环境质量执行《土壤环境质量标准 农用地土壤污染风险管控标准（试行）》（GB15618-2018）中农用地土壤污染风险筛选值管控要求。</w:t>
      </w:r>
      <w:bookmarkStart w:id="45" w:name="_Toc375206152"/>
      <w:bookmarkStart w:id="46" w:name="_Toc27804"/>
    </w:p>
    <w:p>
      <w:pPr>
        <w:spacing w:line="360" w:lineRule="auto"/>
        <w:outlineLvl w:val="1"/>
        <w:rPr>
          <w:rFonts w:hint="default" w:ascii="Times New Roman" w:hAnsi="Times New Roman" w:cs="Times New Roman"/>
          <w:b/>
          <w:sz w:val="28"/>
          <w:szCs w:val="28"/>
        </w:rPr>
      </w:pPr>
      <w:bookmarkStart w:id="47" w:name="_Toc31276"/>
      <w:r>
        <w:rPr>
          <w:rFonts w:hint="default" w:ascii="Times New Roman" w:hAnsi="Times New Roman" w:cs="Times New Roman"/>
          <w:b/>
          <w:sz w:val="28"/>
          <w:szCs w:val="28"/>
        </w:rPr>
        <w:t>1.3 影响因素识别及评价因子筛选</w:t>
      </w:r>
      <w:bookmarkEnd w:id="45"/>
      <w:bookmarkEnd w:id="46"/>
      <w:bookmarkEnd w:id="47"/>
    </w:p>
    <w:p>
      <w:pPr>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1.3.1 环境影响因素识别</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项目环境影响因素识别见表1.3-1。</w:t>
      </w:r>
    </w:p>
    <w:p>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表1.3-1   工程环境影响识别一览表</w:t>
      </w:r>
    </w:p>
    <w:tbl>
      <w:tblPr>
        <w:tblStyle w:val="33"/>
        <w:tblW w:w="971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7"/>
        <w:gridCol w:w="496"/>
        <w:gridCol w:w="1380"/>
        <w:gridCol w:w="824"/>
        <w:gridCol w:w="939"/>
        <w:gridCol w:w="1049"/>
        <w:gridCol w:w="755"/>
        <w:gridCol w:w="764"/>
        <w:gridCol w:w="1255"/>
        <w:gridCol w:w="13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blHeader/>
          <w:jc w:val="center"/>
        </w:trPr>
        <w:tc>
          <w:tcPr>
            <w:tcW w:w="937" w:type="dxa"/>
            <w:vMerge w:val="restart"/>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阶段</w:t>
            </w:r>
          </w:p>
        </w:tc>
        <w:tc>
          <w:tcPr>
            <w:tcW w:w="1876" w:type="dxa"/>
            <w:gridSpan w:val="2"/>
            <w:vMerge w:val="restart"/>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污染因素</w:t>
            </w:r>
          </w:p>
        </w:tc>
        <w:tc>
          <w:tcPr>
            <w:tcW w:w="6900" w:type="dxa"/>
            <w:gridSpan w:val="7"/>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环境要素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blHeader/>
          <w:jc w:val="center"/>
        </w:trPr>
        <w:tc>
          <w:tcPr>
            <w:tcW w:w="937" w:type="dxa"/>
            <w:vMerge w:val="continue"/>
            <w:vAlign w:val="center"/>
          </w:tcPr>
          <w:p>
            <w:pPr>
              <w:spacing w:line="320" w:lineRule="exact"/>
              <w:jc w:val="center"/>
              <w:rPr>
                <w:rFonts w:hint="default" w:ascii="Times New Roman" w:hAnsi="Times New Roman" w:cs="Times New Roman"/>
                <w:b/>
                <w:szCs w:val="21"/>
              </w:rPr>
            </w:pPr>
          </w:p>
        </w:tc>
        <w:tc>
          <w:tcPr>
            <w:tcW w:w="1876" w:type="dxa"/>
            <w:gridSpan w:val="2"/>
            <w:vMerge w:val="continue"/>
            <w:vAlign w:val="center"/>
          </w:tcPr>
          <w:p>
            <w:pPr>
              <w:spacing w:line="320" w:lineRule="exact"/>
              <w:jc w:val="center"/>
              <w:rPr>
                <w:rFonts w:hint="default" w:ascii="Times New Roman" w:hAnsi="Times New Roman" w:cs="Times New Roman"/>
                <w:b/>
                <w:szCs w:val="21"/>
              </w:rPr>
            </w:pPr>
          </w:p>
        </w:tc>
        <w:tc>
          <w:tcPr>
            <w:tcW w:w="824" w:type="dxa"/>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大气</w:t>
            </w:r>
          </w:p>
        </w:tc>
        <w:tc>
          <w:tcPr>
            <w:tcW w:w="939" w:type="dxa"/>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地表水</w:t>
            </w:r>
          </w:p>
        </w:tc>
        <w:tc>
          <w:tcPr>
            <w:tcW w:w="1049" w:type="dxa"/>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地下水</w:t>
            </w:r>
          </w:p>
        </w:tc>
        <w:tc>
          <w:tcPr>
            <w:tcW w:w="755" w:type="dxa"/>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声</w:t>
            </w:r>
          </w:p>
        </w:tc>
        <w:tc>
          <w:tcPr>
            <w:tcW w:w="764" w:type="dxa"/>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生态</w:t>
            </w:r>
          </w:p>
        </w:tc>
        <w:tc>
          <w:tcPr>
            <w:tcW w:w="1255" w:type="dxa"/>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水土流失</w:t>
            </w:r>
          </w:p>
        </w:tc>
        <w:tc>
          <w:tcPr>
            <w:tcW w:w="1314" w:type="dxa"/>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居民生活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937" w:type="dxa"/>
            <w:vMerge w:val="restart"/>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施工期</w:t>
            </w:r>
          </w:p>
        </w:tc>
        <w:tc>
          <w:tcPr>
            <w:tcW w:w="496" w:type="dxa"/>
            <w:vMerge w:val="restart"/>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场区</w:t>
            </w:r>
          </w:p>
        </w:tc>
        <w:tc>
          <w:tcPr>
            <w:tcW w:w="1380"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施工噪声</w:t>
            </w:r>
          </w:p>
        </w:tc>
        <w:tc>
          <w:tcPr>
            <w:tcW w:w="82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93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04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7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c>
          <w:tcPr>
            <w:tcW w:w="76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c>
          <w:tcPr>
            <w:tcW w:w="12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31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937" w:type="dxa"/>
            <w:vMerge w:val="continue"/>
            <w:vAlign w:val="center"/>
          </w:tcPr>
          <w:p>
            <w:pPr>
              <w:spacing w:line="320" w:lineRule="exact"/>
              <w:jc w:val="center"/>
              <w:rPr>
                <w:rFonts w:hint="default" w:ascii="Times New Roman" w:hAnsi="Times New Roman" w:cs="Times New Roman"/>
                <w:szCs w:val="21"/>
              </w:rPr>
            </w:pPr>
          </w:p>
        </w:tc>
        <w:tc>
          <w:tcPr>
            <w:tcW w:w="496" w:type="dxa"/>
            <w:vMerge w:val="continue"/>
            <w:vAlign w:val="center"/>
          </w:tcPr>
          <w:p>
            <w:pPr>
              <w:spacing w:line="320" w:lineRule="exact"/>
              <w:jc w:val="center"/>
              <w:rPr>
                <w:rFonts w:hint="default" w:ascii="Times New Roman" w:hAnsi="Times New Roman" w:cs="Times New Roman"/>
                <w:szCs w:val="21"/>
              </w:rPr>
            </w:pPr>
          </w:p>
        </w:tc>
        <w:tc>
          <w:tcPr>
            <w:tcW w:w="1380"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扬尘</w:t>
            </w:r>
          </w:p>
        </w:tc>
        <w:tc>
          <w:tcPr>
            <w:tcW w:w="82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c>
          <w:tcPr>
            <w:tcW w:w="93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04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7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76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2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c>
          <w:tcPr>
            <w:tcW w:w="131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937" w:type="dxa"/>
            <w:vMerge w:val="continue"/>
            <w:vAlign w:val="center"/>
          </w:tcPr>
          <w:p>
            <w:pPr>
              <w:spacing w:line="320" w:lineRule="exact"/>
              <w:jc w:val="center"/>
              <w:rPr>
                <w:rFonts w:hint="default" w:ascii="Times New Roman" w:hAnsi="Times New Roman" w:cs="Times New Roman"/>
                <w:szCs w:val="21"/>
              </w:rPr>
            </w:pPr>
          </w:p>
        </w:tc>
        <w:tc>
          <w:tcPr>
            <w:tcW w:w="496" w:type="dxa"/>
            <w:vMerge w:val="continue"/>
            <w:vAlign w:val="center"/>
          </w:tcPr>
          <w:p>
            <w:pPr>
              <w:spacing w:line="320" w:lineRule="exact"/>
              <w:jc w:val="center"/>
              <w:rPr>
                <w:rFonts w:hint="default" w:ascii="Times New Roman" w:hAnsi="Times New Roman" w:cs="Times New Roman"/>
                <w:szCs w:val="21"/>
              </w:rPr>
            </w:pPr>
          </w:p>
        </w:tc>
        <w:tc>
          <w:tcPr>
            <w:tcW w:w="1380"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施工废水</w:t>
            </w:r>
          </w:p>
        </w:tc>
        <w:tc>
          <w:tcPr>
            <w:tcW w:w="82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93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04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c>
          <w:tcPr>
            <w:tcW w:w="7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76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c>
          <w:tcPr>
            <w:tcW w:w="12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c>
          <w:tcPr>
            <w:tcW w:w="131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937" w:type="dxa"/>
            <w:vMerge w:val="continue"/>
            <w:vAlign w:val="center"/>
          </w:tcPr>
          <w:p>
            <w:pPr>
              <w:spacing w:line="320" w:lineRule="exact"/>
              <w:jc w:val="center"/>
              <w:rPr>
                <w:rFonts w:hint="default" w:ascii="Times New Roman" w:hAnsi="Times New Roman" w:cs="Times New Roman"/>
                <w:szCs w:val="21"/>
              </w:rPr>
            </w:pPr>
          </w:p>
        </w:tc>
        <w:tc>
          <w:tcPr>
            <w:tcW w:w="1876" w:type="dxa"/>
            <w:gridSpan w:val="2"/>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车辆运输</w:t>
            </w:r>
          </w:p>
        </w:tc>
        <w:tc>
          <w:tcPr>
            <w:tcW w:w="82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c>
          <w:tcPr>
            <w:tcW w:w="93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04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7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c>
          <w:tcPr>
            <w:tcW w:w="76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2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31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937" w:type="dxa"/>
            <w:vMerge w:val="continue"/>
            <w:vAlign w:val="center"/>
          </w:tcPr>
          <w:p>
            <w:pPr>
              <w:spacing w:line="320" w:lineRule="exact"/>
              <w:jc w:val="center"/>
              <w:rPr>
                <w:rFonts w:hint="default" w:ascii="Times New Roman" w:hAnsi="Times New Roman" w:cs="Times New Roman"/>
                <w:szCs w:val="21"/>
              </w:rPr>
            </w:pPr>
          </w:p>
        </w:tc>
        <w:tc>
          <w:tcPr>
            <w:tcW w:w="1876" w:type="dxa"/>
            <w:gridSpan w:val="2"/>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路管工程</w:t>
            </w:r>
          </w:p>
        </w:tc>
        <w:tc>
          <w:tcPr>
            <w:tcW w:w="82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93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04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7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c>
          <w:tcPr>
            <w:tcW w:w="76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c>
          <w:tcPr>
            <w:tcW w:w="12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c>
          <w:tcPr>
            <w:tcW w:w="131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937" w:type="dxa"/>
            <w:vMerge w:val="restart"/>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运营期</w:t>
            </w:r>
          </w:p>
        </w:tc>
        <w:tc>
          <w:tcPr>
            <w:tcW w:w="496" w:type="dxa"/>
            <w:vMerge w:val="restart"/>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场区</w:t>
            </w:r>
          </w:p>
        </w:tc>
        <w:tc>
          <w:tcPr>
            <w:tcW w:w="1380"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工程废水</w:t>
            </w:r>
          </w:p>
        </w:tc>
        <w:tc>
          <w:tcPr>
            <w:tcW w:w="82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c>
          <w:tcPr>
            <w:tcW w:w="93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04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c>
          <w:tcPr>
            <w:tcW w:w="7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76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c>
          <w:tcPr>
            <w:tcW w:w="12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c>
          <w:tcPr>
            <w:tcW w:w="131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937" w:type="dxa"/>
            <w:vMerge w:val="continue"/>
            <w:vAlign w:val="center"/>
          </w:tcPr>
          <w:p>
            <w:pPr>
              <w:spacing w:line="320" w:lineRule="exact"/>
              <w:jc w:val="center"/>
              <w:rPr>
                <w:rFonts w:hint="default" w:ascii="Times New Roman" w:hAnsi="Times New Roman" w:cs="Times New Roman"/>
                <w:szCs w:val="21"/>
              </w:rPr>
            </w:pPr>
          </w:p>
        </w:tc>
        <w:tc>
          <w:tcPr>
            <w:tcW w:w="496" w:type="dxa"/>
            <w:vMerge w:val="continue"/>
            <w:vAlign w:val="center"/>
          </w:tcPr>
          <w:p>
            <w:pPr>
              <w:spacing w:line="320" w:lineRule="exact"/>
              <w:jc w:val="center"/>
              <w:rPr>
                <w:rFonts w:hint="default" w:ascii="Times New Roman" w:hAnsi="Times New Roman" w:cs="Times New Roman"/>
                <w:szCs w:val="21"/>
              </w:rPr>
            </w:pPr>
          </w:p>
        </w:tc>
        <w:tc>
          <w:tcPr>
            <w:tcW w:w="1380"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生产恶臭</w:t>
            </w:r>
          </w:p>
        </w:tc>
        <w:tc>
          <w:tcPr>
            <w:tcW w:w="82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c>
          <w:tcPr>
            <w:tcW w:w="93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04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7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76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2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31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937" w:type="dxa"/>
            <w:vMerge w:val="continue"/>
            <w:vAlign w:val="center"/>
          </w:tcPr>
          <w:p>
            <w:pPr>
              <w:spacing w:line="320" w:lineRule="exact"/>
              <w:jc w:val="center"/>
              <w:rPr>
                <w:rFonts w:hint="default" w:ascii="Times New Roman" w:hAnsi="Times New Roman" w:cs="Times New Roman"/>
                <w:szCs w:val="21"/>
              </w:rPr>
            </w:pPr>
          </w:p>
        </w:tc>
        <w:tc>
          <w:tcPr>
            <w:tcW w:w="496" w:type="dxa"/>
            <w:vMerge w:val="continue"/>
            <w:vAlign w:val="center"/>
          </w:tcPr>
          <w:p>
            <w:pPr>
              <w:spacing w:line="320" w:lineRule="exact"/>
              <w:jc w:val="center"/>
              <w:rPr>
                <w:rFonts w:hint="default" w:ascii="Times New Roman" w:hAnsi="Times New Roman" w:cs="Times New Roman"/>
                <w:szCs w:val="21"/>
              </w:rPr>
            </w:pPr>
          </w:p>
        </w:tc>
        <w:tc>
          <w:tcPr>
            <w:tcW w:w="1380"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生产噪声</w:t>
            </w:r>
          </w:p>
        </w:tc>
        <w:tc>
          <w:tcPr>
            <w:tcW w:w="82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93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04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7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c>
          <w:tcPr>
            <w:tcW w:w="76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2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31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937" w:type="dxa"/>
            <w:vMerge w:val="continue"/>
            <w:vAlign w:val="center"/>
          </w:tcPr>
          <w:p>
            <w:pPr>
              <w:spacing w:line="320" w:lineRule="exact"/>
              <w:jc w:val="center"/>
              <w:rPr>
                <w:rFonts w:hint="default" w:ascii="Times New Roman" w:hAnsi="Times New Roman" w:cs="Times New Roman"/>
                <w:szCs w:val="21"/>
              </w:rPr>
            </w:pPr>
          </w:p>
        </w:tc>
        <w:tc>
          <w:tcPr>
            <w:tcW w:w="1876" w:type="dxa"/>
            <w:gridSpan w:val="2"/>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固废综合利用</w:t>
            </w:r>
          </w:p>
        </w:tc>
        <w:tc>
          <w:tcPr>
            <w:tcW w:w="82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c>
          <w:tcPr>
            <w:tcW w:w="93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c>
          <w:tcPr>
            <w:tcW w:w="104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c>
          <w:tcPr>
            <w:tcW w:w="7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76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2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31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937" w:type="dxa"/>
            <w:vMerge w:val="continue"/>
            <w:vAlign w:val="center"/>
          </w:tcPr>
          <w:p>
            <w:pPr>
              <w:spacing w:line="320" w:lineRule="exact"/>
              <w:jc w:val="center"/>
              <w:rPr>
                <w:rFonts w:hint="default" w:ascii="Times New Roman" w:hAnsi="Times New Roman" w:cs="Times New Roman"/>
                <w:szCs w:val="21"/>
              </w:rPr>
            </w:pPr>
          </w:p>
        </w:tc>
        <w:tc>
          <w:tcPr>
            <w:tcW w:w="1876" w:type="dxa"/>
            <w:gridSpan w:val="2"/>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车辆运输</w:t>
            </w:r>
          </w:p>
        </w:tc>
        <w:tc>
          <w:tcPr>
            <w:tcW w:w="82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c>
          <w:tcPr>
            <w:tcW w:w="93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04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7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c>
          <w:tcPr>
            <w:tcW w:w="76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2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31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37" w:type="dxa"/>
            <w:vMerge w:val="continue"/>
            <w:vAlign w:val="center"/>
          </w:tcPr>
          <w:p>
            <w:pPr>
              <w:spacing w:line="320" w:lineRule="exact"/>
              <w:jc w:val="center"/>
              <w:rPr>
                <w:rFonts w:hint="default" w:ascii="Times New Roman" w:hAnsi="Times New Roman" w:cs="Times New Roman"/>
                <w:szCs w:val="21"/>
              </w:rPr>
            </w:pPr>
          </w:p>
        </w:tc>
        <w:tc>
          <w:tcPr>
            <w:tcW w:w="1876" w:type="dxa"/>
            <w:gridSpan w:val="2"/>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土壤</w:t>
            </w:r>
          </w:p>
        </w:tc>
        <w:tc>
          <w:tcPr>
            <w:tcW w:w="82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93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c>
          <w:tcPr>
            <w:tcW w:w="1049"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c>
          <w:tcPr>
            <w:tcW w:w="7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76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255"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314" w:type="dxa"/>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9713" w:type="dxa"/>
            <w:gridSpan w:val="10"/>
            <w:vAlign w:val="center"/>
          </w:tcPr>
          <w:p>
            <w:pPr>
              <w:spacing w:line="320" w:lineRule="exact"/>
              <w:rPr>
                <w:rFonts w:hint="default" w:ascii="Times New Roman" w:hAnsi="Times New Roman" w:cs="Times New Roman"/>
                <w:szCs w:val="21"/>
              </w:rPr>
            </w:pPr>
            <w:r>
              <w:rPr>
                <w:rFonts w:hint="default" w:ascii="Times New Roman" w:hAnsi="Times New Roman" w:cs="Times New Roman"/>
                <w:szCs w:val="21"/>
              </w:rPr>
              <w:t>◆有影响，▲有轻微影响，△可能有影响，○没有影响，S短期影响，L长期影响</w:t>
            </w:r>
          </w:p>
        </w:tc>
      </w:tr>
    </w:tbl>
    <w:p>
      <w:pPr>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1.3.2 评价因子筛选</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根据工程特点及环境影响识别，筛选评价因素见表1.3-2。</w:t>
      </w:r>
    </w:p>
    <w:p>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表1.3-2   评价因子筛选结果表</w:t>
      </w:r>
    </w:p>
    <w:tbl>
      <w:tblPr>
        <w:tblStyle w:val="33"/>
        <w:tblW w:w="974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7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90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环境要素</w:t>
            </w:r>
          </w:p>
        </w:tc>
        <w:tc>
          <w:tcPr>
            <w:tcW w:w="78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环境现状评价因子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90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环境空气</w:t>
            </w:r>
          </w:p>
        </w:tc>
        <w:tc>
          <w:tcPr>
            <w:tcW w:w="78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SO</w:t>
            </w:r>
            <w:r>
              <w:rPr>
                <w:rFonts w:hint="default" w:ascii="Times New Roman" w:hAnsi="Times New Roman" w:cs="Times New Roman"/>
                <w:szCs w:val="21"/>
                <w:vertAlign w:val="subscript"/>
              </w:rPr>
              <w:t>2</w:t>
            </w:r>
            <w:r>
              <w:rPr>
                <w:rFonts w:hint="default" w:ascii="Times New Roman" w:hAnsi="Times New Roman" w:cs="Times New Roman"/>
                <w:szCs w:val="21"/>
              </w:rPr>
              <w:t>、NO</w:t>
            </w:r>
            <w:r>
              <w:rPr>
                <w:rFonts w:hint="default" w:ascii="Times New Roman" w:hAnsi="Times New Roman" w:cs="Times New Roman"/>
                <w:szCs w:val="21"/>
                <w:vertAlign w:val="subscript"/>
              </w:rPr>
              <w:t>2</w:t>
            </w:r>
            <w:r>
              <w:rPr>
                <w:rFonts w:hint="default" w:ascii="Times New Roman" w:hAnsi="Times New Roman" w:cs="Times New Roman"/>
                <w:szCs w:val="21"/>
              </w:rPr>
              <w:t>、PM</w:t>
            </w:r>
            <w:r>
              <w:rPr>
                <w:rFonts w:hint="default" w:ascii="Times New Roman" w:hAnsi="Times New Roman" w:cs="Times New Roman"/>
                <w:szCs w:val="21"/>
                <w:vertAlign w:val="subscript"/>
              </w:rPr>
              <w:t>10</w:t>
            </w:r>
            <w:r>
              <w:rPr>
                <w:rFonts w:hint="default" w:ascii="Times New Roman" w:hAnsi="Times New Roman" w:cs="Times New Roman"/>
                <w:szCs w:val="21"/>
              </w:rPr>
              <w:t>、PM</w:t>
            </w:r>
            <w:r>
              <w:rPr>
                <w:rFonts w:hint="default" w:ascii="Times New Roman" w:hAnsi="Times New Roman" w:cs="Times New Roman"/>
                <w:szCs w:val="21"/>
                <w:vertAlign w:val="subscript"/>
              </w:rPr>
              <w:t>2.5</w:t>
            </w:r>
            <w:r>
              <w:rPr>
                <w:rFonts w:hint="default" w:ascii="Times New Roman" w:hAnsi="Times New Roman" w:cs="Times New Roman"/>
                <w:szCs w:val="21"/>
              </w:rPr>
              <w:t>、CO、O</w:t>
            </w:r>
            <w:r>
              <w:rPr>
                <w:rFonts w:hint="default" w:ascii="Times New Roman" w:hAnsi="Times New Roman" w:cs="Times New Roman"/>
                <w:szCs w:val="21"/>
                <w:vertAlign w:val="subscript"/>
              </w:rPr>
              <w:t>3</w:t>
            </w:r>
            <w:r>
              <w:rPr>
                <w:rFonts w:hint="default" w:ascii="Times New Roman" w:hAnsi="Times New Roman" w:cs="Times New Roman"/>
                <w:szCs w:val="21"/>
              </w:rPr>
              <w:t>；TSP、</w:t>
            </w:r>
            <w:r>
              <w:rPr>
                <w:rFonts w:hint="default" w:ascii="Times New Roman" w:hAnsi="Times New Roman" w:cs="Times New Roman"/>
                <w:spacing w:val="20"/>
                <w:szCs w:val="21"/>
              </w:rPr>
              <w:t>H</w:t>
            </w:r>
            <w:r>
              <w:rPr>
                <w:rFonts w:hint="default" w:ascii="Times New Roman" w:hAnsi="Times New Roman" w:cs="Times New Roman"/>
                <w:spacing w:val="20"/>
                <w:szCs w:val="21"/>
                <w:vertAlign w:val="subscript"/>
              </w:rPr>
              <w:t>2</w:t>
            </w:r>
            <w:r>
              <w:rPr>
                <w:rFonts w:hint="default" w:ascii="Times New Roman" w:hAnsi="Times New Roman" w:cs="Times New Roman"/>
                <w:spacing w:val="20"/>
                <w:szCs w:val="21"/>
              </w:rPr>
              <w:t>S、NH</w:t>
            </w:r>
            <w:r>
              <w:rPr>
                <w:rFonts w:hint="default" w:ascii="Times New Roman" w:hAnsi="Times New Roman" w:cs="Times New Roman"/>
                <w:spacing w:val="20"/>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90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地表水</w:t>
            </w:r>
          </w:p>
        </w:tc>
        <w:tc>
          <w:tcPr>
            <w:tcW w:w="78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190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地下水</w:t>
            </w:r>
          </w:p>
        </w:tc>
        <w:tc>
          <w:tcPr>
            <w:tcW w:w="7835" w:type="dxa"/>
            <w:vAlign w:val="center"/>
          </w:tcPr>
          <w:p>
            <w:pPr>
              <w:jc w:val="center"/>
              <w:rPr>
                <w:rFonts w:hint="default" w:ascii="Times New Roman" w:hAnsi="Times New Roman" w:cs="Times New Roman"/>
                <w:szCs w:val="21"/>
              </w:rPr>
            </w:pPr>
            <w:r>
              <w:rPr>
                <w:rFonts w:hint="default" w:ascii="Times New Roman" w:hAnsi="Times New Roman" w:cs="Times New Roman"/>
              </w:rPr>
              <w:t>pH、总硬度、高锰酸盐指数、硝酸盐氮、溶解性总固体、总大肠菌群、镉、砷、铅、汞、铜、锌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90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环境噪声</w:t>
            </w:r>
          </w:p>
        </w:tc>
        <w:tc>
          <w:tcPr>
            <w:tcW w:w="78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90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固体废物</w:t>
            </w:r>
          </w:p>
        </w:tc>
        <w:tc>
          <w:tcPr>
            <w:tcW w:w="7835" w:type="dxa"/>
            <w:vAlign w:val="center"/>
          </w:tcPr>
          <w:p>
            <w:pPr>
              <w:jc w:val="center"/>
              <w:rPr>
                <w:rFonts w:hint="default" w:ascii="Times New Roman" w:hAnsi="Times New Roman" w:cs="Times New Roman"/>
                <w:szCs w:val="21"/>
              </w:rPr>
            </w:pPr>
            <w:r>
              <w:rPr>
                <w:rFonts w:hint="default" w:ascii="Times New Roman" w:hAnsi="Times New Roman" w:cs="Times New Roman"/>
              </w:rPr>
              <w:t>猪粪、</w:t>
            </w:r>
            <w:r>
              <w:rPr>
                <w:rFonts w:hint="default" w:ascii="Times New Roman" w:hAnsi="Times New Roman" w:cs="Times New Roman"/>
                <w:color w:val="auto"/>
                <w:sz w:val="21"/>
              </w:rPr>
              <w:t>污泥（沼渣）、</w:t>
            </w:r>
            <w:r>
              <w:rPr>
                <w:rFonts w:hint="default" w:ascii="Times New Roman" w:hAnsi="Times New Roman" w:cs="Times New Roman"/>
              </w:rPr>
              <w:t>病死猪、生活垃圾、医疗废物等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1905"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土壤</w:t>
            </w:r>
          </w:p>
        </w:tc>
        <w:tc>
          <w:tcPr>
            <w:tcW w:w="7835" w:type="dxa"/>
            <w:vAlign w:val="center"/>
          </w:tcPr>
          <w:p>
            <w:pPr>
              <w:jc w:val="center"/>
              <w:rPr>
                <w:rFonts w:hint="default" w:ascii="Times New Roman" w:hAnsi="Times New Roman" w:cs="Times New Roman"/>
              </w:rPr>
            </w:pPr>
            <w:r>
              <w:rPr>
                <w:rFonts w:hint="default" w:ascii="Times New Roman" w:hAnsi="Times New Roman" w:cs="Times New Roman"/>
              </w:rPr>
              <w:t>pH、镉、汞、铬、铜、铅、锌、砷、镍</w:t>
            </w:r>
          </w:p>
        </w:tc>
      </w:tr>
    </w:tbl>
    <w:p>
      <w:pPr>
        <w:spacing w:line="360" w:lineRule="auto"/>
        <w:outlineLvl w:val="1"/>
        <w:rPr>
          <w:rFonts w:hint="default" w:ascii="Times New Roman" w:hAnsi="Times New Roman" w:cs="Times New Roman"/>
          <w:b/>
          <w:sz w:val="28"/>
          <w:szCs w:val="28"/>
        </w:rPr>
      </w:pPr>
      <w:bookmarkStart w:id="48" w:name="_Toc18154"/>
      <w:r>
        <w:rPr>
          <w:rFonts w:hint="default" w:ascii="Times New Roman" w:hAnsi="Times New Roman" w:cs="Times New Roman"/>
          <w:b/>
          <w:sz w:val="28"/>
          <w:szCs w:val="28"/>
        </w:rPr>
        <w:t>1.4 评价标准</w:t>
      </w:r>
      <w:bookmarkEnd w:id="48"/>
    </w:p>
    <w:p>
      <w:pPr>
        <w:spacing w:line="360" w:lineRule="auto"/>
        <w:ind w:firstLine="480" w:firstLineChars="200"/>
        <w:rPr>
          <w:rFonts w:hint="default" w:ascii="Times New Roman" w:hAnsi="Times New Roman" w:cs="Times New Roman"/>
          <w:sz w:val="24"/>
        </w:rPr>
      </w:pPr>
      <w:bookmarkStart w:id="49" w:name="_Toc258073259"/>
      <w:bookmarkStart w:id="50" w:name="_Toc258071802"/>
      <w:bookmarkStart w:id="51" w:name="_Toc258073437"/>
      <w:bookmarkStart w:id="52" w:name="_Toc258073615"/>
      <w:bookmarkStart w:id="53" w:name="_Toc258072225"/>
      <w:r>
        <w:rPr>
          <w:rFonts w:hint="default" w:ascii="Times New Roman" w:hAnsi="Times New Roman" w:cs="Times New Roman"/>
          <w:sz w:val="24"/>
        </w:rPr>
        <w:t>根据《夹江县环境保护局关于新建年出栏14000头生猪（种猪）养殖场项目环境影响评价执行标准的通知》（夹环审[2018]124号），本次评价执行标准如下：</w:t>
      </w:r>
    </w:p>
    <w:p>
      <w:pPr>
        <w:spacing w:line="360" w:lineRule="auto"/>
        <w:ind w:firstLine="482" w:firstLineChars="200"/>
        <w:outlineLvl w:val="2"/>
        <w:rPr>
          <w:rFonts w:hint="default" w:ascii="Times New Roman" w:hAnsi="Times New Roman" w:cs="Times New Roman"/>
          <w:b/>
          <w:bCs/>
          <w:sz w:val="24"/>
        </w:rPr>
      </w:pPr>
      <w:r>
        <w:rPr>
          <w:rFonts w:hint="default" w:ascii="Times New Roman" w:hAnsi="Times New Roman" w:cs="Times New Roman"/>
          <w:b/>
          <w:bCs/>
          <w:sz w:val="24"/>
        </w:rPr>
        <w:t>1.4.1 环境质量标准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 1）环境空气</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项目所在区域环境空气质量执行《环境空气质量标准》(GB3095-2012)中二级标准，NH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和H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S参考执行《环境影响评价技术导则  大气环境》（HJ2.2-2018）附录D中的要求，见表1.4-</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w:t>
      </w:r>
    </w:p>
    <w:p>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表1.4-1 环境空气质量标准</w:t>
      </w:r>
    </w:p>
    <w:tbl>
      <w:tblPr>
        <w:tblStyle w:val="33"/>
        <w:tblpPr w:leftFromText="180" w:rightFromText="180" w:vertAnchor="text" w:tblpXSpec="center" w:tblpY="1"/>
        <w:tblOverlap w:val="never"/>
        <w:tblW w:w="971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652"/>
        <w:gridCol w:w="1840"/>
        <w:gridCol w:w="1437"/>
        <w:gridCol w:w="35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trPr>
        <w:tc>
          <w:tcPr>
            <w:tcW w:w="1262"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w:t>
            </w:r>
          </w:p>
        </w:tc>
        <w:tc>
          <w:tcPr>
            <w:tcW w:w="4929" w:type="dxa"/>
            <w:gridSpan w:val="3"/>
            <w:vAlign w:val="center"/>
          </w:tcPr>
          <w:p>
            <w:pPr>
              <w:jc w:val="center"/>
              <w:rPr>
                <w:rFonts w:hint="default" w:ascii="Times New Roman" w:hAnsi="Times New Roman" w:cs="Times New Roman"/>
                <w:szCs w:val="21"/>
              </w:rPr>
            </w:pPr>
            <w:r>
              <w:rPr>
                <w:rFonts w:hint="default" w:ascii="Times New Roman" w:hAnsi="Times New Roman" w:cs="Times New Roman"/>
                <w:szCs w:val="21"/>
              </w:rPr>
              <w:t>各项污染物的浓度限值（μg/m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3522"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trPr>
        <w:tc>
          <w:tcPr>
            <w:tcW w:w="1262" w:type="dxa"/>
            <w:vMerge w:val="continue"/>
            <w:vAlign w:val="center"/>
          </w:tcPr>
          <w:p>
            <w:pPr>
              <w:jc w:val="center"/>
              <w:rPr>
                <w:rFonts w:hint="default" w:ascii="Times New Roman" w:hAnsi="Times New Roman" w:cs="Times New Roman"/>
                <w:szCs w:val="21"/>
              </w:rPr>
            </w:pPr>
          </w:p>
        </w:tc>
        <w:tc>
          <w:tcPr>
            <w:tcW w:w="165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1小时平均</w:t>
            </w:r>
          </w:p>
        </w:tc>
        <w:tc>
          <w:tcPr>
            <w:tcW w:w="184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日平均</w:t>
            </w:r>
          </w:p>
        </w:tc>
        <w:tc>
          <w:tcPr>
            <w:tcW w:w="143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年平均</w:t>
            </w:r>
          </w:p>
        </w:tc>
        <w:tc>
          <w:tcPr>
            <w:tcW w:w="3522"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57" w:hRule="exact"/>
        </w:trPr>
        <w:tc>
          <w:tcPr>
            <w:tcW w:w="1262" w:type="dxa"/>
            <w:vAlign w:val="center"/>
          </w:tcPr>
          <w:p>
            <w:pPr>
              <w:pStyle w:val="22"/>
              <w:rPr>
                <w:rFonts w:hint="default" w:ascii="Times New Roman" w:hAnsi="Times New Roman" w:cs="Times New Roman"/>
              </w:rPr>
            </w:pPr>
            <w:r>
              <w:rPr>
                <w:rFonts w:hint="default" w:ascii="Times New Roman" w:hAnsi="Times New Roman" w:cs="Times New Roman"/>
              </w:rPr>
              <w:t>SO</w:t>
            </w:r>
            <w:r>
              <w:rPr>
                <w:rFonts w:hint="default" w:ascii="Times New Roman" w:hAnsi="Times New Roman" w:cs="Times New Roman"/>
                <w:vertAlign w:val="subscript"/>
              </w:rPr>
              <w:t>2</w:t>
            </w:r>
          </w:p>
        </w:tc>
        <w:tc>
          <w:tcPr>
            <w:tcW w:w="1652" w:type="dxa"/>
            <w:vAlign w:val="center"/>
          </w:tcPr>
          <w:p>
            <w:pPr>
              <w:pStyle w:val="22"/>
              <w:rPr>
                <w:rFonts w:hint="default" w:ascii="Times New Roman" w:hAnsi="Times New Roman" w:cs="Times New Roman"/>
              </w:rPr>
            </w:pPr>
            <w:r>
              <w:rPr>
                <w:rFonts w:hint="default" w:ascii="Times New Roman" w:hAnsi="Times New Roman" w:cs="Times New Roman"/>
              </w:rPr>
              <w:t>500</w:t>
            </w:r>
          </w:p>
        </w:tc>
        <w:tc>
          <w:tcPr>
            <w:tcW w:w="1840" w:type="dxa"/>
            <w:vAlign w:val="center"/>
          </w:tcPr>
          <w:p>
            <w:pPr>
              <w:pStyle w:val="22"/>
              <w:rPr>
                <w:rFonts w:hint="default" w:ascii="Times New Roman" w:hAnsi="Times New Roman" w:cs="Times New Roman"/>
              </w:rPr>
            </w:pPr>
            <w:r>
              <w:rPr>
                <w:rFonts w:hint="default" w:ascii="Times New Roman" w:hAnsi="Times New Roman" w:cs="Times New Roman"/>
              </w:rPr>
              <w:t>150</w:t>
            </w:r>
          </w:p>
        </w:tc>
        <w:tc>
          <w:tcPr>
            <w:tcW w:w="1437" w:type="dxa"/>
            <w:vAlign w:val="center"/>
          </w:tcPr>
          <w:p>
            <w:pPr>
              <w:pStyle w:val="22"/>
              <w:rPr>
                <w:rFonts w:hint="default" w:ascii="Times New Roman" w:hAnsi="Times New Roman" w:cs="Times New Roman"/>
              </w:rPr>
            </w:pPr>
            <w:r>
              <w:rPr>
                <w:rFonts w:hint="default" w:ascii="Times New Roman" w:hAnsi="Times New Roman" w:cs="Times New Roman"/>
              </w:rPr>
              <w:t>60</w:t>
            </w:r>
          </w:p>
        </w:tc>
        <w:tc>
          <w:tcPr>
            <w:tcW w:w="3522" w:type="dxa"/>
            <w:vMerge w:val="restart"/>
            <w:vAlign w:val="center"/>
          </w:tcPr>
          <w:p>
            <w:pPr>
              <w:pStyle w:val="22"/>
              <w:rPr>
                <w:rFonts w:hint="default" w:ascii="Times New Roman" w:hAnsi="Times New Roman" w:cs="Times New Roman"/>
              </w:rPr>
            </w:pPr>
            <w:r>
              <w:rPr>
                <w:rFonts w:hint="default" w:ascii="Times New Roman" w:hAnsi="Times New Roman" w:cs="Times New Roman"/>
              </w:rPr>
              <w:t>《环境空气质量标准》</w:t>
            </w:r>
          </w:p>
          <w:p>
            <w:pPr>
              <w:pStyle w:val="22"/>
              <w:rPr>
                <w:rFonts w:hint="default" w:ascii="Times New Roman" w:hAnsi="Times New Roman" w:cs="Times New Roman"/>
              </w:rPr>
            </w:pPr>
            <w:r>
              <w:rPr>
                <w:rFonts w:hint="default" w:ascii="Times New Roman" w:hAnsi="Times New Roman" w:cs="Times New Roman"/>
              </w:rPr>
              <w:t>（GB3095-2012）二级标准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53" w:hRule="exact"/>
        </w:trPr>
        <w:tc>
          <w:tcPr>
            <w:tcW w:w="1262" w:type="dxa"/>
            <w:vAlign w:val="center"/>
          </w:tcPr>
          <w:p>
            <w:pPr>
              <w:pStyle w:val="22"/>
              <w:rPr>
                <w:rFonts w:hint="default" w:ascii="Times New Roman" w:hAnsi="Times New Roman" w:cs="Times New Roman"/>
                <w:vertAlign w:val="subscript"/>
              </w:rPr>
            </w:pPr>
            <w:r>
              <w:rPr>
                <w:rFonts w:hint="default" w:ascii="Times New Roman" w:hAnsi="Times New Roman" w:cs="Times New Roman"/>
              </w:rPr>
              <w:t>NO</w:t>
            </w:r>
            <w:r>
              <w:rPr>
                <w:rFonts w:hint="default" w:ascii="Times New Roman" w:hAnsi="Times New Roman" w:cs="Times New Roman"/>
                <w:vertAlign w:val="subscript"/>
              </w:rPr>
              <w:t>2</w:t>
            </w:r>
          </w:p>
        </w:tc>
        <w:tc>
          <w:tcPr>
            <w:tcW w:w="1652" w:type="dxa"/>
            <w:vAlign w:val="center"/>
          </w:tcPr>
          <w:p>
            <w:pPr>
              <w:pStyle w:val="22"/>
              <w:rPr>
                <w:rFonts w:hint="default" w:ascii="Times New Roman" w:hAnsi="Times New Roman" w:cs="Times New Roman"/>
              </w:rPr>
            </w:pPr>
            <w:r>
              <w:rPr>
                <w:rFonts w:hint="default" w:ascii="Times New Roman" w:hAnsi="Times New Roman" w:cs="Times New Roman"/>
              </w:rPr>
              <w:t>200</w:t>
            </w:r>
          </w:p>
        </w:tc>
        <w:tc>
          <w:tcPr>
            <w:tcW w:w="1840" w:type="dxa"/>
            <w:vAlign w:val="center"/>
          </w:tcPr>
          <w:p>
            <w:pPr>
              <w:pStyle w:val="22"/>
              <w:rPr>
                <w:rFonts w:hint="default" w:ascii="Times New Roman" w:hAnsi="Times New Roman" w:cs="Times New Roman"/>
              </w:rPr>
            </w:pPr>
            <w:r>
              <w:rPr>
                <w:rFonts w:hint="default" w:ascii="Times New Roman" w:hAnsi="Times New Roman" w:cs="Times New Roman"/>
              </w:rPr>
              <w:t>80</w:t>
            </w:r>
          </w:p>
        </w:tc>
        <w:tc>
          <w:tcPr>
            <w:tcW w:w="1437" w:type="dxa"/>
            <w:vAlign w:val="center"/>
          </w:tcPr>
          <w:p>
            <w:pPr>
              <w:pStyle w:val="22"/>
              <w:rPr>
                <w:rFonts w:hint="default" w:ascii="Times New Roman" w:hAnsi="Times New Roman" w:cs="Times New Roman"/>
              </w:rPr>
            </w:pPr>
            <w:r>
              <w:rPr>
                <w:rFonts w:hint="default" w:ascii="Times New Roman" w:hAnsi="Times New Roman" w:cs="Times New Roman"/>
              </w:rPr>
              <w:t>40</w:t>
            </w:r>
          </w:p>
        </w:tc>
        <w:tc>
          <w:tcPr>
            <w:tcW w:w="3522" w:type="dxa"/>
            <w:vMerge w:val="continue"/>
            <w:vAlign w:val="center"/>
          </w:tcPr>
          <w:p>
            <w:pPr>
              <w:pStyle w:val="22"/>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trPr>
        <w:tc>
          <w:tcPr>
            <w:tcW w:w="1262" w:type="dxa"/>
            <w:vAlign w:val="center"/>
          </w:tcPr>
          <w:p>
            <w:pPr>
              <w:pStyle w:val="22"/>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10</w:t>
            </w:r>
          </w:p>
        </w:tc>
        <w:tc>
          <w:tcPr>
            <w:tcW w:w="1652" w:type="dxa"/>
            <w:vAlign w:val="center"/>
          </w:tcPr>
          <w:p>
            <w:pPr>
              <w:pStyle w:val="22"/>
              <w:rPr>
                <w:rFonts w:hint="default" w:ascii="Times New Roman" w:hAnsi="Times New Roman" w:cs="Times New Roman"/>
              </w:rPr>
            </w:pPr>
            <w:r>
              <w:rPr>
                <w:rFonts w:hint="default" w:ascii="Times New Roman" w:hAnsi="Times New Roman" w:cs="Times New Roman"/>
              </w:rPr>
              <w:t>—</w:t>
            </w:r>
          </w:p>
        </w:tc>
        <w:tc>
          <w:tcPr>
            <w:tcW w:w="1840" w:type="dxa"/>
            <w:vAlign w:val="center"/>
          </w:tcPr>
          <w:p>
            <w:pPr>
              <w:pStyle w:val="22"/>
              <w:rPr>
                <w:rFonts w:hint="default" w:ascii="Times New Roman" w:hAnsi="Times New Roman" w:cs="Times New Roman"/>
              </w:rPr>
            </w:pPr>
            <w:r>
              <w:rPr>
                <w:rFonts w:hint="default" w:ascii="Times New Roman" w:hAnsi="Times New Roman" w:cs="Times New Roman"/>
              </w:rPr>
              <w:t>150</w:t>
            </w:r>
          </w:p>
        </w:tc>
        <w:tc>
          <w:tcPr>
            <w:tcW w:w="1437" w:type="dxa"/>
            <w:vAlign w:val="center"/>
          </w:tcPr>
          <w:p>
            <w:pPr>
              <w:pStyle w:val="22"/>
              <w:rPr>
                <w:rFonts w:hint="default" w:ascii="Times New Roman" w:hAnsi="Times New Roman" w:cs="Times New Roman"/>
              </w:rPr>
            </w:pPr>
            <w:r>
              <w:rPr>
                <w:rFonts w:hint="default" w:ascii="Times New Roman" w:hAnsi="Times New Roman" w:cs="Times New Roman"/>
              </w:rPr>
              <w:t>70</w:t>
            </w:r>
          </w:p>
        </w:tc>
        <w:tc>
          <w:tcPr>
            <w:tcW w:w="3522" w:type="dxa"/>
            <w:vMerge w:val="continue"/>
            <w:vAlign w:val="center"/>
          </w:tcPr>
          <w:p>
            <w:pPr>
              <w:pStyle w:val="22"/>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trPr>
        <w:tc>
          <w:tcPr>
            <w:tcW w:w="1262" w:type="dxa"/>
            <w:vAlign w:val="center"/>
          </w:tcPr>
          <w:p>
            <w:pPr>
              <w:pStyle w:val="22"/>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2.5</w:t>
            </w:r>
          </w:p>
        </w:tc>
        <w:tc>
          <w:tcPr>
            <w:tcW w:w="1652" w:type="dxa"/>
            <w:vAlign w:val="center"/>
          </w:tcPr>
          <w:p>
            <w:pPr>
              <w:pStyle w:val="22"/>
              <w:rPr>
                <w:rFonts w:hint="default" w:ascii="Times New Roman" w:hAnsi="Times New Roman" w:cs="Times New Roman"/>
              </w:rPr>
            </w:pPr>
            <w:r>
              <w:rPr>
                <w:rFonts w:hint="default" w:ascii="Times New Roman" w:hAnsi="Times New Roman" w:cs="Times New Roman"/>
              </w:rPr>
              <w:t>—</w:t>
            </w:r>
          </w:p>
        </w:tc>
        <w:tc>
          <w:tcPr>
            <w:tcW w:w="1840" w:type="dxa"/>
            <w:vAlign w:val="center"/>
          </w:tcPr>
          <w:p>
            <w:pPr>
              <w:pStyle w:val="22"/>
              <w:rPr>
                <w:rFonts w:hint="default" w:ascii="Times New Roman" w:hAnsi="Times New Roman" w:cs="Times New Roman"/>
              </w:rPr>
            </w:pPr>
            <w:r>
              <w:rPr>
                <w:rFonts w:hint="default" w:ascii="Times New Roman" w:hAnsi="Times New Roman" w:cs="Times New Roman"/>
              </w:rPr>
              <w:t>75</w:t>
            </w:r>
          </w:p>
        </w:tc>
        <w:tc>
          <w:tcPr>
            <w:tcW w:w="1437" w:type="dxa"/>
            <w:vAlign w:val="center"/>
          </w:tcPr>
          <w:p>
            <w:pPr>
              <w:pStyle w:val="22"/>
              <w:rPr>
                <w:rFonts w:hint="default" w:ascii="Times New Roman" w:hAnsi="Times New Roman" w:cs="Times New Roman"/>
              </w:rPr>
            </w:pPr>
            <w:r>
              <w:rPr>
                <w:rFonts w:hint="default" w:ascii="Times New Roman" w:hAnsi="Times New Roman" w:cs="Times New Roman"/>
              </w:rPr>
              <w:t>35</w:t>
            </w:r>
          </w:p>
        </w:tc>
        <w:tc>
          <w:tcPr>
            <w:tcW w:w="3522" w:type="dxa"/>
            <w:vMerge w:val="continue"/>
            <w:vAlign w:val="center"/>
          </w:tcPr>
          <w:p>
            <w:pPr>
              <w:pStyle w:val="22"/>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trPr>
        <w:tc>
          <w:tcPr>
            <w:tcW w:w="1262" w:type="dxa"/>
            <w:vAlign w:val="center"/>
          </w:tcPr>
          <w:p>
            <w:pPr>
              <w:pStyle w:val="22"/>
              <w:rPr>
                <w:rFonts w:hint="default" w:ascii="Times New Roman" w:hAnsi="Times New Roman" w:cs="Times New Roman"/>
              </w:rPr>
            </w:pPr>
            <w:r>
              <w:rPr>
                <w:rFonts w:hint="default" w:ascii="Times New Roman" w:hAnsi="Times New Roman" w:cs="Times New Roman"/>
              </w:rPr>
              <w:t>CO</w:t>
            </w:r>
          </w:p>
        </w:tc>
        <w:tc>
          <w:tcPr>
            <w:tcW w:w="1652" w:type="dxa"/>
            <w:vAlign w:val="center"/>
          </w:tcPr>
          <w:p>
            <w:pPr>
              <w:pStyle w:val="22"/>
              <w:rPr>
                <w:rFonts w:hint="default" w:ascii="Times New Roman" w:hAnsi="Times New Roman" w:cs="Times New Roman"/>
              </w:rPr>
            </w:pPr>
            <w:r>
              <w:rPr>
                <w:rFonts w:hint="default" w:ascii="Times New Roman" w:hAnsi="Times New Roman" w:cs="Times New Roman"/>
              </w:rPr>
              <w:t>10000</w:t>
            </w:r>
          </w:p>
        </w:tc>
        <w:tc>
          <w:tcPr>
            <w:tcW w:w="1840" w:type="dxa"/>
            <w:vAlign w:val="center"/>
          </w:tcPr>
          <w:p>
            <w:pPr>
              <w:pStyle w:val="22"/>
              <w:rPr>
                <w:rFonts w:hint="default" w:ascii="Times New Roman" w:hAnsi="Times New Roman" w:cs="Times New Roman"/>
              </w:rPr>
            </w:pPr>
            <w:r>
              <w:rPr>
                <w:rFonts w:hint="default" w:ascii="Times New Roman" w:hAnsi="Times New Roman" w:cs="Times New Roman"/>
              </w:rPr>
              <w:t>4000</w:t>
            </w:r>
          </w:p>
        </w:tc>
        <w:tc>
          <w:tcPr>
            <w:tcW w:w="1437" w:type="dxa"/>
            <w:vAlign w:val="center"/>
          </w:tcPr>
          <w:p>
            <w:pPr>
              <w:pStyle w:val="22"/>
              <w:rPr>
                <w:rFonts w:hint="default" w:ascii="Times New Roman" w:hAnsi="Times New Roman" w:cs="Times New Roman"/>
              </w:rPr>
            </w:pPr>
            <w:r>
              <w:rPr>
                <w:rFonts w:hint="default" w:ascii="Times New Roman" w:hAnsi="Times New Roman" w:cs="Times New Roman"/>
              </w:rPr>
              <w:t>—</w:t>
            </w:r>
          </w:p>
        </w:tc>
        <w:tc>
          <w:tcPr>
            <w:tcW w:w="3522" w:type="dxa"/>
            <w:vMerge w:val="continue"/>
            <w:vAlign w:val="center"/>
          </w:tcPr>
          <w:p>
            <w:pPr>
              <w:pStyle w:val="22"/>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79" w:hRule="exact"/>
        </w:trPr>
        <w:tc>
          <w:tcPr>
            <w:tcW w:w="1262" w:type="dxa"/>
            <w:vAlign w:val="center"/>
          </w:tcPr>
          <w:p>
            <w:pPr>
              <w:pStyle w:val="22"/>
              <w:rPr>
                <w:rFonts w:hint="default" w:ascii="Times New Roman" w:hAnsi="Times New Roman" w:cs="Times New Roman"/>
                <w:vertAlign w:val="subscript"/>
              </w:rPr>
            </w:pPr>
            <w:r>
              <w:rPr>
                <w:rFonts w:hint="default" w:ascii="Times New Roman" w:hAnsi="Times New Roman" w:cs="Times New Roman"/>
              </w:rPr>
              <w:t>O</w:t>
            </w:r>
            <w:r>
              <w:rPr>
                <w:rFonts w:hint="default" w:ascii="Times New Roman" w:hAnsi="Times New Roman" w:cs="Times New Roman"/>
                <w:vertAlign w:val="subscript"/>
              </w:rPr>
              <w:t>3</w:t>
            </w:r>
          </w:p>
        </w:tc>
        <w:tc>
          <w:tcPr>
            <w:tcW w:w="1652" w:type="dxa"/>
            <w:vAlign w:val="center"/>
          </w:tcPr>
          <w:p>
            <w:pPr>
              <w:pStyle w:val="22"/>
              <w:rPr>
                <w:rFonts w:hint="default" w:ascii="Times New Roman" w:hAnsi="Times New Roman" w:cs="Times New Roman"/>
              </w:rPr>
            </w:pPr>
            <w:r>
              <w:rPr>
                <w:rFonts w:hint="default" w:ascii="Times New Roman" w:hAnsi="Times New Roman" w:cs="Times New Roman"/>
              </w:rPr>
              <w:t>200</w:t>
            </w:r>
          </w:p>
        </w:tc>
        <w:tc>
          <w:tcPr>
            <w:tcW w:w="1840" w:type="dxa"/>
            <w:vAlign w:val="center"/>
          </w:tcPr>
          <w:p>
            <w:pPr>
              <w:pStyle w:val="22"/>
              <w:rPr>
                <w:rFonts w:hint="default" w:ascii="Times New Roman" w:hAnsi="Times New Roman" w:cs="Times New Roman"/>
              </w:rPr>
            </w:pPr>
            <w:r>
              <w:rPr>
                <w:rFonts w:hint="default" w:ascii="Times New Roman" w:hAnsi="Times New Roman" w:cs="Times New Roman"/>
              </w:rPr>
              <w:t>160（8小时平均）</w:t>
            </w:r>
          </w:p>
        </w:tc>
        <w:tc>
          <w:tcPr>
            <w:tcW w:w="1437" w:type="dxa"/>
            <w:vAlign w:val="center"/>
          </w:tcPr>
          <w:p>
            <w:pPr>
              <w:pStyle w:val="22"/>
              <w:rPr>
                <w:rFonts w:hint="default" w:ascii="Times New Roman" w:hAnsi="Times New Roman" w:cs="Times New Roman"/>
              </w:rPr>
            </w:pPr>
            <w:r>
              <w:rPr>
                <w:rFonts w:hint="default" w:ascii="Times New Roman" w:hAnsi="Times New Roman" w:cs="Times New Roman"/>
              </w:rPr>
              <w:t>—</w:t>
            </w:r>
          </w:p>
        </w:tc>
        <w:tc>
          <w:tcPr>
            <w:tcW w:w="3522" w:type="dxa"/>
            <w:vMerge w:val="continue"/>
            <w:vAlign w:val="center"/>
          </w:tcPr>
          <w:p>
            <w:pPr>
              <w:pStyle w:val="22"/>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trPr>
        <w:tc>
          <w:tcPr>
            <w:tcW w:w="1262" w:type="dxa"/>
            <w:vAlign w:val="center"/>
          </w:tcPr>
          <w:p>
            <w:pPr>
              <w:pStyle w:val="22"/>
              <w:rPr>
                <w:rFonts w:hint="default" w:ascii="Times New Roman" w:hAnsi="Times New Roman" w:cs="Times New Roman"/>
              </w:rPr>
            </w:pPr>
            <w:r>
              <w:rPr>
                <w:rFonts w:hint="default" w:ascii="Times New Roman" w:hAnsi="Times New Roman" w:cs="Times New Roman"/>
              </w:rPr>
              <w:t>TSP</w:t>
            </w:r>
          </w:p>
        </w:tc>
        <w:tc>
          <w:tcPr>
            <w:tcW w:w="1652" w:type="dxa"/>
            <w:vAlign w:val="center"/>
          </w:tcPr>
          <w:p>
            <w:pPr>
              <w:pStyle w:val="22"/>
              <w:rPr>
                <w:rFonts w:hint="default" w:ascii="Times New Roman" w:hAnsi="Times New Roman" w:cs="Times New Roman"/>
              </w:rPr>
            </w:pPr>
            <w:r>
              <w:rPr>
                <w:rFonts w:hint="default" w:ascii="Times New Roman" w:hAnsi="Times New Roman" w:cs="Times New Roman"/>
              </w:rPr>
              <w:t>—</w:t>
            </w:r>
          </w:p>
        </w:tc>
        <w:tc>
          <w:tcPr>
            <w:tcW w:w="1840" w:type="dxa"/>
            <w:vAlign w:val="center"/>
          </w:tcPr>
          <w:p>
            <w:pPr>
              <w:pStyle w:val="22"/>
              <w:rPr>
                <w:rFonts w:hint="default" w:ascii="Times New Roman" w:hAnsi="Times New Roman" w:cs="Times New Roman"/>
              </w:rPr>
            </w:pPr>
            <w:r>
              <w:rPr>
                <w:rFonts w:hint="default" w:ascii="Times New Roman" w:hAnsi="Times New Roman" w:cs="Times New Roman"/>
              </w:rPr>
              <w:t>300</w:t>
            </w:r>
          </w:p>
        </w:tc>
        <w:tc>
          <w:tcPr>
            <w:tcW w:w="1437" w:type="dxa"/>
            <w:vAlign w:val="center"/>
          </w:tcPr>
          <w:p>
            <w:pPr>
              <w:pStyle w:val="22"/>
              <w:rPr>
                <w:rFonts w:hint="default" w:ascii="Times New Roman" w:hAnsi="Times New Roman" w:cs="Times New Roman"/>
              </w:rPr>
            </w:pPr>
            <w:r>
              <w:rPr>
                <w:rFonts w:hint="default" w:ascii="Times New Roman" w:hAnsi="Times New Roman" w:cs="Times New Roman"/>
              </w:rPr>
              <w:t>200</w:t>
            </w:r>
          </w:p>
        </w:tc>
        <w:tc>
          <w:tcPr>
            <w:tcW w:w="3522" w:type="dxa"/>
            <w:vMerge w:val="continue"/>
            <w:vAlign w:val="center"/>
          </w:tcPr>
          <w:p>
            <w:pPr>
              <w:pStyle w:val="22"/>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exact"/>
        </w:trPr>
        <w:tc>
          <w:tcPr>
            <w:tcW w:w="1262" w:type="dxa"/>
            <w:vAlign w:val="center"/>
          </w:tcPr>
          <w:p>
            <w:pPr>
              <w:pStyle w:val="22"/>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1652" w:type="dxa"/>
            <w:vAlign w:val="center"/>
          </w:tcPr>
          <w:p>
            <w:pPr>
              <w:pStyle w:val="22"/>
              <w:rPr>
                <w:rFonts w:hint="default" w:ascii="Times New Roman" w:hAnsi="Times New Roman" w:cs="Times New Roman"/>
              </w:rPr>
            </w:pPr>
            <w:r>
              <w:rPr>
                <w:rFonts w:hint="default" w:ascii="Times New Roman" w:hAnsi="Times New Roman" w:cs="Times New Roman"/>
              </w:rPr>
              <w:t>10</w:t>
            </w:r>
          </w:p>
        </w:tc>
        <w:tc>
          <w:tcPr>
            <w:tcW w:w="1840" w:type="dxa"/>
            <w:vAlign w:val="center"/>
          </w:tcPr>
          <w:p>
            <w:pPr>
              <w:pStyle w:val="22"/>
              <w:rPr>
                <w:rFonts w:hint="default" w:ascii="Times New Roman" w:hAnsi="Times New Roman" w:cs="Times New Roman"/>
              </w:rPr>
            </w:pPr>
            <w:r>
              <w:rPr>
                <w:rFonts w:hint="default" w:ascii="Times New Roman" w:hAnsi="Times New Roman" w:cs="Times New Roman"/>
              </w:rPr>
              <w:t>—</w:t>
            </w:r>
          </w:p>
        </w:tc>
        <w:tc>
          <w:tcPr>
            <w:tcW w:w="1437" w:type="dxa"/>
            <w:vAlign w:val="center"/>
          </w:tcPr>
          <w:p>
            <w:pPr>
              <w:pStyle w:val="22"/>
              <w:rPr>
                <w:rFonts w:hint="default" w:ascii="Times New Roman" w:hAnsi="Times New Roman" w:cs="Times New Roman"/>
              </w:rPr>
            </w:pPr>
            <w:r>
              <w:rPr>
                <w:rFonts w:hint="default" w:ascii="Times New Roman" w:hAnsi="Times New Roman" w:cs="Times New Roman"/>
              </w:rPr>
              <w:t>—</w:t>
            </w:r>
          </w:p>
        </w:tc>
        <w:tc>
          <w:tcPr>
            <w:tcW w:w="3522" w:type="dxa"/>
            <w:vMerge w:val="restart"/>
            <w:vAlign w:val="center"/>
          </w:tcPr>
          <w:p>
            <w:pPr>
              <w:pStyle w:val="22"/>
              <w:ind w:firstLine="210" w:firstLineChars="100"/>
              <w:jc w:val="both"/>
              <w:rPr>
                <w:rFonts w:hint="default" w:ascii="Times New Roman" w:hAnsi="Times New Roman" w:cs="Times New Roman"/>
              </w:rPr>
            </w:pPr>
            <w:r>
              <w:rPr>
                <w:rFonts w:hint="default" w:ascii="Times New Roman" w:hAnsi="Times New Roman" w:cs="Times New Roman"/>
              </w:rPr>
              <w:t>参照《环境影响评价技术导则 大气环境》（HJ2.2-2018）附录D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 w:hRule="exact"/>
        </w:trPr>
        <w:tc>
          <w:tcPr>
            <w:tcW w:w="1262" w:type="dxa"/>
            <w:vAlign w:val="center"/>
          </w:tcPr>
          <w:p>
            <w:pPr>
              <w:pStyle w:val="22"/>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p>
        </w:tc>
        <w:tc>
          <w:tcPr>
            <w:tcW w:w="1652" w:type="dxa"/>
            <w:vAlign w:val="center"/>
          </w:tcPr>
          <w:p>
            <w:pPr>
              <w:pStyle w:val="22"/>
              <w:rPr>
                <w:rFonts w:hint="default" w:ascii="Times New Roman" w:hAnsi="Times New Roman" w:cs="Times New Roman"/>
              </w:rPr>
            </w:pPr>
            <w:r>
              <w:rPr>
                <w:rFonts w:hint="default" w:ascii="Times New Roman" w:hAnsi="Times New Roman" w:cs="Times New Roman"/>
              </w:rPr>
              <w:t>200</w:t>
            </w:r>
          </w:p>
        </w:tc>
        <w:tc>
          <w:tcPr>
            <w:tcW w:w="1840" w:type="dxa"/>
            <w:vAlign w:val="center"/>
          </w:tcPr>
          <w:p>
            <w:pPr>
              <w:pStyle w:val="22"/>
              <w:rPr>
                <w:rFonts w:hint="default" w:ascii="Times New Roman" w:hAnsi="Times New Roman" w:cs="Times New Roman"/>
              </w:rPr>
            </w:pPr>
            <w:r>
              <w:rPr>
                <w:rFonts w:hint="default" w:ascii="Times New Roman" w:hAnsi="Times New Roman" w:cs="Times New Roman"/>
              </w:rPr>
              <w:t>—</w:t>
            </w:r>
          </w:p>
        </w:tc>
        <w:tc>
          <w:tcPr>
            <w:tcW w:w="1437" w:type="dxa"/>
            <w:vAlign w:val="center"/>
          </w:tcPr>
          <w:p>
            <w:pPr>
              <w:pStyle w:val="22"/>
              <w:rPr>
                <w:rFonts w:hint="default" w:ascii="Times New Roman" w:hAnsi="Times New Roman" w:cs="Times New Roman"/>
              </w:rPr>
            </w:pPr>
            <w:r>
              <w:rPr>
                <w:rFonts w:hint="default" w:ascii="Times New Roman" w:hAnsi="Times New Roman" w:cs="Times New Roman"/>
              </w:rPr>
              <w:t>—</w:t>
            </w:r>
          </w:p>
        </w:tc>
        <w:tc>
          <w:tcPr>
            <w:tcW w:w="3522" w:type="dxa"/>
            <w:vMerge w:val="continue"/>
            <w:vAlign w:val="center"/>
          </w:tcPr>
          <w:p>
            <w:pPr>
              <w:pStyle w:val="22"/>
              <w:rPr>
                <w:rFonts w:hint="default" w:ascii="Times New Roman" w:hAnsi="Times New Roman" w:cs="Times New Roman"/>
              </w:rPr>
            </w:pP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2）地表水环境质量</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该项目附近地表水体为</w:t>
      </w:r>
      <w:r>
        <w:rPr>
          <w:rFonts w:hint="default" w:ascii="Times New Roman" w:hAnsi="Times New Roman" w:cs="Times New Roman"/>
          <w:sz w:val="24"/>
          <w:szCs w:val="24"/>
          <w:lang w:eastAsia="zh-CN"/>
        </w:rPr>
        <w:t>东面金牛河</w:t>
      </w:r>
      <w:r>
        <w:rPr>
          <w:rFonts w:hint="default" w:ascii="Times New Roman" w:hAnsi="Times New Roman" w:cs="Times New Roman"/>
          <w:sz w:val="24"/>
          <w:szCs w:val="24"/>
        </w:rPr>
        <w:t>，根据水功能区划，区域功能地表水体执行《地表水环境质量标准》（GB3838-2002）III类标准，具体标准限值见表1.4-2；</w:t>
      </w:r>
    </w:p>
    <w:p>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表1.4-2 地表水环境质量标准</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86"/>
        <w:gridCol w:w="4175"/>
        <w:gridCol w:w="3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blHeader/>
          <w:jc w:val="center"/>
        </w:trPr>
        <w:tc>
          <w:tcPr>
            <w:tcW w:w="2486" w:type="dxa"/>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指标</w:t>
            </w:r>
          </w:p>
        </w:tc>
        <w:tc>
          <w:tcPr>
            <w:tcW w:w="4175" w:type="dxa"/>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标准限值（mg/L）</w:t>
            </w:r>
          </w:p>
        </w:tc>
        <w:tc>
          <w:tcPr>
            <w:tcW w:w="3052" w:type="dxa"/>
            <w:vAlign w:val="center"/>
          </w:tcPr>
          <w:p>
            <w:pPr>
              <w:ind w:firstLine="1054" w:firstLineChars="500"/>
              <w:rPr>
                <w:rFonts w:hint="default" w:ascii="Times New Roman" w:hAnsi="Times New Roman" w:cs="Times New Roman"/>
                <w:b/>
                <w:szCs w:val="21"/>
              </w:rPr>
            </w:pPr>
            <w:r>
              <w:rPr>
                <w:rFonts w:hint="default" w:ascii="Times New Roman" w:hAnsi="Times New Roman" w:cs="Times New Roman"/>
                <w:b/>
                <w:szCs w:val="21"/>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248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pH</w:t>
            </w:r>
          </w:p>
        </w:tc>
        <w:tc>
          <w:tcPr>
            <w:tcW w:w="417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6～9（无量纲）</w:t>
            </w:r>
          </w:p>
        </w:tc>
        <w:tc>
          <w:tcPr>
            <w:tcW w:w="3052" w:type="dxa"/>
            <w:vMerge w:val="restart"/>
            <w:vAlign w:val="center"/>
          </w:tcPr>
          <w:p>
            <w:pPr>
              <w:ind w:firstLine="105" w:firstLineChars="50"/>
              <w:rPr>
                <w:rFonts w:hint="default" w:ascii="Times New Roman" w:hAnsi="Times New Roman" w:cs="Times New Roman"/>
                <w:szCs w:val="21"/>
              </w:rPr>
            </w:pPr>
            <w:r>
              <w:rPr>
                <w:rFonts w:hint="default" w:ascii="Times New Roman" w:hAnsi="Times New Roman" w:cs="Times New Roman"/>
                <w:szCs w:val="21"/>
              </w:rPr>
              <w:t>《地表水环境质量标准》（GB3838-2002）Ⅲ类水标准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2486" w:type="dxa"/>
            <w:vAlign w:val="center"/>
          </w:tcPr>
          <w:p>
            <w:pPr>
              <w:jc w:val="center"/>
              <w:rPr>
                <w:rFonts w:hint="default" w:ascii="Times New Roman" w:hAnsi="Times New Roman" w:cs="Times New Roman"/>
                <w:szCs w:val="21"/>
                <w:vertAlign w:val="subscript"/>
              </w:rPr>
            </w:pPr>
            <w:r>
              <w:rPr>
                <w:rFonts w:hint="default" w:ascii="Times New Roman" w:hAnsi="Times New Roman" w:cs="Times New Roman"/>
                <w:szCs w:val="21"/>
              </w:rPr>
              <w:t>COD</w:t>
            </w:r>
            <w:r>
              <w:rPr>
                <w:rFonts w:hint="default" w:ascii="Times New Roman" w:hAnsi="Times New Roman" w:cs="Times New Roman"/>
                <w:szCs w:val="21"/>
                <w:vertAlign w:val="subscript"/>
              </w:rPr>
              <w:t>cr</w:t>
            </w:r>
          </w:p>
        </w:tc>
        <w:tc>
          <w:tcPr>
            <w:tcW w:w="417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≤20</w:t>
            </w:r>
          </w:p>
        </w:tc>
        <w:tc>
          <w:tcPr>
            <w:tcW w:w="3052" w:type="dxa"/>
            <w:vMerge w:val="continue"/>
            <w:vAlign w:val="center"/>
          </w:tcPr>
          <w:p>
            <w:pPr>
              <w:ind w:firstLine="42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2486" w:type="dxa"/>
            <w:vAlign w:val="center"/>
          </w:tcPr>
          <w:p>
            <w:pPr>
              <w:jc w:val="center"/>
              <w:rPr>
                <w:rFonts w:hint="default" w:ascii="Times New Roman" w:hAnsi="Times New Roman" w:cs="Times New Roman"/>
                <w:szCs w:val="21"/>
                <w:vertAlign w:val="subscript"/>
              </w:rPr>
            </w:pPr>
            <w:r>
              <w:rPr>
                <w:rFonts w:hint="default" w:ascii="Times New Roman" w:hAnsi="Times New Roman" w:cs="Times New Roman"/>
                <w:szCs w:val="21"/>
              </w:rPr>
              <w:t>BOD</w:t>
            </w:r>
            <w:r>
              <w:rPr>
                <w:rFonts w:hint="default" w:ascii="Times New Roman" w:hAnsi="Times New Roman" w:cs="Times New Roman"/>
                <w:szCs w:val="21"/>
                <w:vertAlign w:val="subscript"/>
              </w:rPr>
              <w:t>5</w:t>
            </w:r>
          </w:p>
        </w:tc>
        <w:tc>
          <w:tcPr>
            <w:tcW w:w="417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3052" w:type="dxa"/>
            <w:vMerge w:val="continue"/>
            <w:vAlign w:val="center"/>
          </w:tcPr>
          <w:p>
            <w:pPr>
              <w:ind w:firstLine="42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248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r>
              <w:rPr>
                <w:rFonts w:hint="default" w:ascii="Times New Roman" w:hAnsi="Times New Roman" w:cs="Times New Roman"/>
                <w:szCs w:val="21"/>
              </w:rPr>
              <w:t>-N</w:t>
            </w:r>
          </w:p>
        </w:tc>
        <w:tc>
          <w:tcPr>
            <w:tcW w:w="417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3052" w:type="dxa"/>
            <w:vMerge w:val="continue"/>
            <w:vAlign w:val="center"/>
          </w:tcPr>
          <w:p>
            <w:pPr>
              <w:ind w:firstLine="42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248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溶解氧</w:t>
            </w:r>
          </w:p>
        </w:tc>
        <w:tc>
          <w:tcPr>
            <w:tcW w:w="417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3052" w:type="dxa"/>
            <w:vMerge w:val="continue"/>
            <w:vAlign w:val="center"/>
          </w:tcPr>
          <w:p>
            <w:pPr>
              <w:ind w:firstLine="42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248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SS</w:t>
            </w:r>
          </w:p>
        </w:tc>
        <w:tc>
          <w:tcPr>
            <w:tcW w:w="417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052" w:type="dxa"/>
            <w:vMerge w:val="continue"/>
            <w:vAlign w:val="center"/>
          </w:tcPr>
          <w:p>
            <w:pPr>
              <w:ind w:firstLine="42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248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粪大肠菌群</w:t>
            </w:r>
          </w:p>
        </w:tc>
        <w:tc>
          <w:tcPr>
            <w:tcW w:w="417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≤10000（个/L）</w:t>
            </w:r>
          </w:p>
        </w:tc>
        <w:tc>
          <w:tcPr>
            <w:tcW w:w="3052" w:type="dxa"/>
            <w:vMerge w:val="continue"/>
            <w:vAlign w:val="center"/>
          </w:tcPr>
          <w:p>
            <w:pPr>
              <w:ind w:firstLine="42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248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总氮</w:t>
            </w:r>
          </w:p>
        </w:tc>
        <w:tc>
          <w:tcPr>
            <w:tcW w:w="417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3052" w:type="dxa"/>
            <w:vMerge w:val="continue"/>
            <w:vAlign w:val="center"/>
          </w:tcPr>
          <w:p>
            <w:pPr>
              <w:ind w:firstLine="42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exact"/>
          <w:jc w:val="center"/>
        </w:trPr>
        <w:tc>
          <w:tcPr>
            <w:tcW w:w="248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总磷</w:t>
            </w:r>
          </w:p>
        </w:tc>
        <w:tc>
          <w:tcPr>
            <w:tcW w:w="417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≤0.2</w:t>
            </w:r>
          </w:p>
        </w:tc>
        <w:tc>
          <w:tcPr>
            <w:tcW w:w="3052" w:type="dxa"/>
            <w:vMerge w:val="continue"/>
            <w:vAlign w:val="center"/>
          </w:tcPr>
          <w:p>
            <w:pPr>
              <w:ind w:firstLine="420"/>
              <w:jc w:val="center"/>
              <w:rPr>
                <w:rFonts w:hint="default" w:ascii="Times New Roman" w:hAnsi="Times New Roman" w:cs="Times New Roman"/>
                <w:szCs w:val="21"/>
              </w:rPr>
            </w:pP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3）声环境质量</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评价区声环境质量执行《声环境质量标准》（GB3096-2008）2类标准，具体标准限值见表1.4-3；</w:t>
      </w:r>
    </w:p>
    <w:p>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表1.4-3 声环境质量标准</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1764"/>
        <w:gridCol w:w="2035"/>
        <w:gridCol w:w="41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1764" w:type="dxa"/>
            <w:vMerge w:val="restart"/>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类别</w:t>
            </w:r>
          </w:p>
        </w:tc>
        <w:tc>
          <w:tcPr>
            <w:tcW w:w="3799"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标准值（LAeq：dB(A)）</w:t>
            </w:r>
          </w:p>
        </w:tc>
        <w:tc>
          <w:tcPr>
            <w:tcW w:w="4150"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atLeast"/>
          <w:jc w:val="center"/>
        </w:trPr>
        <w:tc>
          <w:tcPr>
            <w:tcW w:w="1764" w:type="dxa"/>
            <w:vMerge w:val="continue"/>
            <w:vAlign w:val="center"/>
          </w:tcPr>
          <w:p>
            <w:pPr>
              <w:jc w:val="center"/>
              <w:rPr>
                <w:rFonts w:hint="default" w:ascii="Times New Roman" w:hAnsi="Times New Roman" w:cs="Times New Roman"/>
                <w:szCs w:val="21"/>
              </w:rPr>
            </w:pPr>
          </w:p>
        </w:tc>
        <w:tc>
          <w:tcPr>
            <w:tcW w:w="176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昼间</w:t>
            </w:r>
          </w:p>
        </w:tc>
        <w:tc>
          <w:tcPr>
            <w:tcW w:w="20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夜间</w:t>
            </w:r>
          </w:p>
        </w:tc>
        <w:tc>
          <w:tcPr>
            <w:tcW w:w="4150"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6" w:hRule="atLeast"/>
          <w:jc w:val="center"/>
        </w:trPr>
        <w:tc>
          <w:tcPr>
            <w:tcW w:w="1764"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2类</w:t>
            </w:r>
          </w:p>
        </w:tc>
        <w:tc>
          <w:tcPr>
            <w:tcW w:w="176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60</w:t>
            </w:r>
          </w:p>
        </w:tc>
        <w:tc>
          <w:tcPr>
            <w:tcW w:w="20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50</w:t>
            </w:r>
          </w:p>
        </w:tc>
        <w:tc>
          <w:tcPr>
            <w:tcW w:w="415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《声环境质量标准》（GB3096-2008）</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4）地下水环境质量</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评价区域地下水执行《地下水质量标准》（GB/T 14848-2017）III类标准，具体标准限值见表1.4-4；</w:t>
      </w:r>
    </w:p>
    <w:p>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表1.4-4地下水环境质量标准</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4077"/>
        <w:gridCol w:w="4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tblHeader/>
          <w:jc w:val="center"/>
        </w:trPr>
        <w:tc>
          <w:tcPr>
            <w:tcW w:w="1574" w:type="dxa"/>
            <w:vAlign w:val="center"/>
          </w:tcPr>
          <w:p>
            <w:pPr>
              <w:pStyle w:val="64"/>
              <w:spacing w:before="0" w:after="0"/>
              <w:ind w:firstLine="316" w:firstLineChars="150"/>
              <w:jc w:val="both"/>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4077" w:type="dxa"/>
            <w:vAlign w:val="center"/>
          </w:tcPr>
          <w:p>
            <w:pPr>
              <w:pStyle w:val="64"/>
              <w:spacing w:before="0" w:after="0"/>
              <w:ind w:firstLine="0" w:firstLineChars="0"/>
              <w:rPr>
                <w:rFonts w:hint="default" w:ascii="Times New Roman" w:hAnsi="Times New Roman" w:cs="Times New Roman"/>
                <w:b/>
                <w:bCs/>
                <w:sz w:val="21"/>
                <w:szCs w:val="21"/>
              </w:rPr>
            </w:pPr>
            <w:r>
              <w:rPr>
                <w:rFonts w:hint="default" w:ascii="Times New Roman" w:hAnsi="Times New Roman" w:cs="Times New Roman"/>
                <w:b/>
                <w:bCs/>
                <w:sz w:val="21"/>
                <w:szCs w:val="21"/>
              </w:rPr>
              <w:t>参数</w:t>
            </w:r>
          </w:p>
        </w:tc>
        <w:tc>
          <w:tcPr>
            <w:tcW w:w="4062" w:type="dxa"/>
            <w:vAlign w:val="center"/>
          </w:tcPr>
          <w:p>
            <w:pPr>
              <w:pStyle w:val="64"/>
              <w:spacing w:before="0" w:after="0"/>
              <w:ind w:firstLine="0" w:firstLineChars="0"/>
              <w:rPr>
                <w:rFonts w:hint="default" w:ascii="Times New Roman" w:hAnsi="Times New Roman" w:cs="Times New Roman"/>
                <w:b/>
                <w:bCs/>
                <w:sz w:val="21"/>
                <w:szCs w:val="21"/>
              </w:rPr>
            </w:pPr>
            <w:r>
              <w:rPr>
                <w:rFonts w:hint="default" w:ascii="Times New Roman" w:hAnsi="Times New Roman" w:cs="Times New Roman"/>
                <w:b/>
                <w:bCs/>
                <w:sz w:val="21"/>
                <w:szCs w:val="21"/>
              </w:rPr>
              <w:t>标准限值(mg/L)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9" w:hRule="atLeast"/>
          <w:jc w:val="center"/>
        </w:trPr>
        <w:tc>
          <w:tcPr>
            <w:tcW w:w="1574"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1</w:t>
            </w:r>
          </w:p>
        </w:tc>
        <w:tc>
          <w:tcPr>
            <w:tcW w:w="4077"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pH</w:t>
            </w:r>
          </w:p>
        </w:tc>
        <w:tc>
          <w:tcPr>
            <w:tcW w:w="4062" w:type="dxa"/>
            <w:vAlign w:val="center"/>
          </w:tcPr>
          <w:p>
            <w:pPr>
              <w:pStyle w:val="64"/>
              <w:spacing w:before="0" w:after="0"/>
              <w:ind w:firstLine="0" w:firstLineChars="0"/>
              <w:rPr>
                <w:rFonts w:hint="default" w:ascii="Times New Roman" w:hAnsi="Times New Roman" w:cs="Times New Roman"/>
                <w:caps/>
                <w:sz w:val="21"/>
                <w:szCs w:val="21"/>
              </w:rPr>
            </w:pPr>
            <w:r>
              <w:rPr>
                <w:rFonts w:hint="default" w:ascii="Times New Roman" w:hAnsi="Times New Roman" w:cs="Times New Roman"/>
                <w:caps/>
                <w:sz w:val="21"/>
                <w:szCs w:val="21"/>
              </w:rPr>
              <w:t xml:space="preserve">   6.5~8.5（无量纲）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69" w:hRule="atLeast"/>
          <w:jc w:val="center"/>
        </w:trPr>
        <w:tc>
          <w:tcPr>
            <w:tcW w:w="1574"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2</w:t>
            </w:r>
          </w:p>
        </w:tc>
        <w:tc>
          <w:tcPr>
            <w:tcW w:w="4077" w:type="dxa"/>
            <w:vAlign w:val="center"/>
          </w:tcPr>
          <w:p>
            <w:pPr>
              <w:pStyle w:val="64"/>
              <w:spacing w:before="0" w:after="0"/>
              <w:ind w:firstLine="0" w:firstLineChars="0"/>
              <w:rPr>
                <w:rFonts w:hint="default" w:ascii="Times New Roman" w:hAnsi="Times New Roman" w:cs="Times New Roman"/>
                <w:bCs/>
                <w:sz w:val="21"/>
                <w:szCs w:val="21"/>
              </w:rPr>
            </w:pPr>
            <w:r>
              <w:rPr>
                <w:rFonts w:hint="default" w:ascii="Times New Roman" w:hAnsi="Times New Roman" w:cs="Times New Roman"/>
                <w:bCs/>
                <w:sz w:val="21"/>
                <w:szCs w:val="21"/>
              </w:rPr>
              <w:t>硫酸盐</w:t>
            </w:r>
          </w:p>
        </w:tc>
        <w:tc>
          <w:tcPr>
            <w:tcW w:w="4062"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74"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3</w:t>
            </w:r>
          </w:p>
        </w:tc>
        <w:tc>
          <w:tcPr>
            <w:tcW w:w="4077" w:type="dxa"/>
            <w:vAlign w:val="center"/>
          </w:tcPr>
          <w:p>
            <w:pPr>
              <w:pStyle w:val="64"/>
              <w:spacing w:before="0" w:after="0"/>
              <w:ind w:firstLine="0" w:firstLineChars="0"/>
              <w:rPr>
                <w:rFonts w:hint="default" w:ascii="Times New Roman" w:hAnsi="Times New Roman" w:cs="Times New Roman"/>
                <w:bCs/>
                <w:sz w:val="21"/>
                <w:szCs w:val="21"/>
              </w:rPr>
            </w:pPr>
            <w:r>
              <w:rPr>
                <w:rFonts w:hint="default" w:ascii="Times New Roman" w:hAnsi="Times New Roman" w:cs="Times New Roman"/>
                <w:bCs/>
                <w:sz w:val="21"/>
                <w:szCs w:val="21"/>
              </w:rPr>
              <w:t>氯化物</w:t>
            </w:r>
          </w:p>
        </w:tc>
        <w:tc>
          <w:tcPr>
            <w:tcW w:w="4062"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74"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4</w:t>
            </w:r>
          </w:p>
        </w:tc>
        <w:tc>
          <w:tcPr>
            <w:tcW w:w="4077"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硝酸盐</w:t>
            </w:r>
          </w:p>
        </w:tc>
        <w:tc>
          <w:tcPr>
            <w:tcW w:w="4062"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74"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5</w:t>
            </w:r>
          </w:p>
        </w:tc>
        <w:tc>
          <w:tcPr>
            <w:tcW w:w="4077"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亚硝酸盐</w:t>
            </w:r>
          </w:p>
        </w:tc>
        <w:tc>
          <w:tcPr>
            <w:tcW w:w="4062"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74"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6</w:t>
            </w:r>
          </w:p>
        </w:tc>
        <w:tc>
          <w:tcPr>
            <w:tcW w:w="4077"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氨氮</w:t>
            </w:r>
          </w:p>
        </w:tc>
        <w:tc>
          <w:tcPr>
            <w:tcW w:w="4062"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74"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7</w:t>
            </w:r>
          </w:p>
        </w:tc>
        <w:tc>
          <w:tcPr>
            <w:tcW w:w="4077"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色（铂钴色度单位）</w:t>
            </w:r>
          </w:p>
        </w:tc>
        <w:tc>
          <w:tcPr>
            <w:tcW w:w="4062"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74"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8</w:t>
            </w:r>
          </w:p>
        </w:tc>
        <w:tc>
          <w:tcPr>
            <w:tcW w:w="4077"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浑浊度/NTU</w:t>
            </w:r>
          </w:p>
        </w:tc>
        <w:tc>
          <w:tcPr>
            <w:tcW w:w="4062"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74"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9</w:t>
            </w:r>
          </w:p>
        </w:tc>
        <w:tc>
          <w:tcPr>
            <w:tcW w:w="4077"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总大肠菌群</w:t>
            </w:r>
          </w:p>
        </w:tc>
        <w:tc>
          <w:tcPr>
            <w:tcW w:w="4062"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3.0（MPN/100ML）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74"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10</w:t>
            </w:r>
          </w:p>
        </w:tc>
        <w:tc>
          <w:tcPr>
            <w:tcW w:w="4077"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总硬度</w:t>
            </w:r>
          </w:p>
        </w:tc>
        <w:tc>
          <w:tcPr>
            <w:tcW w:w="4062" w:type="dxa"/>
            <w:vAlign w:val="center"/>
          </w:tcPr>
          <w:p>
            <w:pPr>
              <w:pStyle w:val="64"/>
              <w:spacing w:before="0" w:after="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450</w:t>
            </w:r>
          </w:p>
        </w:tc>
      </w:tr>
    </w:tbl>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5）土壤质量标准</w:t>
      </w:r>
    </w:p>
    <w:p>
      <w:pPr>
        <w:pStyle w:val="9"/>
        <w:ind w:firstLine="360" w:firstLineChars="150"/>
        <w:rPr>
          <w:rFonts w:hint="default" w:ascii="Times New Roman" w:hAnsi="Times New Roman" w:cs="Times New Roman"/>
          <w:szCs w:val="24"/>
        </w:rPr>
      </w:pPr>
      <w:r>
        <w:rPr>
          <w:rFonts w:hint="default" w:ascii="Times New Roman" w:hAnsi="Times New Roman" w:cs="Times New Roman"/>
          <w:szCs w:val="24"/>
        </w:rPr>
        <w:t xml:space="preserve"> 项目土壤质量标准执行《土壤环境质量 农用地土壤污染风险管控标准（试行）》（GB15618-2018）表1，根据监测报告锡环检字（2019）第060</w:t>
      </w:r>
      <w:r>
        <w:rPr>
          <w:rFonts w:hint="default" w:ascii="Times New Roman" w:hAnsi="Times New Roman" w:cs="Times New Roman"/>
          <w:szCs w:val="24"/>
          <w:lang w:val="en-US" w:eastAsia="zh-CN"/>
        </w:rPr>
        <w:t>6601</w:t>
      </w:r>
      <w:r>
        <w:rPr>
          <w:rFonts w:hint="default" w:ascii="Times New Roman" w:hAnsi="Times New Roman" w:cs="Times New Roman"/>
          <w:szCs w:val="24"/>
        </w:rPr>
        <w:t>号，本项目土壤</w:t>
      </w:r>
      <w:r>
        <w:rPr>
          <w:rFonts w:hint="default" w:ascii="Times New Roman" w:hAnsi="Times New Roman" w:cs="Times New Roman"/>
          <w:szCs w:val="21"/>
        </w:rPr>
        <w:t>5.5＜pH≤6.5</w:t>
      </w:r>
      <w:r>
        <w:rPr>
          <w:rFonts w:hint="default" w:ascii="Times New Roman" w:hAnsi="Times New Roman" w:cs="Times New Roman"/>
          <w:szCs w:val="24"/>
        </w:rPr>
        <w:t>，本项目用地为非水田，具体标准值见下表：</w:t>
      </w:r>
    </w:p>
    <w:p>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表1.4-5 土壤环境质量标准      单位：mg/kg</w:t>
      </w:r>
    </w:p>
    <w:tbl>
      <w:tblPr>
        <w:tblStyle w:val="33"/>
        <w:tblW w:w="95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3014"/>
        <w:gridCol w:w="4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8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3014" w:type="dxa"/>
            <w:noWrap w:val="0"/>
            <w:vAlign w:val="center"/>
          </w:tcPr>
          <w:p>
            <w:pPr>
              <w:pStyle w:val="2"/>
              <w:jc w:val="center"/>
              <w:rPr>
                <w:rFonts w:hint="default" w:ascii="Times New Roman" w:hAnsi="Times New Roman" w:cs="Times New Roman"/>
              </w:rPr>
            </w:pPr>
            <w:r>
              <w:rPr>
                <w:rFonts w:hint="default" w:ascii="Times New Roman" w:hAnsi="Times New Roman" w:cs="Times New Roman"/>
                <w:sz w:val="21"/>
                <w:szCs w:val="21"/>
              </w:rPr>
              <w:t>污染物</w:t>
            </w:r>
          </w:p>
        </w:tc>
        <w:tc>
          <w:tcPr>
            <w:tcW w:w="472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风险筛选值</w:t>
            </w:r>
            <w:r>
              <w:rPr>
                <w:rFonts w:hint="default" w:ascii="Times New Roman" w:hAnsi="Times New Roman" w:cs="Times New Roman"/>
                <w:szCs w:val="21"/>
                <w:lang w:eastAsia="zh-CN"/>
              </w:rPr>
              <w:t>（</w:t>
            </w:r>
            <w:r>
              <w:rPr>
                <w:rFonts w:hint="default" w:ascii="Times New Roman" w:hAnsi="Times New Roman" w:cs="Times New Roman"/>
                <w:szCs w:val="21"/>
              </w:rPr>
              <w:t>5.5＜pH≤6.5</w:t>
            </w:r>
            <w:r>
              <w:rPr>
                <w:rFonts w:hint="default" w:ascii="Times New Roman" w:hAnsi="Times New Roman" w:cs="Times New Roman"/>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8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3014" w:type="dxa"/>
            <w:noWrap w:val="0"/>
            <w:vAlign w:val="center"/>
          </w:tcPr>
          <w:p>
            <w:pPr>
              <w:pStyle w:val="2"/>
              <w:jc w:val="center"/>
              <w:rPr>
                <w:rFonts w:hint="default" w:ascii="Times New Roman" w:hAnsi="Times New Roman" w:cs="Times New Roman"/>
              </w:rPr>
            </w:pPr>
            <w:r>
              <w:rPr>
                <w:rFonts w:hint="default" w:ascii="Times New Roman" w:hAnsi="Times New Roman" w:cs="Times New Roman"/>
                <w:sz w:val="21"/>
                <w:szCs w:val="21"/>
              </w:rPr>
              <w:t>镉</w:t>
            </w:r>
          </w:p>
        </w:tc>
        <w:tc>
          <w:tcPr>
            <w:tcW w:w="4728" w:type="dxa"/>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8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3014" w:type="dxa"/>
            <w:noWrap w:val="0"/>
            <w:vAlign w:val="center"/>
          </w:tcPr>
          <w:p>
            <w:pPr>
              <w:pStyle w:val="2"/>
              <w:jc w:val="center"/>
              <w:rPr>
                <w:rFonts w:hint="default" w:ascii="Times New Roman" w:hAnsi="Times New Roman" w:cs="Times New Roman"/>
              </w:rPr>
            </w:pPr>
            <w:r>
              <w:rPr>
                <w:rFonts w:hint="default" w:ascii="Times New Roman" w:hAnsi="Times New Roman" w:cs="Times New Roman"/>
                <w:sz w:val="21"/>
                <w:szCs w:val="21"/>
              </w:rPr>
              <w:t>汞</w:t>
            </w:r>
          </w:p>
        </w:tc>
        <w:tc>
          <w:tcPr>
            <w:tcW w:w="472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8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3014" w:type="dxa"/>
            <w:noWrap w:val="0"/>
            <w:vAlign w:val="center"/>
          </w:tcPr>
          <w:p>
            <w:pPr>
              <w:pStyle w:val="2"/>
              <w:jc w:val="center"/>
              <w:rPr>
                <w:rFonts w:hint="default" w:ascii="Times New Roman" w:hAnsi="Times New Roman" w:cs="Times New Roman"/>
              </w:rPr>
            </w:pPr>
            <w:r>
              <w:rPr>
                <w:rFonts w:hint="default" w:ascii="Times New Roman" w:hAnsi="Times New Roman" w:cs="Times New Roman"/>
                <w:sz w:val="21"/>
                <w:szCs w:val="21"/>
              </w:rPr>
              <w:t>砷</w:t>
            </w:r>
          </w:p>
        </w:tc>
        <w:tc>
          <w:tcPr>
            <w:tcW w:w="472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8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3014" w:type="dxa"/>
            <w:noWrap w:val="0"/>
            <w:vAlign w:val="center"/>
          </w:tcPr>
          <w:p>
            <w:pPr>
              <w:pStyle w:val="2"/>
              <w:jc w:val="center"/>
              <w:rPr>
                <w:rFonts w:hint="default" w:ascii="Times New Roman" w:hAnsi="Times New Roman" w:cs="Times New Roman"/>
              </w:rPr>
            </w:pPr>
            <w:r>
              <w:rPr>
                <w:rFonts w:hint="default" w:ascii="Times New Roman" w:hAnsi="Times New Roman" w:cs="Times New Roman"/>
                <w:sz w:val="21"/>
                <w:szCs w:val="21"/>
              </w:rPr>
              <w:t>铅</w:t>
            </w:r>
          </w:p>
        </w:tc>
        <w:tc>
          <w:tcPr>
            <w:tcW w:w="472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8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3014" w:type="dxa"/>
            <w:noWrap w:val="0"/>
            <w:vAlign w:val="center"/>
          </w:tcPr>
          <w:p>
            <w:pPr>
              <w:pStyle w:val="2"/>
              <w:jc w:val="center"/>
              <w:rPr>
                <w:rFonts w:hint="default" w:ascii="Times New Roman" w:hAnsi="Times New Roman" w:cs="Times New Roman"/>
              </w:rPr>
            </w:pPr>
            <w:r>
              <w:rPr>
                <w:rFonts w:hint="default" w:ascii="Times New Roman" w:hAnsi="Times New Roman" w:cs="Times New Roman"/>
                <w:sz w:val="21"/>
                <w:szCs w:val="21"/>
              </w:rPr>
              <w:t>铬</w:t>
            </w:r>
          </w:p>
        </w:tc>
        <w:tc>
          <w:tcPr>
            <w:tcW w:w="472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8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6</w:t>
            </w:r>
          </w:p>
        </w:tc>
        <w:tc>
          <w:tcPr>
            <w:tcW w:w="3014" w:type="dxa"/>
            <w:noWrap w:val="0"/>
            <w:vAlign w:val="center"/>
          </w:tcPr>
          <w:p>
            <w:pPr>
              <w:pStyle w:val="2"/>
              <w:jc w:val="center"/>
              <w:rPr>
                <w:rFonts w:hint="default" w:ascii="Times New Roman" w:hAnsi="Times New Roman" w:cs="Times New Roman"/>
              </w:rPr>
            </w:pPr>
            <w:r>
              <w:rPr>
                <w:rFonts w:hint="default" w:ascii="Times New Roman" w:hAnsi="Times New Roman" w:cs="Times New Roman"/>
                <w:sz w:val="21"/>
                <w:szCs w:val="21"/>
              </w:rPr>
              <w:t>铜</w:t>
            </w:r>
          </w:p>
        </w:tc>
        <w:tc>
          <w:tcPr>
            <w:tcW w:w="472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8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w:t>
            </w:r>
          </w:p>
        </w:tc>
        <w:tc>
          <w:tcPr>
            <w:tcW w:w="3014" w:type="dxa"/>
            <w:noWrap w:val="0"/>
            <w:vAlign w:val="center"/>
          </w:tcPr>
          <w:p>
            <w:pPr>
              <w:pStyle w:val="2"/>
              <w:jc w:val="center"/>
              <w:rPr>
                <w:rFonts w:hint="default" w:ascii="Times New Roman" w:hAnsi="Times New Roman" w:cs="Times New Roman"/>
              </w:rPr>
            </w:pPr>
            <w:r>
              <w:rPr>
                <w:rFonts w:hint="default" w:ascii="Times New Roman" w:hAnsi="Times New Roman" w:cs="Times New Roman"/>
                <w:sz w:val="21"/>
                <w:szCs w:val="21"/>
              </w:rPr>
              <w:t>镍</w:t>
            </w:r>
          </w:p>
        </w:tc>
        <w:tc>
          <w:tcPr>
            <w:tcW w:w="472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8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8</w:t>
            </w:r>
          </w:p>
        </w:tc>
        <w:tc>
          <w:tcPr>
            <w:tcW w:w="3014" w:type="dxa"/>
            <w:noWrap w:val="0"/>
            <w:vAlign w:val="center"/>
          </w:tcPr>
          <w:p>
            <w:pPr>
              <w:pStyle w:val="2"/>
              <w:jc w:val="center"/>
              <w:rPr>
                <w:rFonts w:hint="default" w:ascii="Times New Roman" w:hAnsi="Times New Roman" w:cs="Times New Roman"/>
              </w:rPr>
            </w:pPr>
            <w:r>
              <w:rPr>
                <w:rFonts w:hint="default" w:ascii="Times New Roman" w:hAnsi="Times New Roman" w:cs="Times New Roman"/>
                <w:sz w:val="21"/>
                <w:szCs w:val="21"/>
              </w:rPr>
              <w:t>锌</w:t>
            </w:r>
          </w:p>
        </w:tc>
        <w:tc>
          <w:tcPr>
            <w:tcW w:w="472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200</w:t>
            </w:r>
          </w:p>
        </w:tc>
      </w:tr>
      <w:bookmarkEnd w:id="49"/>
      <w:bookmarkEnd w:id="50"/>
      <w:bookmarkEnd w:id="51"/>
      <w:bookmarkEnd w:id="52"/>
      <w:bookmarkEnd w:id="53"/>
    </w:tbl>
    <w:p>
      <w:pPr>
        <w:spacing w:line="360" w:lineRule="auto"/>
        <w:ind w:firstLine="482" w:firstLineChars="200"/>
        <w:outlineLvl w:val="2"/>
        <w:rPr>
          <w:rFonts w:hint="default" w:ascii="Times New Roman" w:hAnsi="Times New Roman" w:cs="Times New Roman"/>
          <w:b/>
          <w:bCs/>
          <w:sz w:val="24"/>
        </w:rPr>
      </w:pPr>
      <w:bookmarkStart w:id="54" w:name="_Toc258073616"/>
      <w:bookmarkStart w:id="55" w:name="_Toc258073260"/>
      <w:bookmarkStart w:id="56" w:name="_Toc258073438"/>
      <w:bookmarkStart w:id="57" w:name="_Toc258072226"/>
      <w:bookmarkStart w:id="58" w:name="_Toc258071803"/>
      <w:r>
        <w:rPr>
          <w:rFonts w:hint="default" w:ascii="Times New Roman" w:hAnsi="Times New Roman" w:cs="Times New Roman"/>
          <w:b/>
          <w:bCs/>
          <w:sz w:val="24"/>
        </w:rPr>
        <w:t>1.4.2 污染物排放标准</w:t>
      </w:r>
      <w:bookmarkEnd w:id="54"/>
      <w:bookmarkEnd w:id="55"/>
      <w:bookmarkEnd w:id="56"/>
      <w:bookmarkEnd w:id="57"/>
      <w:bookmarkEnd w:id="58"/>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（1）废气排放</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臭气浓度执行《畜禽养殖业污染物排放标准》（GB18596-2001）；H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S、NH</w:t>
      </w:r>
      <w:r>
        <w:rPr>
          <w:rFonts w:hint="default" w:ascii="Times New Roman" w:hAnsi="Times New Roman" w:cs="Times New Roman"/>
          <w:sz w:val="24"/>
          <w:szCs w:val="24"/>
          <w:vertAlign w:val="subscript"/>
        </w:rPr>
        <w:t>3</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执行《恶臭污染物排放标准》（GB14554-93）；食堂油烟参照执行《饮食业油烟排放标准（试行）》（GB18483-2001）表2中最高允许排放浓度；其他大气污染执行《大气污染物综合排放标准》（GB16297-1996）相关排放限值。</w:t>
      </w:r>
    </w:p>
    <w:p>
      <w:pPr>
        <w:jc w:val="center"/>
        <w:rPr>
          <w:rFonts w:hint="default" w:ascii="Times New Roman" w:hAnsi="Times New Roman" w:cs="Times New Roman"/>
          <w:sz w:val="24"/>
          <w:szCs w:val="24"/>
        </w:rPr>
      </w:pPr>
      <w:r>
        <w:rPr>
          <w:rFonts w:hint="default" w:ascii="Times New Roman" w:hAnsi="Times New Roman" w:eastAsia="黑体" w:cs="Times New Roman"/>
          <w:sz w:val="24"/>
          <w:szCs w:val="24"/>
        </w:rPr>
        <w:t>表1.4-6《畜禽养殖业污染物排放标准》（GB18596-2001）（摘录）</w:t>
      </w:r>
    </w:p>
    <w:tbl>
      <w:tblPr>
        <w:tblStyle w:val="33"/>
        <w:tblW w:w="974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71"/>
        <w:gridCol w:w="4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4871" w:type="dxa"/>
            <w:vAlign w:val="center"/>
          </w:tcPr>
          <w:p>
            <w:pPr>
              <w:pStyle w:val="9"/>
              <w:spacing w:line="240" w:lineRule="auto"/>
              <w:ind w:firstLine="0" w:firstLineChars="0"/>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 xml:space="preserve">               控制项目</w:t>
            </w:r>
          </w:p>
        </w:tc>
        <w:tc>
          <w:tcPr>
            <w:tcW w:w="4869" w:type="dxa"/>
            <w:vAlign w:val="center"/>
          </w:tcPr>
          <w:p>
            <w:pPr>
              <w:pStyle w:val="9"/>
              <w:spacing w:line="240" w:lineRule="auto"/>
              <w:ind w:firstLine="0" w:firstLineChars="0"/>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 xml:space="preserve">             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4871" w:type="dxa"/>
            <w:vAlign w:val="center"/>
          </w:tcPr>
          <w:p>
            <w:pPr>
              <w:pStyle w:val="9"/>
              <w:spacing w:line="240" w:lineRule="auto"/>
              <w:ind w:firstLine="0" w:firstLineChars="0"/>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 xml:space="preserve">           臭气浓度（无量纲）</w:t>
            </w:r>
          </w:p>
        </w:tc>
        <w:tc>
          <w:tcPr>
            <w:tcW w:w="4869" w:type="dxa"/>
            <w:vAlign w:val="center"/>
          </w:tcPr>
          <w:p>
            <w:pPr>
              <w:pStyle w:val="9"/>
              <w:spacing w:line="240" w:lineRule="auto"/>
              <w:ind w:firstLine="0" w:firstLineChars="0"/>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 xml:space="preserve">                70</w:t>
            </w:r>
          </w:p>
        </w:tc>
      </w:tr>
    </w:tbl>
    <w:p>
      <w:pPr>
        <w:spacing w:beforeLines="50"/>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表1.4-7 《饮食业油烟排放标准（试行）》（GB18483-2001）摘录</w:t>
      </w:r>
    </w:p>
    <w:tbl>
      <w:tblPr>
        <w:tblStyle w:val="33"/>
        <w:tblW w:w="974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90"/>
        <w:gridCol w:w="2160"/>
        <w:gridCol w:w="1995"/>
        <w:gridCol w:w="2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349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规模</w:t>
            </w:r>
          </w:p>
        </w:tc>
        <w:tc>
          <w:tcPr>
            <w:tcW w:w="2160" w:type="dxa"/>
            <w:vAlign w:val="center"/>
          </w:tcPr>
          <w:p>
            <w:pPr>
              <w:ind w:firstLine="630" w:firstLineChars="300"/>
              <w:rPr>
                <w:rFonts w:hint="default" w:ascii="Times New Roman" w:hAnsi="Times New Roman" w:cs="Times New Roman"/>
                <w:szCs w:val="21"/>
              </w:rPr>
            </w:pPr>
            <w:r>
              <w:rPr>
                <w:rFonts w:hint="default" w:ascii="Times New Roman" w:hAnsi="Times New Roman" w:cs="Times New Roman"/>
                <w:szCs w:val="21"/>
              </w:rPr>
              <w:t>小型</w:t>
            </w:r>
          </w:p>
        </w:tc>
        <w:tc>
          <w:tcPr>
            <w:tcW w:w="19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中型</w:t>
            </w:r>
          </w:p>
        </w:tc>
        <w:tc>
          <w:tcPr>
            <w:tcW w:w="209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349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最高允许排放浓度（mg/m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6251" w:type="dxa"/>
            <w:gridSpan w:val="3"/>
            <w:vAlign w:val="center"/>
          </w:tcPr>
          <w:p>
            <w:pPr>
              <w:ind w:firstLine="2205" w:firstLineChars="1050"/>
              <w:rPr>
                <w:rFonts w:hint="default" w:ascii="Times New Roman" w:hAnsi="Times New Roman" w:cs="Times New Roman"/>
                <w:szCs w:val="21"/>
              </w:rPr>
            </w:pPr>
            <w:r>
              <w:rPr>
                <w:rFonts w:hint="default" w:ascii="Times New Roman" w:hAnsi="Times New Roman" w:cs="Times New Roman"/>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349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净化设施最低去除效率（%）</w:t>
            </w:r>
          </w:p>
        </w:tc>
        <w:tc>
          <w:tcPr>
            <w:tcW w:w="216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60</w:t>
            </w:r>
          </w:p>
        </w:tc>
        <w:tc>
          <w:tcPr>
            <w:tcW w:w="19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75</w:t>
            </w:r>
          </w:p>
        </w:tc>
        <w:tc>
          <w:tcPr>
            <w:tcW w:w="209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85</w:t>
            </w:r>
          </w:p>
        </w:tc>
      </w:tr>
    </w:tbl>
    <w:p>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表1.4-8 《恶臭染物排放标准》（GB14554-93）二级（摘录）</w:t>
      </w:r>
    </w:p>
    <w:tbl>
      <w:tblPr>
        <w:tblStyle w:val="33"/>
        <w:tblW w:w="96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2149"/>
        <w:gridCol w:w="2316"/>
        <w:gridCol w:w="40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1159" w:type="dxa"/>
            <w:vAlign w:val="center"/>
          </w:tcPr>
          <w:p>
            <w:pPr>
              <w:rPr>
                <w:rFonts w:hint="default" w:ascii="Times New Roman" w:hAnsi="Times New Roman" w:cs="Times New Roman"/>
                <w:szCs w:val="21"/>
              </w:rPr>
            </w:pPr>
            <w:r>
              <w:rPr>
                <w:rFonts w:hint="default" w:ascii="Times New Roman" w:hAnsi="Times New Roman" w:cs="Times New Roman"/>
                <w:szCs w:val="21"/>
              </w:rPr>
              <w:t xml:space="preserve"> 序号</w:t>
            </w:r>
          </w:p>
        </w:tc>
        <w:tc>
          <w:tcPr>
            <w:tcW w:w="2149" w:type="dxa"/>
            <w:vAlign w:val="center"/>
          </w:tcPr>
          <w:p>
            <w:pPr>
              <w:rPr>
                <w:rFonts w:hint="default" w:ascii="Times New Roman" w:hAnsi="Times New Roman" w:cs="Times New Roman"/>
                <w:szCs w:val="21"/>
              </w:rPr>
            </w:pPr>
            <w:r>
              <w:rPr>
                <w:rFonts w:hint="default" w:ascii="Times New Roman" w:hAnsi="Times New Roman" w:cs="Times New Roman"/>
                <w:szCs w:val="21"/>
              </w:rPr>
              <w:t xml:space="preserve">    控制项目</w:t>
            </w:r>
          </w:p>
        </w:tc>
        <w:tc>
          <w:tcPr>
            <w:tcW w:w="2316" w:type="dxa"/>
            <w:vAlign w:val="center"/>
          </w:tcPr>
          <w:p>
            <w:pPr>
              <w:rPr>
                <w:rFonts w:hint="default" w:ascii="Times New Roman" w:hAnsi="Times New Roman" w:cs="Times New Roman"/>
                <w:szCs w:val="21"/>
              </w:rPr>
            </w:pPr>
            <w:r>
              <w:rPr>
                <w:rFonts w:hint="default" w:ascii="Times New Roman" w:hAnsi="Times New Roman" w:cs="Times New Roman"/>
                <w:szCs w:val="21"/>
              </w:rPr>
              <w:t xml:space="preserve">      单位</w:t>
            </w:r>
          </w:p>
        </w:tc>
        <w:tc>
          <w:tcPr>
            <w:tcW w:w="4056" w:type="dxa"/>
            <w:vAlign w:val="center"/>
          </w:tcPr>
          <w:p>
            <w:pPr>
              <w:rPr>
                <w:rFonts w:hint="default" w:ascii="Times New Roman" w:hAnsi="Times New Roman" w:cs="Times New Roman"/>
                <w:szCs w:val="21"/>
              </w:rPr>
            </w:pPr>
            <w:r>
              <w:rPr>
                <w:rFonts w:hint="default" w:ascii="Times New Roman" w:hAnsi="Times New Roman" w:cs="Times New Roman"/>
                <w:szCs w:val="21"/>
              </w:rPr>
              <w:t xml:space="preserve">             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15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214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氨</w:t>
            </w:r>
          </w:p>
        </w:tc>
        <w:tc>
          <w:tcPr>
            <w:tcW w:w="231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mg/m</w:t>
            </w:r>
            <w:r>
              <w:rPr>
                <w:rFonts w:hint="default" w:ascii="Times New Roman" w:hAnsi="Times New Roman" w:cs="Times New Roman"/>
                <w:szCs w:val="21"/>
                <w:vertAlign w:val="superscript"/>
              </w:rPr>
              <w:t>3</w:t>
            </w:r>
          </w:p>
        </w:tc>
        <w:tc>
          <w:tcPr>
            <w:tcW w:w="405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15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214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硫化氢</w:t>
            </w:r>
          </w:p>
        </w:tc>
        <w:tc>
          <w:tcPr>
            <w:tcW w:w="231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mg/m</w:t>
            </w:r>
            <w:r>
              <w:rPr>
                <w:rFonts w:hint="default" w:ascii="Times New Roman" w:hAnsi="Times New Roman" w:cs="Times New Roman"/>
                <w:szCs w:val="21"/>
                <w:vertAlign w:val="superscript"/>
              </w:rPr>
              <w:t>3</w:t>
            </w:r>
          </w:p>
        </w:tc>
        <w:tc>
          <w:tcPr>
            <w:tcW w:w="405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0.06</w:t>
            </w:r>
          </w:p>
        </w:tc>
      </w:tr>
    </w:tbl>
    <w:p>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 xml:space="preserve">   表1.4-9 《大气污染物综合排放标准》（GB16297-1996）(摘录)</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487"/>
        <w:gridCol w:w="1913"/>
        <w:gridCol w:w="1887"/>
        <w:gridCol w:w="1353"/>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453"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污染物</w:t>
            </w:r>
          </w:p>
        </w:tc>
        <w:tc>
          <w:tcPr>
            <w:tcW w:w="1487" w:type="dxa"/>
            <w:vMerge w:val="restart"/>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最高允许排放浓度(mg/m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3800" w:type="dxa"/>
            <w:gridSpan w:val="2"/>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最高允许排放速率（kg/h）</w:t>
            </w:r>
          </w:p>
        </w:tc>
        <w:tc>
          <w:tcPr>
            <w:tcW w:w="2973" w:type="dxa"/>
            <w:gridSpan w:val="2"/>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blHeader/>
          <w:jc w:val="center"/>
        </w:trPr>
        <w:tc>
          <w:tcPr>
            <w:tcW w:w="1453" w:type="dxa"/>
            <w:vMerge w:val="continue"/>
            <w:vAlign w:val="center"/>
          </w:tcPr>
          <w:p>
            <w:pPr>
              <w:widowControl/>
              <w:jc w:val="center"/>
              <w:rPr>
                <w:rFonts w:hint="default" w:ascii="Times New Roman" w:hAnsi="Times New Roman" w:cs="Times New Roman"/>
                <w:szCs w:val="21"/>
              </w:rPr>
            </w:pPr>
          </w:p>
        </w:tc>
        <w:tc>
          <w:tcPr>
            <w:tcW w:w="1487" w:type="dxa"/>
            <w:vMerge w:val="continue"/>
            <w:vAlign w:val="center"/>
          </w:tcPr>
          <w:p>
            <w:pPr>
              <w:widowControl/>
              <w:jc w:val="center"/>
              <w:rPr>
                <w:rFonts w:hint="default" w:ascii="Times New Roman" w:hAnsi="Times New Roman" w:cs="Times New Roman"/>
                <w:szCs w:val="21"/>
              </w:rPr>
            </w:pPr>
          </w:p>
        </w:tc>
        <w:tc>
          <w:tcPr>
            <w:tcW w:w="1913"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排气筒高度（m）</w:t>
            </w:r>
          </w:p>
        </w:tc>
        <w:tc>
          <w:tcPr>
            <w:tcW w:w="1887"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二级（排放速率）</w:t>
            </w:r>
          </w:p>
        </w:tc>
        <w:tc>
          <w:tcPr>
            <w:tcW w:w="1353"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监控点</w:t>
            </w:r>
          </w:p>
        </w:tc>
        <w:tc>
          <w:tcPr>
            <w:tcW w:w="1620" w:type="dxa"/>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浓度(mg/m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453"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颗粒物</w:t>
            </w:r>
          </w:p>
        </w:tc>
        <w:tc>
          <w:tcPr>
            <w:tcW w:w="1487"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120</w:t>
            </w:r>
          </w:p>
        </w:tc>
        <w:tc>
          <w:tcPr>
            <w:tcW w:w="1913"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15</w:t>
            </w:r>
          </w:p>
        </w:tc>
        <w:tc>
          <w:tcPr>
            <w:tcW w:w="1887"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3.5</w:t>
            </w:r>
          </w:p>
        </w:tc>
        <w:tc>
          <w:tcPr>
            <w:tcW w:w="1353" w:type="dxa"/>
            <w:vMerge w:val="restart"/>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周界外浓度最高点</w:t>
            </w:r>
          </w:p>
        </w:tc>
        <w:tc>
          <w:tcPr>
            <w:tcW w:w="162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453"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二氧化硫</w:t>
            </w:r>
          </w:p>
        </w:tc>
        <w:tc>
          <w:tcPr>
            <w:tcW w:w="1487"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550</w:t>
            </w:r>
          </w:p>
        </w:tc>
        <w:tc>
          <w:tcPr>
            <w:tcW w:w="1913"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15</w:t>
            </w:r>
          </w:p>
        </w:tc>
        <w:tc>
          <w:tcPr>
            <w:tcW w:w="1887"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2.6</w:t>
            </w:r>
          </w:p>
        </w:tc>
        <w:tc>
          <w:tcPr>
            <w:tcW w:w="1353" w:type="dxa"/>
            <w:vMerge w:val="continue"/>
            <w:vAlign w:val="center"/>
          </w:tcPr>
          <w:p>
            <w:pPr>
              <w:widowControl/>
              <w:jc w:val="center"/>
              <w:rPr>
                <w:rFonts w:hint="default" w:ascii="Times New Roman" w:hAnsi="Times New Roman" w:cs="Times New Roman"/>
                <w:bCs/>
                <w:szCs w:val="21"/>
              </w:rPr>
            </w:pPr>
          </w:p>
        </w:tc>
        <w:tc>
          <w:tcPr>
            <w:tcW w:w="162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453"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氮氧化物</w:t>
            </w:r>
          </w:p>
        </w:tc>
        <w:tc>
          <w:tcPr>
            <w:tcW w:w="1487"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240</w:t>
            </w:r>
          </w:p>
        </w:tc>
        <w:tc>
          <w:tcPr>
            <w:tcW w:w="1913"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15</w:t>
            </w:r>
          </w:p>
        </w:tc>
        <w:tc>
          <w:tcPr>
            <w:tcW w:w="1887"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0.77</w:t>
            </w:r>
          </w:p>
        </w:tc>
        <w:tc>
          <w:tcPr>
            <w:tcW w:w="1353" w:type="dxa"/>
            <w:vMerge w:val="continue"/>
            <w:vAlign w:val="center"/>
          </w:tcPr>
          <w:p>
            <w:pPr>
              <w:widowControl/>
              <w:jc w:val="center"/>
              <w:rPr>
                <w:rFonts w:hint="default" w:ascii="Times New Roman" w:hAnsi="Times New Roman" w:cs="Times New Roman"/>
                <w:bCs/>
                <w:szCs w:val="21"/>
              </w:rPr>
            </w:pPr>
          </w:p>
        </w:tc>
        <w:tc>
          <w:tcPr>
            <w:tcW w:w="1620" w:type="dxa"/>
            <w:vAlign w:val="center"/>
          </w:tcPr>
          <w:p>
            <w:pPr>
              <w:widowControl/>
              <w:jc w:val="center"/>
              <w:rPr>
                <w:rFonts w:hint="default" w:ascii="Times New Roman" w:hAnsi="Times New Roman" w:cs="Times New Roman"/>
                <w:bCs/>
                <w:szCs w:val="21"/>
              </w:rPr>
            </w:pPr>
            <w:r>
              <w:rPr>
                <w:rFonts w:hint="default" w:ascii="Times New Roman" w:hAnsi="Times New Roman" w:cs="Times New Roman"/>
                <w:bCs/>
                <w:szCs w:val="21"/>
              </w:rPr>
              <w:t>0.12</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（2）废水排放</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项目养殖废水经自建污水处理站处理达《农田灌溉水质标准》（GB5084-2005）相关限值的要求后用于农灌。</w:t>
      </w:r>
    </w:p>
    <w:p>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表1.4-</w:t>
      </w:r>
      <w:r>
        <w:rPr>
          <w:rFonts w:hint="default" w:ascii="Times New Roman" w:hAnsi="Times New Roman" w:eastAsia="黑体" w:cs="Times New Roman"/>
          <w:sz w:val="24"/>
          <w:szCs w:val="24"/>
          <w:lang w:val="en-US" w:eastAsia="zh-CN"/>
        </w:rPr>
        <w:t>10</w:t>
      </w:r>
      <w:r>
        <w:rPr>
          <w:rFonts w:hint="default" w:ascii="Times New Roman" w:hAnsi="Times New Roman" w:eastAsia="黑体" w:cs="Times New Roman"/>
          <w:sz w:val="24"/>
          <w:szCs w:val="24"/>
        </w:rPr>
        <w:t xml:space="preserve">  农田灌溉水质标准</w:t>
      </w:r>
    </w:p>
    <w:tbl>
      <w:tblPr>
        <w:tblStyle w:val="33"/>
        <w:tblW w:w="894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729"/>
        <w:gridCol w:w="52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3729" w:type="dxa"/>
            <w:tcBorders>
              <w:top w:val="single" w:color="auto" w:sz="6" w:space="0"/>
              <w:left w:val="nil"/>
              <w:bottom w:val="single" w:color="auto" w:sz="6" w:space="0"/>
              <w:right w:val="single" w:color="auto" w:sz="6"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b/>
                <w:bCs/>
                <w:sz w:val="21"/>
                <w:szCs w:val="21"/>
              </w:rPr>
              <w:t>污染物名称</w:t>
            </w:r>
          </w:p>
        </w:tc>
        <w:tc>
          <w:tcPr>
            <w:tcW w:w="5217" w:type="dxa"/>
            <w:tcBorders>
              <w:top w:val="single" w:color="auto" w:sz="6" w:space="0"/>
              <w:left w:val="single" w:color="auto" w:sz="6" w:space="0"/>
              <w:bottom w:val="single" w:color="auto" w:sz="6" w:space="0"/>
              <w:right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b/>
                <w:bCs/>
                <w:sz w:val="21"/>
                <w:szCs w:val="21"/>
              </w:rPr>
              <w:t>《农田灌溉水质标准》（GB5084-2005）旱作标准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3729" w:type="dxa"/>
            <w:tcBorders>
              <w:top w:val="single" w:color="auto" w:sz="6" w:space="0"/>
              <w:left w:val="nil"/>
              <w:bottom w:val="single" w:color="auto" w:sz="6" w:space="0"/>
              <w:right w:val="single" w:color="auto" w:sz="6"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COD（mg/L）</w:t>
            </w:r>
          </w:p>
        </w:tc>
        <w:tc>
          <w:tcPr>
            <w:tcW w:w="5217" w:type="dxa"/>
            <w:tcBorders>
              <w:top w:val="single" w:color="auto" w:sz="6" w:space="0"/>
              <w:left w:val="single" w:color="auto" w:sz="6" w:space="0"/>
              <w:bottom w:val="single" w:color="auto" w:sz="6" w:space="0"/>
              <w:right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3729" w:type="dxa"/>
            <w:tcBorders>
              <w:top w:val="single" w:color="auto" w:sz="6" w:space="0"/>
              <w:left w:val="nil"/>
              <w:bottom w:val="single" w:color="auto" w:sz="6" w:space="0"/>
              <w:right w:val="single" w:color="auto" w:sz="6"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（mg/L）</w:t>
            </w:r>
          </w:p>
        </w:tc>
        <w:tc>
          <w:tcPr>
            <w:tcW w:w="5217" w:type="dxa"/>
            <w:tcBorders>
              <w:top w:val="single" w:color="auto" w:sz="6" w:space="0"/>
              <w:left w:val="single" w:color="auto" w:sz="6" w:space="0"/>
              <w:bottom w:val="single" w:color="auto" w:sz="6" w:space="0"/>
              <w:right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3729" w:type="dxa"/>
            <w:tcBorders>
              <w:top w:val="single" w:color="auto" w:sz="6" w:space="0"/>
              <w:left w:val="nil"/>
              <w:bottom w:val="single" w:color="auto" w:sz="6" w:space="0"/>
              <w:right w:val="single" w:color="auto" w:sz="6"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SS（mg/L）</w:t>
            </w:r>
          </w:p>
        </w:tc>
        <w:tc>
          <w:tcPr>
            <w:tcW w:w="5217" w:type="dxa"/>
            <w:tcBorders>
              <w:top w:val="single" w:color="auto" w:sz="6" w:space="0"/>
              <w:left w:val="single" w:color="auto" w:sz="6" w:space="0"/>
              <w:bottom w:val="single" w:color="auto" w:sz="6" w:space="0"/>
              <w:right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3729" w:type="dxa"/>
            <w:tcBorders>
              <w:top w:val="single" w:color="auto" w:sz="6" w:space="0"/>
              <w:left w:val="nil"/>
              <w:bottom w:val="single" w:color="auto" w:sz="12" w:space="0"/>
              <w:right w:val="single" w:color="auto" w:sz="6"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-N（mg/L）</w:t>
            </w:r>
          </w:p>
        </w:tc>
        <w:tc>
          <w:tcPr>
            <w:tcW w:w="5217" w:type="dxa"/>
            <w:tcBorders>
              <w:top w:val="single" w:color="auto" w:sz="6" w:space="0"/>
              <w:left w:val="single" w:color="auto" w:sz="6" w:space="0"/>
              <w:bottom w:val="single" w:color="auto" w:sz="12" w:space="0"/>
              <w:right w:val="nil"/>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（3）噪声排放</w:t>
      </w:r>
    </w:p>
    <w:p>
      <w:pPr>
        <w:spacing w:line="360" w:lineRule="auto"/>
        <w:ind w:firstLine="480" w:firstLineChars="200"/>
        <w:jc w:val="left"/>
        <w:rPr>
          <w:rFonts w:hint="default" w:ascii="Times New Roman" w:hAnsi="Times New Roman" w:eastAsia="黑体" w:cs="Times New Roman"/>
          <w:sz w:val="24"/>
          <w:szCs w:val="24"/>
        </w:rPr>
      </w:pPr>
      <w:r>
        <w:rPr>
          <w:rFonts w:hint="default" w:ascii="Times New Roman" w:hAnsi="Times New Roman" w:cs="Times New Roman"/>
          <w:sz w:val="24"/>
          <w:szCs w:val="24"/>
        </w:rPr>
        <w:t>施工期噪声执行《建筑施工厂界环境噪声排放标准》（GB12523-2011）噪声限值见表1.4-1</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；项目建成后营运期执行《工业企业厂界环境噪声排放标准》（GB12348-2008）2类标准，见表1.4-1</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w:t>
      </w:r>
    </w:p>
    <w:p>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表1.4-1</w:t>
      </w:r>
      <w:r>
        <w:rPr>
          <w:rFonts w:hint="default" w:ascii="Times New Roman" w:hAnsi="Times New Roman" w:eastAsia="黑体" w:cs="Times New Roman"/>
          <w:sz w:val="24"/>
          <w:szCs w:val="24"/>
          <w:lang w:val="en-US" w:eastAsia="zh-CN"/>
        </w:rPr>
        <w:t>1</w:t>
      </w:r>
      <w:r>
        <w:rPr>
          <w:rFonts w:hint="default" w:ascii="Times New Roman" w:hAnsi="Times New Roman" w:eastAsia="黑体" w:cs="Times New Roman"/>
          <w:sz w:val="24"/>
          <w:szCs w:val="24"/>
        </w:rPr>
        <w:t xml:space="preserve"> 建筑施工场界环境噪声排放标准（摘录） 单位：dB（A）</w:t>
      </w:r>
    </w:p>
    <w:tbl>
      <w:tblPr>
        <w:tblStyle w:val="33"/>
        <w:tblW w:w="88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10"/>
        <w:gridCol w:w="44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4410" w:type="dxa"/>
            <w:vAlign w:val="center"/>
          </w:tcPr>
          <w:p>
            <w:pPr>
              <w:pStyle w:val="9"/>
              <w:spacing w:line="240" w:lineRule="auto"/>
              <w:ind w:firstLine="0" w:firstLineChars="0"/>
              <w:jc w:val="center"/>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昼间</w:t>
            </w:r>
          </w:p>
        </w:tc>
        <w:tc>
          <w:tcPr>
            <w:tcW w:w="4410" w:type="dxa"/>
            <w:vAlign w:val="center"/>
          </w:tcPr>
          <w:p>
            <w:pPr>
              <w:pStyle w:val="9"/>
              <w:spacing w:line="240" w:lineRule="auto"/>
              <w:ind w:firstLine="0" w:firstLineChars="0"/>
              <w:jc w:val="center"/>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jc w:val="center"/>
        </w:trPr>
        <w:tc>
          <w:tcPr>
            <w:tcW w:w="4410" w:type="dxa"/>
            <w:vAlign w:val="center"/>
          </w:tcPr>
          <w:p>
            <w:pPr>
              <w:pStyle w:val="9"/>
              <w:spacing w:line="240" w:lineRule="auto"/>
              <w:ind w:firstLine="0" w:firstLineChars="0"/>
              <w:jc w:val="center"/>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70</w:t>
            </w:r>
          </w:p>
        </w:tc>
        <w:tc>
          <w:tcPr>
            <w:tcW w:w="4410" w:type="dxa"/>
            <w:vAlign w:val="center"/>
          </w:tcPr>
          <w:p>
            <w:pPr>
              <w:pStyle w:val="9"/>
              <w:spacing w:line="240" w:lineRule="auto"/>
              <w:ind w:firstLine="0" w:firstLineChars="0"/>
              <w:jc w:val="center"/>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55</w:t>
            </w:r>
          </w:p>
        </w:tc>
      </w:tr>
    </w:tbl>
    <w:p>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表1.4-1</w:t>
      </w:r>
      <w:r>
        <w:rPr>
          <w:rFonts w:hint="default" w:ascii="Times New Roman" w:hAnsi="Times New Roman" w:eastAsia="黑体" w:cs="Times New Roman"/>
          <w:sz w:val="24"/>
          <w:szCs w:val="24"/>
          <w:lang w:val="en-US" w:eastAsia="zh-CN"/>
        </w:rPr>
        <w:t>2</w:t>
      </w:r>
      <w:r>
        <w:rPr>
          <w:rFonts w:hint="default" w:ascii="Times New Roman" w:hAnsi="Times New Roman" w:eastAsia="黑体" w:cs="Times New Roman"/>
          <w:sz w:val="24"/>
          <w:szCs w:val="24"/>
        </w:rPr>
        <w:t xml:space="preserve"> 工业企业厂界环境噪声排放标准（摘录）单位：dB（A）</w:t>
      </w:r>
    </w:p>
    <w:tbl>
      <w:tblPr>
        <w:tblStyle w:val="33"/>
        <w:tblW w:w="876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2"/>
        <w:gridCol w:w="2977"/>
        <w:gridCol w:w="2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82" w:type="dxa"/>
            <w:vMerge w:val="restart"/>
            <w:vAlign w:val="center"/>
          </w:tcPr>
          <w:p>
            <w:pPr>
              <w:ind w:firstLine="735" w:firstLineChars="350"/>
              <w:rPr>
                <w:rFonts w:hint="default" w:ascii="Times New Roman" w:hAnsi="Times New Roman" w:cs="Times New Roman"/>
                <w:szCs w:val="21"/>
              </w:rPr>
            </w:pPr>
            <w:r>
              <w:rPr>
                <w:rFonts w:hint="default" w:ascii="Times New Roman" w:hAnsi="Times New Roman" w:cs="Times New Roman"/>
                <w:szCs w:val="21"/>
              </w:rPr>
              <w:t>类别</w:t>
            </w:r>
          </w:p>
        </w:tc>
        <w:tc>
          <w:tcPr>
            <w:tcW w:w="5886"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82" w:type="dxa"/>
            <w:vMerge w:val="continue"/>
            <w:vAlign w:val="center"/>
          </w:tcPr>
          <w:p>
            <w:pPr>
              <w:rPr>
                <w:rFonts w:hint="default" w:ascii="Times New Roman" w:hAnsi="Times New Roman" w:cs="Times New Roman"/>
                <w:szCs w:val="21"/>
              </w:rPr>
            </w:pPr>
          </w:p>
        </w:tc>
        <w:tc>
          <w:tcPr>
            <w:tcW w:w="297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 xml:space="preserve"> 昼间</w:t>
            </w:r>
          </w:p>
        </w:tc>
        <w:tc>
          <w:tcPr>
            <w:tcW w:w="290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82" w:type="dxa"/>
            <w:vAlign w:val="center"/>
          </w:tcPr>
          <w:p>
            <w:pPr>
              <w:rPr>
                <w:rFonts w:hint="default" w:ascii="Times New Roman" w:hAnsi="Times New Roman" w:cs="Times New Roman"/>
                <w:szCs w:val="21"/>
              </w:rPr>
            </w:pPr>
            <w:r>
              <w:rPr>
                <w:rFonts w:hint="default" w:ascii="Times New Roman" w:hAnsi="Times New Roman" w:cs="Times New Roman"/>
                <w:szCs w:val="21"/>
              </w:rPr>
              <w:t xml:space="preserve">        2</w:t>
            </w:r>
          </w:p>
        </w:tc>
        <w:tc>
          <w:tcPr>
            <w:tcW w:w="2977" w:type="dxa"/>
            <w:vAlign w:val="center"/>
          </w:tcPr>
          <w:p>
            <w:pPr>
              <w:rPr>
                <w:rFonts w:hint="default" w:ascii="Times New Roman" w:hAnsi="Times New Roman" w:cs="Times New Roman"/>
                <w:szCs w:val="21"/>
              </w:rPr>
            </w:pPr>
            <w:r>
              <w:rPr>
                <w:rFonts w:hint="default" w:ascii="Times New Roman" w:hAnsi="Times New Roman" w:cs="Times New Roman"/>
                <w:szCs w:val="21"/>
              </w:rPr>
              <w:t xml:space="preserve">             60</w:t>
            </w:r>
          </w:p>
        </w:tc>
        <w:tc>
          <w:tcPr>
            <w:tcW w:w="2909" w:type="dxa"/>
            <w:vAlign w:val="center"/>
          </w:tcPr>
          <w:p>
            <w:pPr>
              <w:rPr>
                <w:rFonts w:hint="default" w:ascii="Times New Roman" w:hAnsi="Times New Roman" w:cs="Times New Roman"/>
                <w:szCs w:val="21"/>
              </w:rPr>
            </w:pPr>
            <w:r>
              <w:rPr>
                <w:rFonts w:hint="default" w:ascii="Times New Roman" w:hAnsi="Times New Roman" w:cs="Times New Roman"/>
                <w:szCs w:val="21"/>
              </w:rPr>
              <w:t xml:space="preserve">            50</w:t>
            </w:r>
          </w:p>
        </w:tc>
      </w:tr>
    </w:tbl>
    <w:p>
      <w:pPr>
        <w:spacing w:beforeLines="50"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（4）固废</w:t>
      </w:r>
    </w:p>
    <w:p>
      <w:pPr>
        <w:spacing w:line="360" w:lineRule="auto"/>
        <w:ind w:firstLine="480"/>
        <w:rPr>
          <w:rFonts w:hint="default" w:ascii="Times New Roman" w:hAnsi="Times New Roman" w:cs="Times New Roman"/>
          <w:sz w:val="24"/>
          <w:szCs w:val="24"/>
        </w:rPr>
      </w:pPr>
      <w:bookmarkStart w:id="59" w:name="_Toc528252064"/>
      <w:r>
        <w:rPr>
          <w:rFonts w:hint="default" w:ascii="Times New Roman" w:hAnsi="Times New Roman" w:cs="Times New Roman"/>
          <w:sz w:val="24"/>
          <w:szCs w:val="24"/>
        </w:rPr>
        <w:t>一般固体废物执行《畜禽养殖业污染物排放标准》（GB18596-2001）中3.2畜禽养殖业废渣无害化环境标准；危险废物执行《危险废物贮存污染控制标准》（GB18597-2001）及其2013年修改单（环境保护部公告2013年36号）相关要求。病死猪的处理与处置参照《畜禽养殖业污染防治技术规范》（HJ/T81-2001）及《病死及病害动物无害化处理技术规范》中相关规定。</w:t>
      </w:r>
    </w:p>
    <w:p>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表1.4-</w:t>
      </w:r>
      <w:r>
        <w:rPr>
          <w:rFonts w:hint="default" w:ascii="Times New Roman" w:hAnsi="Times New Roman" w:eastAsia="黑体" w:cs="Times New Roman"/>
          <w:sz w:val="24"/>
          <w:szCs w:val="24"/>
          <w:lang w:val="en-US" w:eastAsia="zh-CN"/>
        </w:rPr>
        <w:t>13</w:t>
      </w:r>
      <w:r>
        <w:rPr>
          <w:rFonts w:hint="default" w:ascii="Times New Roman" w:hAnsi="Times New Roman" w:eastAsia="黑体" w:cs="Times New Roman"/>
          <w:sz w:val="24"/>
          <w:szCs w:val="24"/>
        </w:rPr>
        <w:t xml:space="preserve"> 畜禽养殖业废渣无害化环境标准</w:t>
      </w:r>
    </w:p>
    <w:tbl>
      <w:tblPr>
        <w:tblStyle w:val="33"/>
        <w:tblW w:w="900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50"/>
        <w:gridCol w:w="4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4150" w:type="dxa"/>
          </w:tcPr>
          <w:p>
            <w:pPr>
              <w:jc w:val="center"/>
              <w:rPr>
                <w:rFonts w:hint="default" w:ascii="Times New Roman" w:hAnsi="Times New Roman" w:cs="Times New Roman"/>
                <w:szCs w:val="21"/>
              </w:rPr>
            </w:pPr>
            <w:r>
              <w:rPr>
                <w:rFonts w:hint="default" w:ascii="Times New Roman" w:hAnsi="Times New Roman" w:cs="Times New Roman"/>
                <w:szCs w:val="21"/>
              </w:rPr>
              <w:t>控制项目</w:t>
            </w:r>
          </w:p>
        </w:tc>
        <w:tc>
          <w:tcPr>
            <w:tcW w:w="4850" w:type="dxa"/>
          </w:tcPr>
          <w:p>
            <w:pPr>
              <w:jc w:val="center"/>
              <w:rPr>
                <w:rFonts w:hint="default" w:ascii="Times New Roman" w:hAnsi="Times New Roman" w:cs="Times New Roman"/>
                <w:szCs w:val="21"/>
              </w:rPr>
            </w:pPr>
            <w:r>
              <w:rPr>
                <w:rFonts w:hint="default" w:ascii="Times New Roman" w:hAnsi="Times New Roman" w:cs="Times New Roman"/>
                <w:szCs w:val="21"/>
              </w:rPr>
              <w:t>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150" w:type="dxa"/>
          </w:tcPr>
          <w:p>
            <w:pPr>
              <w:jc w:val="center"/>
              <w:rPr>
                <w:rFonts w:hint="default" w:ascii="Times New Roman" w:hAnsi="Times New Roman" w:cs="Times New Roman"/>
                <w:szCs w:val="21"/>
              </w:rPr>
            </w:pPr>
            <w:r>
              <w:rPr>
                <w:rFonts w:hint="default" w:ascii="Times New Roman" w:hAnsi="Times New Roman" w:cs="Times New Roman"/>
                <w:szCs w:val="21"/>
              </w:rPr>
              <w:t>蛔虫卵</w:t>
            </w:r>
          </w:p>
        </w:tc>
        <w:tc>
          <w:tcPr>
            <w:tcW w:w="4850" w:type="dxa"/>
          </w:tcPr>
          <w:p>
            <w:pPr>
              <w:jc w:val="center"/>
              <w:rPr>
                <w:rFonts w:hint="default" w:ascii="Times New Roman" w:hAnsi="Times New Roman" w:cs="Times New Roman"/>
                <w:szCs w:val="21"/>
              </w:rPr>
            </w:pPr>
            <w:r>
              <w:rPr>
                <w:rFonts w:hint="default" w:ascii="Times New Roman" w:hAnsi="Times New Roman" w:cs="Times New Roman"/>
                <w:szCs w:val="21"/>
              </w:rPr>
              <w:t>死亡率≥95%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4150" w:type="dxa"/>
          </w:tcPr>
          <w:p>
            <w:pPr>
              <w:jc w:val="center"/>
              <w:rPr>
                <w:rFonts w:hint="default" w:ascii="Times New Roman" w:hAnsi="Times New Roman" w:cs="Times New Roman"/>
                <w:szCs w:val="21"/>
              </w:rPr>
            </w:pPr>
            <w:r>
              <w:rPr>
                <w:rFonts w:hint="default" w:ascii="Times New Roman" w:hAnsi="Times New Roman" w:cs="Times New Roman"/>
                <w:szCs w:val="21"/>
              </w:rPr>
              <w:t>粪大肠菌群数</w:t>
            </w:r>
          </w:p>
        </w:tc>
        <w:tc>
          <w:tcPr>
            <w:tcW w:w="4850" w:type="dxa"/>
          </w:tcPr>
          <w:p>
            <w:pPr>
              <w:jc w:val="center"/>
              <w:rPr>
                <w:rFonts w:hint="default" w:ascii="Times New Roman" w:hAnsi="Times New Roman" w:cs="Times New Roman"/>
                <w:szCs w:val="21"/>
              </w:rPr>
            </w:pPr>
            <w:r>
              <w:rPr>
                <w:rFonts w:hint="default" w:ascii="Times New Roman" w:hAnsi="Times New Roman" w:cs="Times New Roman"/>
                <w:szCs w:val="21"/>
              </w:rPr>
              <w:t>≤10</w:t>
            </w:r>
            <w:r>
              <w:rPr>
                <w:rFonts w:hint="default" w:ascii="Times New Roman" w:hAnsi="Times New Roman" w:cs="Times New Roman"/>
                <w:szCs w:val="21"/>
                <w:vertAlign w:val="superscript"/>
              </w:rPr>
              <w:t>5</w:t>
            </w:r>
            <w:r>
              <w:rPr>
                <w:rFonts w:hint="default" w:ascii="Times New Roman" w:hAnsi="Times New Roman" w:cs="Times New Roman"/>
                <w:szCs w:val="21"/>
              </w:rPr>
              <w:t>个/kg</w:t>
            </w:r>
          </w:p>
        </w:tc>
      </w:tr>
    </w:tbl>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5）其他按国家有关规定执行</w:t>
      </w:r>
    </w:p>
    <w:p>
      <w:pPr>
        <w:spacing w:line="360" w:lineRule="auto"/>
        <w:outlineLvl w:val="1"/>
        <w:rPr>
          <w:rFonts w:hint="default" w:ascii="Times New Roman" w:hAnsi="Times New Roman" w:cs="Times New Roman"/>
          <w:b/>
          <w:sz w:val="28"/>
          <w:szCs w:val="28"/>
        </w:rPr>
      </w:pPr>
      <w:bookmarkStart w:id="60" w:name="_Toc12259"/>
      <w:r>
        <w:rPr>
          <w:rFonts w:hint="default" w:ascii="Times New Roman" w:hAnsi="Times New Roman" w:cs="Times New Roman"/>
          <w:b/>
          <w:sz w:val="28"/>
          <w:szCs w:val="28"/>
        </w:rPr>
        <w:t xml:space="preserve">1.5 </w:t>
      </w:r>
      <w:bookmarkEnd w:id="59"/>
      <w:r>
        <w:rPr>
          <w:rFonts w:hint="default" w:ascii="Times New Roman" w:hAnsi="Times New Roman" w:cs="Times New Roman"/>
          <w:b/>
          <w:sz w:val="28"/>
          <w:szCs w:val="28"/>
        </w:rPr>
        <w:t>评价工作等级与范围</w:t>
      </w:r>
      <w:bookmarkEnd w:id="60"/>
    </w:p>
    <w:p>
      <w:pPr>
        <w:spacing w:line="360" w:lineRule="auto"/>
        <w:ind w:firstLine="522" w:firstLineChars="200"/>
        <w:outlineLvl w:val="2"/>
        <w:rPr>
          <w:rFonts w:hint="default" w:ascii="Times New Roman" w:hAnsi="Times New Roman" w:cs="Times New Roman"/>
          <w:b/>
          <w:bCs/>
          <w:spacing w:val="10"/>
          <w:sz w:val="24"/>
          <w:szCs w:val="24"/>
        </w:rPr>
      </w:pPr>
      <w:bookmarkStart w:id="61" w:name="_Toc251954803"/>
      <w:bookmarkStart w:id="62" w:name="_Toc258072228"/>
      <w:bookmarkStart w:id="63" w:name="_Toc258073440"/>
      <w:bookmarkStart w:id="64" w:name="_Toc258073618"/>
      <w:bookmarkStart w:id="65" w:name="_Toc258071805"/>
      <w:bookmarkStart w:id="66" w:name="_Toc255920758"/>
      <w:bookmarkStart w:id="67" w:name="_Toc258073262"/>
      <w:r>
        <w:rPr>
          <w:rFonts w:hint="default" w:ascii="Times New Roman" w:hAnsi="Times New Roman" w:cs="Times New Roman"/>
          <w:b/>
          <w:bCs/>
          <w:spacing w:val="10"/>
          <w:sz w:val="24"/>
          <w:szCs w:val="24"/>
        </w:rPr>
        <w:t xml:space="preserve">1.5.1 </w:t>
      </w:r>
      <w:bookmarkEnd w:id="61"/>
      <w:bookmarkEnd w:id="62"/>
      <w:bookmarkEnd w:id="63"/>
      <w:bookmarkEnd w:id="64"/>
      <w:bookmarkEnd w:id="65"/>
      <w:bookmarkEnd w:id="66"/>
      <w:bookmarkEnd w:id="67"/>
      <w:r>
        <w:rPr>
          <w:rFonts w:hint="default" w:ascii="Times New Roman" w:hAnsi="Times New Roman" w:cs="Times New Roman"/>
          <w:b/>
          <w:bCs/>
          <w:spacing w:val="10"/>
          <w:sz w:val="24"/>
          <w:szCs w:val="24"/>
        </w:rPr>
        <w:t>大气</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（1）评价等级</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大气环境影响评价工作等级根据评价项目的主要污染物排放量、周围地形的复杂程度以及当地执行的大气环境质量标准等因素确定。大气污染物主要为圈舍及粪污处理过程中产生的恶臭（以H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计）。根据《环境影响评价技术导则—大气环境》（HJ2.2－2018）的规定，环境空气评价等级按最大地面空气质量浓度占标率来判断。</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表1.5-1   大气环境影响评价等级划分</w:t>
      </w:r>
    </w:p>
    <w:tbl>
      <w:tblPr>
        <w:tblStyle w:val="33"/>
        <w:tblW w:w="87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20"/>
        <w:gridCol w:w="59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820" w:type="dxa"/>
            <w:vAlign w:val="center"/>
          </w:tcPr>
          <w:p>
            <w:pPr>
              <w:snapToGrid w:val="0"/>
              <w:jc w:val="center"/>
              <w:rPr>
                <w:rFonts w:hint="default" w:ascii="Times New Roman" w:hAnsi="Times New Roman" w:cs="Times New Roman"/>
                <w:b/>
                <w:szCs w:val="21"/>
              </w:rPr>
            </w:pPr>
            <w:r>
              <w:rPr>
                <w:rFonts w:hint="default" w:ascii="Times New Roman" w:hAnsi="Times New Roman" w:cs="Times New Roman"/>
                <w:b/>
                <w:szCs w:val="21"/>
              </w:rPr>
              <w:t>评价工作等级</w:t>
            </w:r>
          </w:p>
        </w:tc>
        <w:tc>
          <w:tcPr>
            <w:tcW w:w="5966" w:type="dxa"/>
            <w:vAlign w:val="center"/>
          </w:tcPr>
          <w:p>
            <w:pPr>
              <w:snapToGrid w:val="0"/>
              <w:jc w:val="center"/>
              <w:rPr>
                <w:rFonts w:hint="default" w:ascii="Times New Roman" w:hAnsi="Times New Roman" w:cs="Times New Roman"/>
                <w:b/>
                <w:szCs w:val="21"/>
              </w:rPr>
            </w:pPr>
            <w:r>
              <w:rPr>
                <w:rFonts w:hint="default" w:ascii="Times New Roman" w:hAnsi="Times New Roman" w:cs="Times New Roman"/>
                <w:b/>
                <w:szCs w:val="21"/>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820" w:type="dxa"/>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一级</w:t>
            </w:r>
          </w:p>
        </w:tc>
        <w:tc>
          <w:tcPr>
            <w:tcW w:w="5966" w:type="dxa"/>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820" w:type="dxa"/>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二级</w:t>
            </w:r>
          </w:p>
        </w:tc>
        <w:tc>
          <w:tcPr>
            <w:tcW w:w="5966" w:type="dxa"/>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1%≤Pmax＜10%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820" w:type="dxa"/>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三级</w:t>
            </w:r>
          </w:p>
        </w:tc>
        <w:tc>
          <w:tcPr>
            <w:tcW w:w="5966" w:type="dxa"/>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Pmax＜1%</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其中P</w:t>
      </w:r>
      <w:r>
        <w:rPr>
          <w:rFonts w:hint="default" w:ascii="Times New Roman" w:hAnsi="Times New Roman" w:cs="Times New Roman"/>
          <w:sz w:val="24"/>
          <w:szCs w:val="24"/>
          <w:vertAlign w:val="subscript"/>
        </w:rPr>
        <w:t>max</w:t>
      </w:r>
      <w:r>
        <w:rPr>
          <w:rFonts w:hint="default" w:ascii="Times New Roman" w:hAnsi="Times New Roman" w:cs="Times New Roman"/>
          <w:sz w:val="24"/>
          <w:szCs w:val="24"/>
        </w:rPr>
        <w:t>为选择的主要污染物的最大地面空气质量浓度占标率Pi值最大者。其中Pi定义为：</w:t>
      </w:r>
    </w:p>
    <w:p>
      <w:pPr>
        <w:ind w:firstLine="720" w:firstLineChars="300"/>
        <w:jc w:val="center"/>
        <w:rPr>
          <w:rFonts w:hint="default" w:ascii="Times New Roman" w:hAnsi="Times New Roman" w:cs="Times New Roman"/>
          <w:sz w:val="24"/>
          <w:szCs w:val="24"/>
        </w:rPr>
      </w:pPr>
      <w:r>
        <w:rPr>
          <w:rFonts w:hint="default" w:ascii="Times New Roman" w:hAnsi="Times New Roman" w:cs="Times New Roman"/>
          <w:position w:val="-30"/>
          <w:sz w:val="24"/>
          <w:szCs w:val="24"/>
        </w:rPr>
        <w:object>
          <v:shape id="_x0000_i1025" o:spt="75" type="#_x0000_t75" style="height:33.8pt;width:78.25pt;" o:ole="t" filled="f" o:preferrelative="t" stroked="f" coordsize="21600,21600">
            <v:path/>
            <v:fill on="f" focussize="0,0"/>
            <v:stroke on="f" joinstyle="miter"/>
            <v:imagedata r:id="rId20" o:title=""/>
            <o:lock v:ext="edit" aspectratio="t"/>
            <w10:wrap type="none"/>
            <w10:anchorlock/>
          </v:shape>
          <o:OLEObject Type="Embed" ProgID="Equation.KSEE3" ShapeID="_x0000_i1025" DrawAspect="Content" ObjectID="_1468075725" r:id="rId19">
            <o:LockedField>false</o:LockedField>
          </o:OLEObject>
        </w:objec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P</w:t>
      </w:r>
      <w:r>
        <w:rPr>
          <w:rFonts w:hint="default" w:ascii="Times New Roman" w:hAnsi="Times New Roman" w:cs="Times New Roman"/>
          <w:sz w:val="24"/>
          <w:szCs w:val="24"/>
          <w:vertAlign w:val="subscript"/>
        </w:rPr>
        <w:t>i</w:t>
      </w:r>
      <w:r>
        <w:rPr>
          <w:rFonts w:hint="default" w:ascii="Times New Roman" w:hAnsi="Times New Roman" w:cs="Times New Roman"/>
          <w:sz w:val="24"/>
          <w:szCs w:val="24"/>
        </w:rPr>
        <w:t>—第i个污染物的最大地面浓度占标率，%；</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C</w:t>
      </w:r>
      <w:r>
        <w:rPr>
          <w:rFonts w:hint="default" w:ascii="Times New Roman" w:hAnsi="Times New Roman" w:cs="Times New Roman"/>
          <w:sz w:val="24"/>
          <w:szCs w:val="24"/>
          <w:vertAlign w:val="subscript"/>
        </w:rPr>
        <w:t>i</w:t>
      </w:r>
      <w:r>
        <w:rPr>
          <w:rFonts w:hint="default" w:ascii="Times New Roman" w:hAnsi="Times New Roman" w:cs="Times New Roman"/>
          <w:sz w:val="24"/>
          <w:szCs w:val="24"/>
        </w:rPr>
        <w:t>—采用估算模型计算出的第i个污染物的最大1h地面空气质量浓度，ug/m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C</w:t>
      </w:r>
      <w:r>
        <w:rPr>
          <w:rFonts w:hint="default" w:ascii="Times New Roman" w:hAnsi="Times New Roman" w:cs="Times New Roman"/>
          <w:sz w:val="24"/>
          <w:szCs w:val="24"/>
          <w:vertAlign w:val="subscript"/>
        </w:rPr>
        <w:t>0i</w:t>
      </w:r>
      <w:r>
        <w:rPr>
          <w:rFonts w:hint="default" w:ascii="Times New Roman" w:hAnsi="Times New Roman" w:cs="Times New Roman"/>
          <w:sz w:val="24"/>
          <w:szCs w:val="24"/>
        </w:rPr>
        <w:t>—第i个污染物的环境空气质量浓度标准，ug/m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（一般选取GB3095中1h平均质量浓度的二级浓度限值）。</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（2）评价因子及评价标准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根据工程分析，本项目无组织排放的恶臭气体以H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S和NH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为主，本次环评选取H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S和NH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为预测因子。</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本项目评价因子及评价标准详见下表。</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表1.5-2  评价因子和评价标准表</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1408"/>
        <w:gridCol w:w="2339"/>
        <w:gridCol w:w="43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2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评价因子</w:t>
            </w:r>
          </w:p>
        </w:tc>
        <w:tc>
          <w:tcPr>
            <w:tcW w:w="140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平均时段</w:t>
            </w:r>
          </w:p>
        </w:tc>
        <w:tc>
          <w:tcPr>
            <w:tcW w:w="233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标准值/（ug/m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434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2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H</w:t>
            </w:r>
            <w:r>
              <w:rPr>
                <w:rFonts w:hint="default" w:ascii="Times New Roman" w:hAnsi="Times New Roman" w:cs="Times New Roman"/>
                <w:szCs w:val="21"/>
                <w:vertAlign w:val="subscript"/>
              </w:rPr>
              <w:t>2</w:t>
            </w:r>
            <w:r>
              <w:rPr>
                <w:rFonts w:hint="default" w:ascii="Times New Roman" w:hAnsi="Times New Roman" w:cs="Times New Roman"/>
                <w:szCs w:val="21"/>
              </w:rPr>
              <w:t>S</w:t>
            </w:r>
          </w:p>
        </w:tc>
        <w:tc>
          <w:tcPr>
            <w:tcW w:w="140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1h</w:t>
            </w:r>
          </w:p>
        </w:tc>
        <w:tc>
          <w:tcPr>
            <w:tcW w:w="233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4344"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《环境影响评价技术导则—大气环境》（HJ 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2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p>
        </w:tc>
        <w:tc>
          <w:tcPr>
            <w:tcW w:w="140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1h</w:t>
            </w:r>
          </w:p>
        </w:tc>
        <w:tc>
          <w:tcPr>
            <w:tcW w:w="233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200</w:t>
            </w:r>
          </w:p>
        </w:tc>
        <w:tc>
          <w:tcPr>
            <w:tcW w:w="4344" w:type="dxa"/>
            <w:vMerge w:val="continue"/>
            <w:vAlign w:val="center"/>
          </w:tcPr>
          <w:p>
            <w:pPr>
              <w:jc w:val="center"/>
              <w:rPr>
                <w:rFonts w:hint="default" w:ascii="Times New Roman" w:hAnsi="Times New Roman" w:cs="Times New Roman"/>
                <w:szCs w:val="21"/>
              </w:rPr>
            </w:pP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（3）估算模型参数</w:t>
      </w:r>
    </w:p>
    <w:p>
      <w:pPr>
        <w:spacing w:line="360" w:lineRule="auto"/>
        <w:ind w:firstLine="480"/>
        <w:rPr>
          <w:rFonts w:hint="default" w:ascii="Times New Roman" w:hAnsi="Times New Roman" w:cs="Times New Roman"/>
          <w:bCs/>
          <w:sz w:val="24"/>
          <w:szCs w:val="24"/>
        </w:rPr>
      </w:pPr>
      <w:r>
        <w:rPr>
          <w:rFonts w:hint="default" w:ascii="Times New Roman" w:hAnsi="Times New Roman" w:cs="Times New Roman"/>
          <w:bCs/>
          <w:sz w:val="24"/>
          <w:szCs w:val="24"/>
        </w:rPr>
        <w:t>本项目估算模型参数见下表。</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表1.5-3  估算模型参数表</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3"/>
        <w:gridCol w:w="4032"/>
        <w:gridCol w:w="3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7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参数</w:t>
            </w:r>
          </w:p>
        </w:tc>
        <w:tc>
          <w:tcPr>
            <w:tcW w:w="303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43"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城市/农村选项</w:t>
            </w:r>
          </w:p>
        </w:tc>
        <w:tc>
          <w:tcPr>
            <w:tcW w:w="40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城市/农村</w:t>
            </w:r>
          </w:p>
        </w:tc>
        <w:tc>
          <w:tcPr>
            <w:tcW w:w="303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43" w:type="dxa"/>
            <w:vMerge w:val="continue"/>
            <w:vAlign w:val="center"/>
          </w:tcPr>
          <w:p>
            <w:pPr>
              <w:jc w:val="center"/>
              <w:rPr>
                <w:rFonts w:hint="default" w:ascii="Times New Roman" w:hAnsi="Times New Roman" w:cs="Times New Roman"/>
                <w:szCs w:val="21"/>
              </w:rPr>
            </w:pPr>
          </w:p>
        </w:tc>
        <w:tc>
          <w:tcPr>
            <w:tcW w:w="40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人口数（城市选项时）</w:t>
            </w:r>
          </w:p>
        </w:tc>
        <w:tc>
          <w:tcPr>
            <w:tcW w:w="303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7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最高环境温度/℃</w:t>
            </w:r>
          </w:p>
        </w:tc>
        <w:tc>
          <w:tcPr>
            <w:tcW w:w="303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7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最低环境温度/℃</w:t>
            </w:r>
          </w:p>
        </w:tc>
        <w:tc>
          <w:tcPr>
            <w:tcW w:w="303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7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土地利用类型</w:t>
            </w:r>
          </w:p>
        </w:tc>
        <w:tc>
          <w:tcPr>
            <w:tcW w:w="303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7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区域湿度条件</w:t>
            </w:r>
          </w:p>
        </w:tc>
        <w:tc>
          <w:tcPr>
            <w:tcW w:w="303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潮湿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43"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是否考虑地形</w:t>
            </w:r>
          </w:p>
        </w:tc>
        <w:tc>
          <w:tcPr>
            <w:tcW w:w="40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考虑地形</w:t>
            </w:r>
          </w:p>
        </w:tc>
        <w:tc>
          <w:tcPr>
            <w:tcW w:w="303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☑是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43" w:type="dxa"/>
            <w:vMerge w:val="continue"/>
            <w:vAlign w:val="center"/>
          </w:tcPr>
          <w:p>
            <w:pPr>
              <w:jc w:val="center"/>
              <w:rPr>
                <w:rFonts w:hint="default" w:ascii="Times New Roman" w:hAnsi="Times New Roman" w:cs="Times New Roman"/>
                <w:szCs w:val="21"/>
              </w:rPr>
            </w:pPr>
          </w:p>
        </w:tc>
        <w:tc>
          <w:tcPr>
            <w:tcW w:w="40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地形数据分辨率/m</w:t>
            </w:r>
          </w:p>
        </w:tc>
        <w:tc>
          <w:tcPr>
            <w:tcW w:w="303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43"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是否考虑岸线熏烟</w:t>
            </w:r>
          </w:p>
        </w:tc>
        <w:tc>
          <w:tcPr>
            <w:tcW w:w="40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考虑岸线熏烟</w:t>
            </w:r>
          </w:p>
        </w:tc>
        <w:tc>
          <w:tcPr>
            <w:tcW w:w="303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□是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43" w:type="dxa"/>
            <w:vMerge w:val="continue"/>
            <w:vAlign w:val="center"/>
          </w:tcPr>
          <w:p>
            <w:pPr>
              <w:jc w:val="center"/>
              <w:rPr>
                <w:rFonts w:hint="default" w:ascii="Times New Roman" w:hAnsi="Times New Roman" w:cs="Times New Roman"/>
                <w:szCs w:val="21"/>
              </w:rPr>
            </w:pPr>
          </w:p>
        </w:tc>
        <w:tc>
          <w:tcPr>
            <w:tcW w:w="40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岸线距离/km</w:t>
            </w:r>
          </w:p>
        </w:tc>
        <w:tc>
          <w:tcPr>
            <w:tcW w:w="303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43" w:type="dxa"/>
            <w:vMerge w:val="continue"/>
            <w:vAlign w:val="center"/>
          </w:tcPr>
          <w:p>
            <w:pPr>
              <w:jc w:val="center"/>
              <w:rPr>
                <w:rFonts w:hint="default" w:ascii="Times New Roman" w:hAnsi="Times New Roman" w:cs="Times New Roman"/>
                <w:szCs w:val="21"/>
              </w:rPr>
            </w:pPr>
          </w:p>
        </w:tc>
        <w:tc>
          <w:tcPr>
            <w:tcW w:w="403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岸线方向/°</w:t>
            </w:r>
          </w:p>
        </w:tc>
        <w:tc>
          <w:tcPr>
            <w:tcW w:w="303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bl>
    <w:p>
      <w:pPr>
        <w:spacing w:line="360" w:lineRule="auto"/>
        <w:ind w:firstLine="480" w:firstLineChars="20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④主要污染源调查</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根据工程分析，本项目无组织排放的恶臭气体以H</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S和NH</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rPr>
        <w:t>为主，本次环评选取H</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S和NH</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rPr>
        <w:t>为预测因子。</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表1.5-4   项目主要</w:t>
      </w:r>
      <w:r>
        <w:rPr>
          <w:rFonts w:hint="eastAsia" w:ascii="Times New Roman" w:hAnsi="Times New Roman" w:eastAsia="黑体" w:cs="Times New Roman"/>
          <w:bCs/>
          <w:sz w:val="24"/>
          <w:szCs w:val="24"/>
          <w:lang w:eastAsia="zh-CN"/>
        </w:rPr>
        <w:t>点源</w:t>
      </w:r>
      <w:r>
        <w:rPr>
          <w:rFonts w:hint="default" w:ascii="Times New Roman" w:hAnsi="Times New Roman" w:eastAsia="黑体" w:cs="Times New Roman"/>
          <w:bCs/>
          <w:sz w:val="24"/>
          <w:szCs w:val="24"/>
        </w:rPr>
        <w:t>参数一览表</w:t>
      </w:r>
    </w:p>
    <w:tbl>
      <w:tblPr>
        <w:tblStyle w:val="33"/>
        <w:tblW w:w="97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623"/>
        <w:gridCol w:w="1218"/>
        <w:gridCol w:w="1236"/>
        <w:gridCol w:w="1235"/>
        <w:gridCol w:w="1219"/>
        <w:gridCol w:w="731"/>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743" w:type="dxa"/>
            <w:vMerge w:val="restart"/>
            <w:noWrap w:val="0"/>
            <w:vAlign w:val="center"/>
          </w:tcPr>
          <w:p>
            <w:pPr>
              <w:tabs>
                <w:tab w:val="center" w:pos="4153"/>
                <w:tab w:val="right" w:pos="8306"/>
              </w:tabs>
              <w:jc w:val="center"/>
              <w:rPr>
                <w:rFonts w:ascii="Times New Roman" w:hAnsi="Times New Roman"/>
                <w:sz w:val="21"/>
                <w:szCs w:val="21"/>
              </w:rPr>
            </w:pPr>
            <w:r>
              <w:rPr>
                <w:rFonts w:ascii="Times New Roman" w:hAnsi="Times New Roman"/>
                <w:sz w:val="21"/>
                <w:szCs w:val="21"/>
              </w:rPr>
              <w:t>编号</w:t>
            </w:r>
          </w:p>
        </w:tc>
        <w:tc>
          <w:tcPr>
            <w:tcW w:w="1623" w:type="dxa"/>
            <w:vMerge w:val="restart"/>
            <w:noWrap w:val="0"/>
            <w:vAlign w:val="center"/>
          </w:tcPr>
          <w:p>
            <w:pPr>
              <w:tabs>
                <w:tab w:val="center" w:pos="4153"/>
                <w:tab w:val="right" w:pos="8306"/>
              </w:tabs>
              <w:jc w:val="center"/>
              <w:rPr>
                <w:rFonts w:ascii="Times New Roman" w:hAnsi="Times New Roman"/>
                <w:sz w:val="21"/>
                <w:szCs w:val="21"/>
              </w:rPr>
            </w:pPr>
            <w:r>
              <w:rPr>
                <w:rFonts w:ascii="Times New Roman" w:hAnsi="Times New Roman"/>
                <w:sz w:val="21"/>
                <w:szCs w:val="21"/>
              </w:rPr>
              <w:t>名称</w:t>
            </w:r>
          </w:p>
        </w:tc>
        <w:tc>
          <w:tcPr>
            <w:tcW w:w="1218" w:type="dxa"/>
            <w:vMerge w:val="restart"/>
            <w:noWrap w:val="0"/>
            <w:vAlign w:val="center"/>
          </w:tcPr>
          <w:p>
            <w:pPr>
              <w:tabs>
                <w:tab w:val="center" w:pos="4153"/>
                <w:tab w:val="right" w:pos="8306"/>
              </w:tabs>
              <w:jc w:val="center"/>
              <w:rPr>
                <w:rFonts w:ascii="Times New Roman" w:hAnsi="Times New Roman"/>
                <w:sz w:val="21"/>
                <w:szCs w:val="21"/>
              </w:rPr>
            </w:pPr>
            <w:r>
              <w:rPr>
                <w:rFonts w:ascii="Times New Roman" w:hAnsi="Times New Roman"/>
                <w:sz w:val="21"/>
                <w:szCs w:val="21"/>
              </w:rPr>
              <w:t>排气筒高度/m</w:t>
            </w:r>
          </w:p>
        </w:tc>
        <w:tc>
          <w:tcPr>
            <w:tcW w:w="1236" w:type="dxa"/>
            <w:vMerge w:val="restart"/>
            <w:noWrap w:val="0"/>
            <w:vAlign w:val="center"/>
          </w:tcPr>
          <w:p>
            <w:pPr>
              <w:tabs>
                <w:tab w:val="center" w:pos="4153"/>
                <w:tab w:val="right" w:pos="8306"/>
              </w:tabs>
              <w:jc w:val="center"/>
              <w:rPr>
                <w:rFonts w:ascii="Times New Roman" w:hAnsi="Times New Roman"/>
                <w:sz w:val="21"/>
                <w:szCs w:val="21"/>
              </w:rPr>
            </w:pPr>
            <w:r>
              <w:rPr>
                <w:rFonts w:ascii="Times New Roman" w:hAnsi="Times New Roman"/>
                <w:sz w:val="21"/>
                <w:szCs w:val="21"/>
              </w:rPr>
              <w:t>排气筒出口内径/m</w:t>
            </w:r>
          </w:p>
        </w:tc>
        <w:tc>
          <w:tcPr>
            <w:tcW w:w="1235" w:type="dxa"/>
            <w:vMerge w:val="restart"/>
            <w:noWrap w:val="0"/>
            <w:vAlign w:val="center"/>
          </w:tcPr>
          <w:p>
            <w:pPr>
              <w:tabs>
                <w:tab w:val="center" w:pos="4153"/>
                <w:tab w:val="right" w:pos="8306"/>
              </w:tabs>
              <w:jc w:val="center"/>
              <w:rPr>
                <w:rFonts w:ascii="Times New Roman" w:hAnsi="Times New Roman"/>
                <w:sz w:val="21"/>
                <w:szCs w:val="21"/>
              </w:rPr>
            </w:pPr>
            <w:r>
              <w:rPr>
                <w:rFonts w:ascii="Times New Roman" w:hAnsi="Times New Roman"/>
                <w:sz w:val="21"/>
                <w:szCs w:val="21"/>
              </w:rPr>
              <w:t>烟气温度</w:t>
            </w:r>
          </w:p>
          <w:p>
            <w:pPr>
              <w:tabs>
                <w:tab w:val="center" w:pos="4153"/>
                <w:tab w:val="right" w:pos="8306"/>
              </w:tabs>
              <w:jc w:val="center"/>
              <w:rPr>
                <w:rFonts w:ascii="Times New Roman" w:hAnsi="Times New Roman"/>
                <w:sz w:val="21"/>
                <w:szCs w:val="21"/>
              </w:rPr>
            </w:pPr>
            <w:r>
              <w:rPr>
                <w:rFonts w:ascii="Times New Roman" w:hAnsi="Times New Roman"/>
                <w:sz w:val="21"/>
                <w:szCs w:val="21"/>
              </w:rPr>
              <w:t>/℃</w:t>
            </w:r>
          </w:p>
        </w:tc>
        <w:tc>
          <w:tcPr>
            <w:tcW w:w="1219" w:type="dxa"/>
            <w:vMerge w:val="restart"/>
            <w:noWrap w:val="0"/>
            <w:vAlign w:val="center"/>
          </w:tcPr>
          <w:p>
            <w:pPr>
              <w:tabs>
                <w:tab w:val="center" w:pos="4153"/>
                <w:tab w:val="right" w:pos="8306"/>
              </w:tabs>
              <w:jc w:val="center"/>
              <w:rPr>
                <w:rFonts w:ascii="Times New Roman" w:hAnsi="Times New Roman"/>
                <w:sz w:val="21"/>
                <w:szCs w:val="21"/>
              </w:rPr>
            </w:pPr>
            <w:r>
              <w:rPr>
                <w:rFonts w:ascii="Times New Roman" w:hAnsi="Times New Roman"/>
                <w:sz w:val="21"/>
                <w:szCs w:val="21"/>
              </w:rPr>
              <w:t>年排放小时数/h</w:t>
            </w:r>
          </w:p>
        </w:tc>
        <w:tc>
          <w:tcPr>
            <w:tcW w:w="731" w:type="dxa"/>
            <w:vMerge w:val="restart"/>
            <w:noWrap w:val="0"/>
            <w:vAlign w:val="center"/>
          </w:tcPr>
          <w:p>
            <w:pPr>
              <w:tabs>
                <w:tab w:val="center" w:pos="4153"/>
                <w:tab w:val="right" w:pos="8306"/>
              </w:tabs>
              <w:jc w:val="center"/>
              <w:rPr>
                <w:rFonts w:ascii="Times New Roman" w:hAnsi="Times New Roman"/>
                <w:sz w:val="21"/>
                <w:szCs w:val="21"/>
              </w:rPr>
            </w:pPr>
            <w:r>
              <w:rPr>
                <w:rFonts w:ascii="Times New Roman" w:hAnsi="Times New Roman"/>
                <w:sz w:val="21"/>
                <w:szCs w:val="21"/>
              </w:rPr>
              <w:t>排放工况</w:t>
            </w:r>
          </w:p>
        </w:tc>
        <w:tc>
          <w:tcPr>
            <w:tcW w:w="1708" w:type="dxa"/>
            <w:vMerge w:val="restart"/>
            <w:noWrap w:val="0"/>
            <w:vAlign w:val="center"/>
          </w:tcPr>
          <w:p>
            <w:pPr>
              <w:tabs>
                <w:tab w:val="center" w:pos="4153"/>
                <w:tab w:val="right" w:pos="8306"/>
              </w:tabs>
              <w:jc w:val="center"/>
              <w:rPr>
                <w:rFonts w:ascii="Times New Roman" w:hAnsi="Times New Roman"/>
                <w:sz w:val="21"/>
                <w:szCs w:val="21"/>
              </w:rPr>
            </w:pPr>
            <w:r>
              <w:rPr>
                <w:rFonts w:ascii="Times New Roman" w:hAnsi="Times New Roman"/>
                <w:sz w:val="21"/>
                <w:szCs w:val="21"/>
              </w:rPr>
              <w:t>污染物排放速率(g/</w:t>
            </w:r>
            <w:r>
              <w:rPr>
                <w:rFonts w:hint="eastAsia" w:ascii="Times New Roman" w:hAnsi="Times New Roman"/>
                <w:sz w:val="21"/>
                <w:szCs w:val="21"/>
                <w:lang w:val="en-US" w:eastAsia="zh-CN"/>
              </w:rPr>
              <w:t>s</w:t>
            </w:r>
            <w:r>
              <w:rPr>
                <w:rFonts w:ascii="Times New Roman" w:hAns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noWrap w:val="0"/>
            <w:vAlign w:val="center"/>
          </w:tcPr>
          <w:p>
            <w:pPr>
              <w:tabs>
                <w:tab w:val="center" w:pos="4153"/>
                <w:tab w:val="right" w:pos="8306"/>
              </w:tabs>
              <w:jc w:val="center"/>
              <w:rPr>
                <w:rFonts w:ascii="Times New Roman" w:hAnsi="Times New Roman"/>
                <w:sz w:val="21"/>
                <w:szCs w:val="21"/>
              </w:rPr>
            </w:pPr>
          </w:p>
        </w:tc>
        <w:tc>
          <w:tcPr>
            <w:tcW w:w="1623" w:type="dxa"/>
            <w:vMerge w:val="continue"/>
            <w:noWrap w:val="0"/>
            <w:vAlign w:val="center"/>
          </w:tcPr>
          <w:p>
            <w:pPr>
              <w:tabs>
                <w:tab w:val="center" w:pos="4153"/>
                <w:tab w:val="right" w:pos="8306"/>
              </w:tabs>
              <w:jc w:val="center"/>
              <w:rPr>
                <w:rFonts w:ascii="Times New Roman" w:hAnsi="Times New Roman"/>
                <w:sz w:val="21"/>
                <w:szCs w:val="21"/>
              </w:rPr>
            </w:pPr>
          </w:p>
        </w:tc>
        <w:tc>
          <w:tcPr>
            <w:tcW w:w="1218" w:type="dxa"/>
            <w:vMerge w:val="continue"/>
            <w:noWrap w:val="0"/>
            <w:vAlign w:val="center"/>
          </w:tcPr>
          <w:p>
            <w:pPr>
              <w:tabs>
                <w:tab w:val="center" w:pos="4153"/>
                <w:tab w:val="right" w:pos="8306"/>
              </w:tabs>
              <w:jc w:val="center"/>
              <w:rPr>
                <w:rFonts w:ascii="Times New Roman" w:hAnsi="Times New Roman"/>
                <w:sz w:val="21"/>
                <w:szCs w:val="21"/>
              </w:rPr>
            </w:pPr>
          </w:p>
        </w:tc>
        <w:tc>
          <w:tcPr>
            <w:tcW w:w="1236" w:type="dxa"/>
            <w:vMerge w:val="continue"/>
            <w:noWrap w:val="0"/>
            <w:vAlign w:val="center"/>
          </w:tcPr>
          <w:p>
            <w:pPr>
              <w:tabs>
                <w:tab w:val="center" w:pos="4153"/>
                <w:tab w:val="right" w:pos="8306"/>
              </w:tabs>
              <w:jc w:val="center"/>
              <w:rPr>
                <w:rFonts w:ascii="Times New Roman" w:hAnsi="Times New Roman"/>
                <w:sz w:val="21"/>
                <w:szCs w:val="21"/>
              </w:rPr>
            </w:pPr>
          </w:p>
        </w:tc>
        <w:tc>
          <w:tcPr>
            <w:tcW w:w="1235" w:type="dxa"/>
            <w:vMerge w:val="continue"/>
            <w:noWrap w:val="0"/>
            <w:vAlign w:val="center"/>
          </w:tcPr>
          <w:p>
            <w:pPr>
              <w:tabs>
                <w:tab w:val="center" w:pos="4153"/>
                <w:tab w:val="right" w:pos="8306"/>
              </w:tabs>
              <w:jc w:val="center"/>
              <w:rPr>
                <w:rFonts w:ascii="Times New Roman" w:hAnsi="Times New Roman"/>
                <w:sz w:val="21"/>
                <w:szCs w:val="21"/>
              </w:rPr>
            </w:pPr>
          </w:p>
        </w:tc>
        <w:tc>
          <w:tcPr>
            <w:tcW w:w="1219" w:type="dxa"/>
            <w:vMerge w:val="continue"/>
            <w:noWrap w:val="0"/>
            <w:vAlign w:val="center"/>
          </w:tcPr>
          <w:p>
            <w:pPr>
              <w:tabs>
                <w:tab w:val="center" w:pos="4153"/>
                <w:tab w:val="right" w:pos="8306"/>
              </w:tabs>
              <w:jc w:val="center"/>
              <w:rPr>
                <w:rFonts w:ascii="Times New Roman" w:hAnsi="Times New Roman"/>
                <w:sz w:val="21"/>
                <w:szCs w:val="21"/>
              </w:rPr>
            </w:pPr>
          </w:p>
        </w:tc>
        <w:tc>
          <w:tcPr>
            <w:tcW w:w="731" w:type="dxa"/>
            <w:vMerge w:val="continue"/>
            <w:noWrap w:val="0"/>
            <w:vAlign w:val="center"/>
          </w:tcPr>
          <w:p>
            <w:pPr>
              <w:tabs>
                <w:tab w:val="center" w:pos="4153"/>
                <w:tab w:val="right" w:pos="8306"/>
              </w:tabs>
              <w:jc w:val="center"/>
              <w:rPr>
                <w:rFonts w:ascii="Times New Roman" w:hAnsi="Times New Roman"/>
                <w:sz w:val="21"/>
                <w:szCs w:val="21"/>
              </w:rPr>
            </w:pPr>
          </w:p>
        </w:tc>
        <w:tc>
          <w:tcPr>
            <w:tcW w:w="1708" w:type="dxa"/>
            <w:vMerge w:val="continue"/>
            <w:noWrap w:val="0"/>
            <w:vAlign w:val="center"/>
          </w:tcPr>
          <w:p>
            <w:pPr>
              <w:tabs>
                <w:tab w:val="center" w:pos="4153"/>
                <w:tab w:val="right" w:pos="8306"/>
              </w:tabs>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jc w:val="center"/>
        </w:trPr>
        <w:tc>
          <w:tcPr>
            <w:tcW w:w="743" w:type="dxa"/>
            <w:vMerge w:val="restart"/>
            <w:noWrap w:val="0"/>
            <w:vAlign w:val="center"/>
          </w:tcPr>
          <w:p>
            <w:pPr>
              <w:tabs>
                <w:tab w:val="center" w:pos="4153"/>
                <w:tab w:val="right" w:pos="8306"/>
              </w:tabs>
              <w:jc w:val="center"/>
              <w:rPr>
                <w:rFonts w:hint="eastAsia" w:ascii="Times New Roman" w:hAnsi="Times New Roman" w:eastAsia="宋体"/>
                <w:sz w:val="21"/>
                <w:szCs w:val="21"/>
                <w:lang w:val="en-US" w:eastAsia="zh-CN"/>
              </w:rPr>
            </w:pPr>
            <w:r>
              <w:rPr>
                <w:rFonts w:ascii="Times New Roman" w:hAnsi="Times New Roman"/>
                <w:sz w:val="21"/>
                <w:szCs w:val="21"/>
              </w:rPr>
              <w:t>G1</w:t>
            </w:r>
          </w:p>
        </w:tc>
        <w:tc>
          <w:tcPr>
            <w:tcW w:w="1623" w:type="dxa"/>
            <w:noWrap w:val="0"/>
            <w:vAlign w:val="center"/>
          </w:tcPr>
          <w:p>
            <w:pPr>
              <w:tabs>
                <w:tab w:val="center" w:pos="4153"/>
                <w:tab w:val="right" w:pos="8306"/>
              </w:tabs>
              <w:jc w:val="center"/>
              <w:rPr>
                <w:rFonts w:ascii="Times New Roman" w:hAnsi="Times New Roman"/>
                <w:sz w:val="21"/>
                <w:szCs w:val="21"/>
              </w:rPr>
            </w:pPr>
            <w:r>
              <w:rPr>
                <w:rFonts w:ascii="Times New Roman" w:hAnsi="Times New Roman"/>
              </w:rPr>
              <w:t>NH</w:t>
            </w:r>
            <w:r>
              <w:rPr>
                <w:rFonts w:ascii="Times New Roman" w:hAnsi="Times New Roman"/>
                <w:vertAlign w:val="subscript"/>
              </w:rPr>
              <w:t>3</w:t>
            </w:r>
          </w:p>
        </w:tc>
        <w:tc>
          <w:tcPr>
            <w:tcW w:w="1218" w:type="dxa"/>
            <w:noWrap w:val="0"/>
            <w:vAlign w:val="center"/>
          </w:tcPr>
          <w:p>
            <w:pPr>
              <w:tabs>
                <w:tab w:val="center" w:pos="4153"/>
                <w:tab w:val="right" w:pos="8306"/>
              </w:tabs>
              <w:jc w:val="center"/>
              <w:rPr>
                <w:rFonts w:ascii="Times New Roman" w:hAnsi="Times New Roman"/>
                <w:sz w:val="21"/>
                <w:szCs w:val="21"/>
              </w:rPr>
            </w:pPr>
            <w:r>
              <w:rPr>
                <w:rFonts w:hint="eastAsia" w:ascii="Times New Roman" w:hAnsi="Times New Roman"/>
                <w:sz w:val="21"/>
                <w:szCs w:val="21"/>
              </w:rPr>
              <w:t>15</w:t>
            </w:r>
          </w:p>
        </w:tc>
        <w:tc>
          <w:tcPr>
            <w:tcW w:w="1236" w:type="dxa"/>
            <w:noWrap w:val="0"/>
            <w:vAlign w:val="center"/>
          </w:tcPr>
          <w:p>
            <w:pPr>
              <w:tabs>
                <w:tab w:val="center" w:pos="4153"/>
                <w:tab w:val="right" w:pos="8306"/>
              </w:tabs>
              <w:jc w:val="center"/>
              <w:rPr>
                <w:rFonts w:ascii="Times New Roman" w:hAnsi="Times New Roman"/>
                <w:sz w:val="21"/>
                <w:szCs w:val="21"/>
              </w:rPr>
            </w:pPr>
            <w:r>
              <w:rPr>
                <w:rFonts w:ascii="Times New Roman" w:hAnsi="Times New Roman"/>
                <w:sz w:val="21"/>
                <w:szCs w:val="21"/>
              </w:rPr>
              <w:t>0.2</w:t>
            </w:r>
          </w:p>
        </w:tc>
        <w:tc>
          <w:tcPr>
            <w:tcW w:w="1235" w:type="dxa"/>
            <w:noWrap w:val="0"/>
            <w:vAlign w:val="center"/>
          </w:tcPr>
          <w:p>
            <w:pPr>
              <w:tabs>
                <w:tab w:val="center" w:pos="4153"/>
                <w:tab w:val="right" w:pos="8306"/>
              </w:tabs>
              <w:jc w:val="center"/>
              <w:rPr>
                <w:rFonts w:ascii="Times New Roman" w:hAnsi="Times New Roman"/>
                <w:sz w:val="21"/>
                <w:szCs w:val="21"/>
              </w:rPr>
            </w:pPr>
            <w:r>
              <w:rPr>
                <w:rFonts w:hint="eastAsia" w:ascii="Times New Roman" w:hAnsi="Times New Roman"/>
                <w:sz w:val="21"/>
                <w:szCs w:val="21"/>
              </w:rPr>
              <w:t>20</w:t>
            </w:r>
          </w:p>
        </w:tc>
        <w:tc>
          <w:tcPr>
            <w:tcW w:w="1219" w:type="dxa"/>
            <w:noWrap w:val="0"/>
            <w:vAlign w:val="center"/>
          </w:tcPr>
          <w:p>
            <w:pPr>
              <w:tabs>
                <w:tab w:val="center" w:pos="4153"/>
                <w:tab w:val="right" w:pos="8306"/>
              </w:tabs>
              <w:jc w:val="center"/>
              <w:rPr>
                <w:rFonts w:ascii="Times New Roman" w:hAnsi="Times New Roman"/>
                <w:sz w:val="21"/>
                <w:szCs w:val="21"/>
              </w:rPr>
            </w:pPr>
            <w:r>
              <w:rPr>
                <w:rFonts w:hint="eastAsia" w:ascii="Times New Roman" w:hAnsi="Times New Roman"/>
                <w:sz w:val="21"/>
                <w:szCs w:val="21"/>
              </w:rPr>
              <w:t>8760</w:t>
            </w:r>
          </w:p>
        </w:tc>
        <w:tc>
          <w:tcPr>
            <w:tcW w:w="731" w:type="dxa"/>
            <w:noWrap w:val="0"/>
            <w:vAlign w:val="center"/>
          </w:tcPr>
          <w:p>
            <w:pPr>
              <w:tabs>
                <w:tab w:val="center" w:pos="4153"/>
                <w:tab w:val="right" w:pos="8306"/>
              </w:tabs>
              <w:jc w:val="center"/>
              <w:rPr>
                <w:rFonts w:ascii="Times New Roman" w:hAnsi="Times New Roman"/>
                <w:sz w:val="21"/>
                <w:szCs w:val="21"/>
              </w:rPr>
            </w:pPr>
            <w:r>
              <w:rPr>
                <w:rFonts w:ascii="Times New Roman" w:hAnsi="Times New Roman"/>
                <w:sz w:val="21"/>
                <w:szCs w:val="21"/>
              </w:rPr>
              <w:t>正常</w:t>
            </w:r>
          </w:p>
        </w:tc>
        <w:tc>
          <w:tcPr>
            <w:tcW w:w="1708" w:type="dxa"/>
            <w:noWrap w:val="0"/>
            <w:vAlign w:val="center"/>
          </w:tcPr>
          <w:p>
            <w:pPr>
              <w:tabs>
                <w:tab w:val="center" w:pos="4153"/>
                <w:tab w:val="right" w:pos="8306"/>
              </w:tabs>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0.00214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743" w:type="dxa"/>
            <w:vMerge w:val="continue"/>
            <w:noWrap w:val="0"/>
            <w:vAlign w:val="center"/>
          </w:tcPr>
          <w:p>
            <w:pPr>
              <w:tabs>
                <w:tab w:val="center" w:pos="4153"/>
                <w:tab w:val="right" w:pos="8306"/>
              </w:tabs>
              <w:jc w:val="center"/>
              <w:rPr>
                <w:rFonts w:hint="eastAsia" w:ascii="Times New Roman" w:hAnsi="Times New Roman" w:eastAsia="宋体"/>
                <w:sz w:val="21"/>
                <w:szCs w:val="21"/>
                <w:lang w:val="en-US" w:eastAsia="zh-CN"/>
              </w:rPr>
            </w:pPr>
          </w:p>
        </w:tc>
        <w:tc>
          <w:tcPr>
            <w:tcW w:w="1623" w:type="dxa"/>
            <w:noWrap w:val="0"/>
            <w:vAlign w:val="center"/>
          </w:tcPr>
          <w:p>
            <w:pPr>
              <w:tabs>
                <w:tab w:val="center" w:pos="4153"/>
                <w:tab w:val="right" w:pos="8306"/>
              </w:tabs>
              <w:jc w:val="center"/>
              <w:rPr>
                <w:rFonts w:ascii="Times New Roman" w:hAnsi="Times New Roman"/>
                <w:sz w:val="21"/>
                <w:szCs w:val="21"/>
              </w:rPr>
            </w:pPr>
            <w:r>
              <w:rPr>
                <w:rFonts w:ascii="Times New Roman" w:hAnsi="Times New Roman"/>
              </w:rPr>
              <w:t>H</w:t>
            </w:r>
            <w:r>
              <w:rPr>
                <w:rFonts w:ascii="Times New Roman" w:hAnsi="Times New Roman"/>
                <w:vertAlign w:val="subscript"/>
              </w:rPr>
              <w:t>2</w:t>
            </w:r>
            <w:r>
              <w:rPr>
                <w:rFonts w:ascii="Times New Roman" w:hAnsi="Times New Roman"/>
              </w:rPr>
              <w:t>S</w:t>
            </w:r>
          </w:p>
        </w:tc>
        <w:tc>
          <w:tcPr>
            <w:tcW w:w="1218" w:type="dxa"/>
            <w:noWrap w:val="0"/>
            <w:vAlign w:val="center"/>
          </w:tcPr>
          <w:p>
            <w:pPr>
              <w:tabs>
                <w:tab w:val="center" w:pos="4153"/>
                <w:tab w:val="right" w:pos="8306"/>
              </w:tabs>
              <w:jc w:val="center"/>
              <w:rPr>
                <w:rFonts w:ascii="Times New Roman" w:hAnsi="Times New Roman"/>
                <w:sz w:val="21"/>
                <w:szCs w:val="21"/>
              </w:rPr>
            </w:pPr>
            <w:r>
              <w:rPr>
                <w:rFonts w:hint="eastAsia" w:ascii="Times New Roman" w:hAnsi="Times New Roman"/>
                <w:sz w:val="21"/>
                <w:szCs w:val="21"/>
              </w:rPr>
              <w:t>15</w:t>
            </w:r>
          </w:p>
        </w:tc>
        <w:tc>
          <w:tcPr>
            <w:tcW w:w="1236" w:type="dxa"/>
            <w:noWrap w:val="0"/>
            <w:vAlign w:val="center"/>
          </w:tcPr>
          <w:p>
            <w:pPr>
              <w:tabs>
                <w:tab w:val="center" w:pos="4153"/>
                <w:tab w:val="right" w:pos="8306"/>
              </w:tabs>
              <w:jc w:val="center"/>
              <w:rPr>
                <w:rFonts w:ascii="Times New Roman" w:hAnsi="Times New Roman"/>
                <w:sz w:val="21"/>
                <w:szCs w:val="21"/>
              </w:rPr>
            </w:pPr>
            <w:r>
              <w:rPr>
                <w:rFonts w:ascii="Times New Roman" w:hAnsi="Times New Roman"/>
                <w:sz w:val="21"/>
                <w:szCs w:val="21"/>
              </w:rPr>
              <w:t>0.2</w:t>
            </w:r>
          </w:p>
        </w:tc>
        <w:tc>
          <w:tcPr>
            <w:tcW w:w="1235" w:type="dxa"/>
            <w:noWrap w:val="0"/>
            <w:vAlign w:val="center"/>
          </w:tcPr>
          <w:p>
            <w:pPr>
              <w:tabs>
                <w:tab w:val="center" w:pos="4153"/>
                <w:tab w:val="right" w:pos="8306"/>
              </w:tabs>
              <w:jc w:val="center"/>
              <w:rPr>
                <w:rFonts w:ascii="Times New Roman" w:hAnsi="Times New Roman"/>
                <w:sz w:val="21"/>
                <w:szCs w:val="21"/>
              </w:rPr>
            </w:pPr>
            <w:r>
              <w:rPr>
                <w:rFonts w:hint="eastAsia" w:ascii="Times New Roman" w:hAnsi="Times New Roman"/>
                <w:sz w:val="21"/>
                <w:szCs w:val="21"/>
              </w:rPr>
              <w:t>20</w:t>
            </w:r>
          </w:p>
        </w:tc>
        <w:tc>
          <w:tcPr>
            <w:tcW w:w="1219" w:type="dxa"/>
            <w:noWrap w:val="0"/>
            <w:vAlign w:val="center"/>
          </w:tcPr>
          <w:p>
            <w:pPr>
              <w:tabs>
                <w:tab w:val="center" w:pos="4153"/>
                <w:tab w:val="right" w:pos="8306"/>
              </w:tabs>
              <w:jc w:val="center"/>
              <w:rPr>
                <w:rFonts w:ascii="Times New Roman" w:hAnsi="Times New Roman"/>
                <w:sz w:val="21"/>
                <w:szCs w:val="21"/>
              </w:rPr>
            </w:pPr>
            <w:r>
              <w:rPr>
                <w:rFonts w:hint="eastAsia" w:ascii="Times New Roman" w:hAnsi="Times New Roman"/>
                <w:sz w:val="21"/>
                <w:szCs w:val="21"/>
              </w:rPr>
              <w:t>8760</w:t>
            </w:r>
          </w:p>
        </w:tc>
        <w:tc>
          <w:tcPr>
            <w:tcW w:w="731" w:type="dxa"/>
            <w:noWrap w:val="0"/>
            <w:vAlign w:val="center"/>
          </w:tcPr>
          <w:p>
            <w:pPr>
              <w:tabs>
                <w:tab w:val="center" w:pos="4153"/>
                <w:tab w:val="right" w:pos="8306"/>
              </w:tabs>
              <w:jc w:val="center"/>
              <w:rPr>
                <w:rFonts w:ascii="Times New Roman" w:hAnsi="Times New Roman"/>
                <w:sz w:val="21"/>
                <w:szCs w:val="21"/>
              </w:rPr>
            </w:pPr>
            <w:r>
              <w:rPr>
                <w:rFonts w:ascii="Times New Roman" w:hAnsi="Times New Roman"/>
                <w:sz w:val="21"/>
                <w:szCs w:val="21"/>
              </w:rPr>
              <w:t>正常</w:t>
            </w:r>
          </w:p>
        </w:tc>
        <w:tc>
          <w:tcPr>
            <w:tcW w:w="1708" w:type="dxa"/>
            <w:noWrap w:val="0"/>
            <w:vAlign w:val="center"/>
          </w:tcPr>
          <w:p>
            <w:pPr>
              <w:tabs>
                <w:tab w:val="center" w:pos="4153"/>
                <w:tab w:val="right" w:pos="8306"/>
              </w:tabs>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0.000217</w:t>
            </w:r>
          </w:p>
        </w:tc>
      </w:tr>
    </w:tbl>
    <w:p>
      <w:pPr>
        <w:pStyle w:val="2"/>
        <w:rPr>
          <w:rFonts w:hint="default" w:ascii="Times New Roman" w:hAnsi="Times New Roman" w:eastAsia="黑体" w:cs="Times New Roman"/>
          <w:bCs/>
          <w:sz w:val="24"/>
          <w:szCs w:val="24"/>
        </w:rPr>
      </w:pP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表1.5-</w:t>
      </w:r>
      <w:r>
        <w:rPr>
          <w:rFonts w:hint="eastAsia" w:ascii="Times New Roman" w:hAnsi="Times New Roman" w:eastAsia="黑体" w:cs="Times New Roman"/>
          <w:bCs/>
          <w:sz w:val="24"/>
          <w:szCs w:val="24"/>
          <w:lang w:val="en-US" w:eastAsia="zh-CN"/>
        </w:rPr>
        <w:t>5</w:t>
      </w:r>
      <w:r>
        <w:rPr>
          <w:rFonts w:hint="default" w:ascii="Times New Roman" w:hAnsi="Times New Roman" w:eastAsia="黑体" w:cs="Times New Roman"/>
          <w:bCs/>
          <w:sz w:val="24"/>
          <w:szCs w:val="24"/>
        </w:rPr>
        <w:t xml:space="preserve">   项目主要面源参数一览表</w:t>
      </w:r>
    </w:p>
    <w:tbl>
      <w:tblPr>
        <w:tblStyle w:val="33"/>
        <w:tblW w:w="982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54"/>
        <w:gridCol w:w="1185"/>
        <w:gridCol w:w="1230"/>
        <w:gridCol w:w="727"/>
        <w:gridCol w:w="692"/>
        <w:gridCol w:w="604"/>
        <w:gridCol w:w="787"/>
        <w:gridCol w:w="835"/>
        <w:gridCol w:w="699"/>
        <w:gridCol w:w="639"/>
        <w:gridCol w:w="1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796" w:hRule="atLeast"/>
          <w:jc w:val="center"/>
        </w:trPr>
        <w:tc>
          <w:tcPr>
            <w:tcW w:w="464" w:type="dxa"/>
            <w:vMerge w:val="restart"/>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编号</w:t>
            </w:r>
          </w:p>
        </w:tc>
        <w:tc>
          <w:tcPr>
            <w:tcW w:w="754" w:type="dxa"/>
            <w:vMerge w:val="restart"/>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2415" w:type="dxa"/>
            <w:gridSpan w:val="2"/>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面源起点坐标/m</w:t>
            </w:r>
          </w:p>
        </w:tc>
        <w:tc>
          <w:tcPr>
            <w:tcW w:w="727" w:type="dxa"/>
            <w:vMerge w:val="restart"/>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面源海拔高度/m</w:t>
            </w:r>
          </w:p>
        </w:tc>
        <w:tc>
          <w:tcPr>
            <w:tcW w:w="692" w:type="dxa"/>
            <w:vMerge w:val="restart"/>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面源长度/m</w:t>
            </w:r>
          </w:p>
        </w:tc>
        <w:tc>
          <w:tcPr>
            <w:tcW w:w="604" w:type="dxa"/>
            <w:vMerge w:val="restart"/>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面源宽度m</w:t>
            </w:r>
          </w:p>
        </w:tc>
        <w:tc>
          <w:tcPr>
            <w:tcW w:w="787" w:type="dxa"/>
            <w:vMerge w:val="restart"/>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与正北方向夹角/°</w:t>
            </w:r>
          </w:p>
        </w:tc>
        <w:tc>
          <w:tcPr>
            <w:tcW w:w="835" w:type="dxa"/>
            <w:vMerge w:val="restart"/>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面源有效排放高度/m</w:t>
            </w:r>
          </w:p>
        </w:tc>
        <w:tc>
          <w:tcPr>
            <w:tcW w:w="699" w:type="dxa"/>
            <w:vMerge w:val="restart"/>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年排放小时数/h</w:t>
            </w:r>
          </w:p>
        </w:tc>
        <w:tc>
          <w:tcPr>
            <w:tcW w:w="639" w:type="dxa"/>
            <w:vMerge w:val="restart"/>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排放工况</w:t>
            </w:r>
          </w:p>
        </w:tc>
        <w:tc>
          <w:tcPr>
            <w:tcW w:w="1212" w:type="dxa"/>
            <w:vMerge w:val="restart"/>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污染物排放速率/（g/</w:t>
            </w:r>
            <w:r>
              <w:rPr>
                <w:rFonts w:hint="eastAsia" w:ascii="Times New Roman" w:hAnsi="Times New Roman" w:cs="Times New Roman"/>
                <w:color w:val="auto"/>
                <w:sz w:val="21"/>
                <w:szCs w:val="21"/>
                <w:lang w:val="en-US" w:eastAsia="zh-CN"/>
              </w:rPr>
              <w:t>s</w:t>
            </w:r>
            <w:r>
              <w:rPr>
                <w:rFonts w:hint="default" w:ascii="Times New Roman" w:hAnsi="Times New Roman"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4" w:type="dxa"/>
            <w:vMerge w:val="continue"/>
            <w:vAlign w:val="center"/>
          </w:tcPr>
          <w:p>
            <w:pPr>
              <w:pStyle w:val="2"/>
              <w:jc w:val="center"/>
              <w:rPr>
                <w:rFonts w:hint="default" w:ascii="Times New Roman" w:hAnsi="Times New Roman" w:cs="Times New Roman"/>
                <w:color w:val="auto"/>
                <w:sz w:val="21"/>
                <w:szCs w:val="21"/>
              </w:rPr>
            </w:pPr>
          </w:p>
        </w:tc>
        <w:tc>
          <w:tcPr>
            <w:tcW w:w="754" w:type="dxa"/>
            <w:vMerge w:val="continue"/>
            <w:vAlign w:val="center"/>
          </w:tcPr>
          <w:p>
            <w:pPr>
              <w:pStyle w:val="2"/>
              <w:jc w:val="center"/>
              <w:rPr>
                <w:rFonts w:hint="default" w:ascii="Times New Roman" w:hAnsi="Times New Roman" w:cs="Times New Roman"/>
                <w:color w:val="auto"/>
                <w:sz w:val="21"/>
                <w:szCs w:val="21"/>
              </w:rPr>
            </w:pPr>
          </w:p>
        </w:tc>
        <w:tc>
          <w:tcPr>
            <w:tcW w:w="1185"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w:t>
            </w:r>
          </w:p>
        </w:tc>
        <w:tc>
          <w:tcPr>
            <w:tcW w:w="1230"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w:t>
            </w:r>
          </w:p>
        </w:tc>
        <w:tc>
          <w:tcPr>
            <w:tcW w:w="727" w:type="dxa"/>
            <w:vMerge w:val="continue"/>
            <w:vAlign w:val="center"/>
          </w:tcPr>
          <w:p>
            <w:pPr>
              <w:pStyle w:val="2"/>
              <w:jc w:val="center"/>
              <w:rPr>
                <w:rFonts w:hint="default" w:ascii="Times New Roman" w:hAnsi="Times New Roman" w:cs="Times New Roman"/>
                <w:color w:val="auto"/>
                <w:sz w:val="21"/>
                <w:szCs w:val="21"/>
              </w:rPr>
            </w:pPr>
          </w:p>
        </w:tc>
        <w:tc>
          <w:tcPr>
            <w:tcW w:w="692" w:type="dxa"/>
            <w:vMerge w:val="continue"/>
            <w:vAlign w:val="center"/>
          </w:tcPr>
          <w:p>
            <w:pPr>
              <w:pStyle w:val="2"/>
              <w:jc w:val="center"/>
              <w:rPr>
                <w:rFonts w:hint="default" w:ascii="Times New Roman" w:hAnsi="Times New Roman" w:cs="Times New Roman"/>
                <w:color w:val="auto"/>
                <w:sz w:val="21"/>
                <w:szCs w:val="21"/>
              </w:rPr>
            </w:pPr>
          </w:p>
        </w:tc>
        <w:tc>
          <w:tcPr>
            <w:tcW w:w="604" w:type="dxa"/>
            <w:vMerge w:val="continue"/>
            <w:vAlign w:val="center"/>
          </w:tcPr>
          <w:p>
            <w:pPr>
              <w:pStyle w:val="2"/>
              <w:jc w:val="center"/>
              <w:rPr>
                <w:rFonts w:hint="default" w:ascii="Times New Roman" w:hAnsi="Times New Roman" w:cs="Times New Roman"/>
                <w:color w:val="auto"/>
                <w:sz w:val="21"/>
                <w:szCs w:val="21"/>
              </w:rPr>
            </w:pPr>
          </w:p>
        </w:tc>
        <w:tc>
          <w:tcPr>
            <w:tcW w:w="787" w:type="dxa"/>
            <w:vMerge w:val="continue"/>
            <w:vAlign w:val="center"/>
          </w:tcPr>
          <w:p>
            <w:pPr>
              <w:pStyle w:val="2"/>
              <w:jc w:val="center"/>
              <w:rPr>
                <w:rFonts w:hint="default" w:ascii="Times New Roman" w:hAnsi="Times New Roman" w:cs="Times New Roman"/>
                <w:color w:val="auto"/>
                <w:sz w:val="21"/>
                <w:szCs w:val="21"/>
              </w:rPr>
            </w:pPr>
          </w:p>
        </w:tc>
        <w:tc>
          <w:tcPr>
            <w:tcW w:w="835" w:type="dxa"/>
            <w:vMerge w:val="continue"/>
            <w:vAlign w:val="center"/>
          </w:tcPr>
          <w:p>
            <w:pPr>
              <w:pStyle w:val="2"/>
              <w:jc w:val="center"/>
              <w:rPr>
                <w:rFonts w:hint="default" w:ascii="Times New Roman" w:hAnsi="Times New Roman" w:cs="Times New Roman"/>
                <w:color w:val="auto"/>
                <w:sz w:val="21"/>
                <w:szCs w:val="21"/>
              </w:rPr>
            </w:pPr>
          </w:p>
        </w:tc>
        <w:tc>
          <w:tcPr>
            <w:tcW w:w="699" w:type="dxa"/>
            <w:vMerge w:val="continue"/>
            <w:vAlign w:val="center"/>
          </w:tcPr>
          <w:p>
            <w:pPr>
              <w:pStyle w:val="2"/>
              <w:jc w:val="center"/>
              <w:rPr>
                <w:rFonts w:hint="default" w:ascii="Times New Roman" w:hAnsi="Times New Roman" w:cs="Times New Roman"/>
                <w:color w:val="auto"/>
                <w:sz w:val="21"/>
                <w:szCs w:val="21"/>
              </w:rPr>
            </w:pPr>
          </w:p>
        </w:tc>
        <w:tc>
          <w:tcPr>
            <w:tcW w:w="639" w:type="dxa"/>
            <w:vMerge w:val="continue"/>
            <w:vAlign w:val="center"/>
          </w:tcPr>
          <w:p>
            <w:pPr>
              <w:pStyle w:val="2"/>
              <w:jc w:val="center"/>
              <w:rPr>
                <w:rFonts w:hint="default" w:ascii="Times New Roman" w:hAnsi="Times New Roman" w:cs="Times New Roman"/>
                <w:color w:val="auto"/>
                <w:sz w:val="21"/>
                <w:szCs w:val="21"/>
              </w:rPr>
            </w:pPr>
          </w:p>
        </w:tc>
        <w:tc>
          <w:tcPr>
            <w:tcW w:w="1212" w:type="dxa"/>
            <w:vMerge w:val="continue"/>
            <w:vAlign w:val="center"/>
          </w:tcPr>
          <w:p>
            <w:pPr>
              <w:pStyle w:val="2"/>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3" w:hRule="exact"/>
          <w:jc w:val="center"/>
        </w:trPr>
        <w:tc>
          <w:tcPr>
            <w:tcW w:w="464" w:type="dxa"/>
            <w:vMerge w:val="restart"/>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g1</w:t>
            </w:r>
          </w:p>
        </w:tc>
        <w:tc>
          <w:tcPr>
            <w:tcW w:w="754"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c>
          <w:tcPr>
            <w:tcW w:w="1185"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371752.07</w:t>
            </w:r>
          </w:p>
        </w:tc>
        <w:tc>
          <w:tcPr>
            <w:tcW w:w="1230"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3302516.07</w:t>
            </w:r>
          </w:p>
        </w:tc>
        <w:tc>
          <w:tcPr>
            <w:tcW w:w="727"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470</w:t>
            </w:r>
          </w:p>
        </w:tc>
        <w:tc>
          <w:tcPr>
            <w:tcW w:w="692"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p>
        </w:tc>
        <w:tc>
          <w:tcPr>
            <w:tcW w:w="604"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w:t>
            </w:r>
          </w:p>
        </w:tc>
        <w:tc>
          <w:tcPr>
            <w:tcW w:w="787"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35"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699"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8760</w:t>
            </w:r>
          </w:p>
        </w:tc>
        <w:tc>
          <w:tcPr>
            <w:tcW w:w="639"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正常工况</w:t>
            </w:r>
          </w:p>
        </w:tc>
        <w:tc>
          <w:tcPr>
            <w:tcW w:w="1212" w:type="dxa"/>
            <w:tcBorders>
              <w:bottom w:val="single" w:color="auto" w:sz="2" w:space="0"/>
            </w:tcBorders>
            <w:vAlign w:val="center"/>
          </w:tcPr>
          <w:p>
            <w:pPr>
              <w:pStyle w:val="2"/>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0.00294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464" w:type="dxa"/>
            <w:vMerge w:val="continue"/>
            <w:vAlign w:val="center"/>
          </w:tcPr>
          <w:p>
            <w:pPr>
              <w:pStyle w:val="2"/>
              <w:jc w:val="center"/>
              <w:rPr>
                <w:rFonts w:hint="default" w:ascii="Times New Roman" w:hAnsi="Times New Roman" w:cs="Times New Roman"/>
                <w:color w:val="auto"/>
                <w:sz w:val="21"/>
                <w:szCs w:val="21"/>
              </w:rPr>
            </w:pPr>
          </w:p>
        </w:tc>
        <w:tc>
          <w:tcPr>
            <w:tcW w:w="754"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1185"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371752.07</w:t>
            </w:r>
          </w:p>
        </w:tc>
        <w:tc>
          <w:tcPr>
            <w:tcW w:w="1230"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3302516.07</w:t>
            </w:r>
          </w:p>
        </w:tc>
        <w:tc>
          <w:tcPr>
            <w:tcW w:w="727"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470</w:t>
            </w:r>
          </w:p>
        </w:tc>
        <w:tc>
          <w:tcPr>
            <w:tcW w:w="692"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p>
        </w:tc>
        <w:tc>
          <w:tcPr>
            <w:tcW w:w="604"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w:t>
            </w:r>
          </w:p>
        </w:tc>
        <w:tc>
          <w:tcPr>
            <w:tcW w:w="787"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35"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699"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8760</w:t>
            </w:r>
          </w:p>
        </w:tc>
        <w:tc>
          <w:tcPr>
            <w:tcW w:w="639"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正常工况</w:t>
            </w:r>
          </w:p>
        </w:tc>
        <w:tc>
          <w:tcPr>
            <w:tcW w:w="1212" w:type="dxa"/>
            <w:tcBorders>
              <w:top w:val="single" w:color="auto" w:sz="2" w:space="0"/>
              <w:bottom w:val="single" w:color="auto" w:sz="2" w:space="0"/>
            </w:tcBorders>
            <w:vAlign w:val="center"/>
          </w:tcPr>
          <w:p>
            <w:pPr>
              <w:pStyle w:val="2"/>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0.00</w:t>
            </w:r>
            <w:r>
              <w:rPr>
                <w:rFonts w:hint="eastAsia" w:ascii="Times New Roman" w:hAnsi="Times New Roman" w:cs="Times New Roman"/>
                <w:color w:val="auto"/>
                <w:sz w:val="21"/>
                <w:szCs w:val="21"/>
                <w:lang w:val="en-US" w:eastAsia="zh-CN"/>
              </w:rPr>
              <w:t>03</w:t>
            </w:r>
          </w:p>
        </w:tc>
      </w:tr>
    </w:tbl>
    <w:p>
      <w:pPr>
        <w:pStyle w:val="2"/>
        <w:spacing w:line="360" w:lineRule="auto"/>
        <w:rPr>
          <w:rFonts w:hint="default" w:ascii="Times New Roman" w:hAnsi="Times New Roman" w:cs="Times New Roman"/>
        </w:rPr>
      </w:pPr>
      <w:r>
        <w:rPr>
          <w:rFonts w:hint="default" w:ascii="Times New Roman" w:hAnsi="Times New Roman" w:cs="Times New Roman"/>
        </w:rPr>
        <w:t xml:space="preserve">    ⑤估算模式预测结果</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采用《环境影响评价技术导则—大气环境》（HJ 2.2-2018）推荐模式清单中的估算模式计算污染源下风向轴线浓度，并计算相应浓度的占标率。估算模式软件采用国家环境保护环境影响评数值模拟重点实验室推荐的 AERSCREEN 模式。</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预测结果如下示：</w:t>
      </w:r>
    </w:p>
    <w:p>
      <w:pPr>
        <w:pStyle w:val="2"/>
        <w:jc w:val="center"/>
        <w:rPr>
          <w:rFonts w:hint="default" w:ascii="Times New Roman" w:hAnsi="Times New Roman" w:cs="Times New Roman"/>
          <w:color w:val="000000"/>
          <w:sz w:val="24"/>
          <w:szCs w:val="24"/>
        </w:rPr>
      </w:pPr>
      <w:r>
        <w:drawing>
          <wp:inline distT="0" distB="0" distL="114300" distR="114300">
            <wp:extent cx="6020435" cy="1060450"/>
            <wp:effectExtent l="0" t="0" r="18415" b="635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21"/>
                    <a:stretch>
                      <a:fillRect/>
                    </a:stretch>
                  </pic:blipFill>
                  <pic:spPr>
                    <a:xfrm>
                      <a:off x="0" y="0"/>
                      <a:ext cx="6020435" cy="1060450"/>
                    </a:xfrm>
                    <a:prstGeom prst="rect">
                      <a:avLst/>
                    </a:prstGeom>
                    <a:noFill/>
                    <a:ln w="9525">
                      <a:noFill/>
                    </a:ln>
                  </pic:spPr>
                </pic:pic>
              </a:graphicData>
            </a:graphic>
          </wp:inline>
        </w:drawing>
      </w:r>
    </w:p>
    <w:p>
      <w:pPr>
        <w:pStyle w:val="2"/>
        <w:rPr>
          <w:rFonts w:hint="default" w:ascii="Times New Roman" w:hAnsi="Times New Roman" w:cs="Times New Roman"/>
          <w:color w:val="000000"/>
          <w:sz w:val="24"/>
          <w:szCs w:val="24"/>
        </w:rPr>
      </w:pPr>
    </w:p>
    <w:p>
      <w:pPr>
        <w:spacing w:line="360" w:lineRule="auto"/>
        <w:ind w:firstLine="480" w:firstLineChars="200"/>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图1.5-1  项目</w:t>
      </w:r>
      <w:r>
        <w:rPr>
          <w:rFonts w:hint="eastAsia" w:ascii="Times New Roman" w:hAnsi="Times New Roman" w:eastAsia="黑体" w:cs="Times New Roman"/>
          <w:sz w:val="24"/>
          <w:szCs w:val="24"/>
          <w:lang w:eastAsia="zh-CN"/>
        </w:rPr>
        <w:t>点源</w:t>
      </w:r>
      <w:r>
        <w:rPr>
          <w:rFonts w:hint="default" w:ascii="Times New Roman" w:hAnsi="Times New Roman" w:eastAsia="黑体" w:cs="Times New Roman"/>
          <w:sz w:val="24"/>
          <w:szCs w:val="24"/>
        </w:rPr>
        <w:t>估算模式计算结果</w:t>
      </w:r>
    </w:p>
    <w:p>
      <w:pPr>
        <w:pStyle w:val="2"/>
        <w:jc w:val="center"/>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drawing>
          <wp:inline distT="0" distB="0" distL="114300" distR="114300">
            <wp:extent cx="6155690" cy="1057275"/>
            <wp:effectExtent l="0" t="0" r="16510" b="9525"/>
            <wp:docPr id="6" name="图片 6" descr="6N1)I$M@0N`$8VG`}VN]M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N1)I$M@0N`$8VG`}VN]MYM"/>
                    <pic:cNvPicPr>
                      <a:picLocks noChangeAspect="1"/>
                    </pic:cNvPicPr>
                  </pic:nvPicPr>
                  <pic:blipFill>
                    <a:blip r:embed="rId22"/>
                    <a:stretch>
                      <a:fillRect/>
                    </a:stretch>
                  </pic:blipFill>
                  <pic:spPr>
                    <a:xfrm>
                      <a:off x="0" y="0"/>
                      <a:ext cx="6155690" cy="1057275"/>
                    </a:xfrm>
                    <a:prstGeom prst="rect">
                      <a:avLst/>
                    </a:prstGeom>
                  </pic:spPr>
                </pic:pic>
              </a:graphicData>
            </a:graphic>
          </wp:inline>
        </w:drawing>
      </w:r>
    </w:p>
    <w:p>
      <w:pPr>
        <w:spacing w:line="360" w:lineRule="auto"/>
        <w:ind w:firstLine="480" w:firstLineChars="200"/>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图1.5-</w:t>
      </w:r>
      <w:r>
        <w:rPr>
          <w:rFonts w:hint="eastAsia" w:ascii="Times New Roman" w:hAnsi="Times New Roman" w:eastAsia="黑体" w:cs="Times New Roman"/>
          <w:sz w:val="24"/>
          <w:szCs w:val="24"/>
          <w:lang w:val="en-US" w:eastAsia="zh-CN"/>
        </w:rPr>
        <w:t>2</w:t>
      </w:r>
      <w:r>
        <w:rPr>
          <w:rFonts w:hint="default" w:ascii="Times New Roman" w:hAnsi="Times New Roman" w:eastAsia="黑体" w:cs="Times New Roman"/>
          <w:sz w:val="24"/>
          <w:szCs w:val="24"/>
        </w:rPr>
        <w:t xml:space="preserve">  项目</w:t>
      </w:r>
      <w:r>
        <w:rPr>
          <w:rFonts w:hint="eastAsia" w:ascii="Times New Roman" w:hAnsi="Times New Roman" w:eastAsia="黑体" w:cs="Times New Roman"/>
          <w:sz w:val="24"/>
          <w:szCs w:val="24"/>
          <w:lang w:eastAsia="zh-CN"/>
        </w:rPr>
        <w:t>面源</w:t>
      </w:r>
      <w:r>
        <w:rPr>
          <w:rFonts w:hint="default" w:ascii="Times New Roman" w:hAnsi="Times New Roman" w:eastAsia="黑体" w:cs="Times New Roman"/>
          <w:sz w:val="24"/>
          <w:szCs w:val="24"/>
        </w:rPr>
        <w:t>估算模式计算结果</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⑥评价等级</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color w:val="000000"/>
          <w:sz w:val="24"/>
          <w:szCs w:val="24"/>
        </w:rPr>
        <w:t>评价工作等级按下表的分级判据进行划分，如果污染物数i大于1，取P值中最大者（P</w:t>
      </w:r>
      <w:r>
        <w:rPr>
          <w:rFonts w:hint="default" w:ascii="Times New Roman" w:hAnsi="Times New Roman" w:cs="Times New Roman"/>
          <w:color w:val="000000"/>
          <w:sz w:val="24"/>
          <w:szCs w:val="24"/>
          <w:vertAlign w:val="subscript"/>
        </w:rPr>
        <w:t>max</w:t>
      </w:r>
      <w:r>
        <w:rPr>
          <w:rFonts w:hint="default" w:ascii="Times New Roman" w:hAnsi="Times New Roman" w:cs="Times New Roman"/>
          <w:color w:val="000000"/>
          <w:sz w:val="24"/>
          <w:szCs w:val="24"/>
        </w:rPr>
        <w:t>）。评价工作等级划分依据如下表所示：根据计算，本项目最大地面浓度占标率</w:t>
      </w:r>
      <w:r>
        <w:rPr>
          <w:rFonts w:hint="default" w:ascii="Times New Roman" w:hAnsi="Times New Roman" w:cs="Times New Roman"/>
          <w:i/>
          <w:iCs/>
          <w:color w:val="000000"/>
          <w:sz w:val="24"/>
          <w:szCs w:val="24"/>
        </w:rPr>
        <w:t>P</w:t>
      </w:r>
      <w:r>
        <w:rPr>
          <w:rFonts w:hint="default" w:ascii="Times New Roman" w:hAnsi="Times New Roman" w:cs="Times New Roman"/>
          <w:color w:val="000000"/>
          <w:sz w:val="24"/>
          <w:szCs w:val="24"/>
          <w:vertAlign w:val="subscript"/>
        </w:rPr>
        <w:t>max</w:t>
      </w:r>
      <w:r>
        <w:rPr>
          <w:rFonts w:hint="default" w:ascii="Times New Roman" w:hAnsi="Times New Roman" w:cs="Times New Roman"/>
          <w:color w:val="000000"/>
          <w:sz w:val="24"/>
          <w:szCs w:val="24"/>
        </w:rPr>
        <w:t>见表1.5-5。</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表1.5-5   大气环境评价工作等级计算值</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085"/>
        <w:gridCol w:w="2139"/>
        <w:gridCol w:w="2186"/>
        <w:gridCol w:w="2438"/>
        <w:gridCol w:w="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类别</w:t>
            </w:r>
          </w:p>
        </w:tc>
        <w:tc>
          <w:tcPr>
            <w:tcW w:w="208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污染源</w:t>
            </w:r>
          </w:p>
        </w:tc>
        <w:tc>
          <w:tcPr>
            <w:tcW w:w="213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w:t>
            </w:r>
          </w:p>
        </w:tc>
        <w:tc>
          <w:tcPr>
            <w:tcW w:w="218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出现距离（m）</w:t>
            </w:r>
          </w:p>
        </w:tc>
        <w:tc>
          <w:tcPr>
            <w:tcW w:w="2447"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最大落地浓度占标率P</w:t>
            </w:r>
            <w:r>
              <w:rPr>
                <w:rFonts w:hint="default" w:ascii="Times New Roman" w:hAnsi="Times New Roman" w:cs="Times New Roman"/>
                <w:szCs w:val="21"/>
                <w:vertAlign w:val="subscript"/>
              </w:rPr>
              <w:t>max</w:t>
            </w: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1" w:hRule="atLeast"/>
          <w:jc w:val="center"/>
        </w:trPr>
        <w:tc>
          <w:tcPr>
            <w:tcW w:w="856" w:type="dxa"/>
            <w:vMerge w:val="restart"/>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点源</w:t>
            </w:r>
          </w:p>
        </w:tc>
        <w:tc>
          <w:tcPr>
            <w:tcW w:w="2085"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污水处理设施</w:t>
            </w:r>
            <w:r>
              <w:rPr>
                <w:rFonts w:hint="eastAsia" w:ascii="Times New Roman" w:hAnsi="Times New Roman" w:cs="Times New Roman"/>
                <w:szCs w:val="21"/>
                <w:lang w:eastAsia="zh-CN"/>
              </w:rPr>
              <w:t>、猪粪暂存间</w:t>
            </w:r>
            <w:r>
              <w:rPr>
                <w:rFonts w:hint="eastAsia" w:ascii="Times New Roman" w:hAnsi="Times New Roman" w:cs="Times New Roman"/>
                <w:szCs w:val="21"/>
                <w:lang w:val="en-US" w:eastAsia="zh-CN"/>
              </w:rPr>
              <w:t>G</w:t>
            </w:r>
            <w:r>
              <w:rPr>
                <w:rFonts w:hint="default" w:ascii="Times New Roman" w:hAnsi="Times New Roman" w:cs="Times New Roman"/>
                <w:szCs w:val="21"/>
              </w:rPr>
              <w:t>1</w:t>
            </w:r>
          </w:p>
        </w:tc>
        <w:tc>
          <w:tcPr>
            <w:tcW w:w="213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p>
        </w:tc>
        <w:tc>
          <w:tcPr>
            <w:tcW w:w="2186"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130</w:t>
            </w:r>
          </w:p>
        </w:tc>
        <w:tc>
          <w:tcPr>
            <w:tcW w:w="2447" w:type="dxa"/>
            <w:gridSpan w:val="2"/>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6" w:type="dxa"/>
            <w:vMerge w:val="continue"/>
            <w:vAlign w:val="center"/>
          </w:tcPr>
          <w:p>
            <w:pPr>
              <w:jc w:val="center"/>
              <w:rPr>
                <w:rFonts w:hint="default" w:ascii="Times New Roman" w:hAnsi="Times New Roman" w:cs="Times New Roman"/>
                <w:szCs w:val="21"/>
              </w:rPr>
            </w:pPr>
          </w:p>
        </w:tc>
        <w:tc>
          <w:tcPr>
            <w:tcW w:w="2085" w:type="dxa"/>
            <w:vMerge w:val="continue"/>
            <w:vAlign w:val="center"/>
          </w:tcPr>
          <w:p>
            <w:pPr>
              <w:jc w:val="center"/>
              <w:rPr>
                <w:rFonts w:hint="default" w:ascii="Times New Roman" w:hAnsi="Times New Roman" w:cs="Times New Roman"/>
                <w:szCs w:val="21"/>
              </w:rPr>
            </w:pPr>
          </w:p>
        </w:tc>
        <w:tc>
          <w:tcPr>
            <w:tcW w:w="213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H</w:t>
            </w:r>
            <w:r>
              <w:rPr>
                <w:rFonts w:hint="default" w:ascii="Times New Roman" w:hAnsi="Times New Roman" w:cs="Times New Roman"/>
                <w:szCs w:val="21"/>
                <w:vertAlign w:val="subscript"/>
              </w:rPr>
              <w:t>2</w:t>
            </w:r>
            <w:r>
              <w:rPr>
                <w:rFonts w:hint="default" w:ascii="Times New Roman" w:hAnsi="Times New Roman" w:cs="Times New Roman"/>
                <w:szCs w:val="21"/>
              </w:rPr>
              <w:t>S</w:t>
            </w:r>
          </w:p>
        </w:tc>
        <w:tc>
          <w:tcPr>
            <w:tcW w:w="2186"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130</w:t>
            </w:r>
          </w:p>
        </w:tc>
        <w:tc>
          <w:tcPr>
            <w:tcW w:w="2447" w:type="dxa"/>
            <w:gridSpan w:val="2"/>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jc w:val="center"/>
        </w:trPr>
        <w:tc>
          <w:tcPr>
            <w:tcW w:w="856"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面源</w:t>
            </w:r>
          </w:p>
        </w:tc>
        <w:tc>
          <w:tcPr>
            <w:tcW w:w="2085"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圈舍、污水处理设施</w:t>
            </w:r>
            <w:r>
              <w:rPr>
                <w:rFonts w:hint="eastAsia" w:ascii="Times New Roman" w:hAnsi="Times New Roman" w:cs="Times New Roman"/>
                <w:szCs w:val="21"/>
                <w:lang w:eastAsia="zh-CN"/>
              </w:rPr>
              <w:t>、猪粪暂存间</w:t>
            </w:r>
            <w:r>
              <w:rPr>
                <w:rFonts w:hint="default" w:ascii="Times New Roman" w:hAnsi="Times New Roman" w:cs="Times New Roman"/>
                <w:szCs w:val="21"/>
              </w:rPr>
              <w:t>g1</w:t>
            </w:r>
          </w:p>
        </w:tc>
        <w:tc>
          <w:tcPr>
            <w:tcW w:w="213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p>
        </w:tc>
        <w:tc>
          <w:tcPr>
            <w:tcW w:w="2186"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131</w:t>
            </w:r>
          </w:p>
        </w:tc>
        <w:tc>
          <w:tcPr>
            <w:tcW w:w="2438"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 w:type="dxa"/>
          <w:jc w:val="center"/>
        </w:trPr>
        <w:tc>
          <w:tcPr>
            <w:tcW w:w="856" w:type="dxa"/>
            <w:vMerge w:val="continue"/>
            <w:vAlign w:val="center"/>
          </w:tcPr>
          <w:p>
            <w:pPr>
              <w:jc w:val="center"/>
              <w:rPr>
                <w:rFonts w:hint="default" w:ascii="Times New Roman" w:hAnsi="Times New Roman" w:cs="Times New Roman"/>
                <w:szCs w:val="21"/>
              </w:rPr>
            </w:pPr>
          </w:p>
        </w:tc>
        <w:tc>
          <w:tcPr>
            <w:tcW w:w="2085" w:type="dxa"/>
            <w:vMerge w:val="continue"/>
            <w:vAlign w:val="center"/>
          </w:tcPr>
          <w:p>
            <w:pPr>
              <w:jc w:val="center"/>
              <w:rPr>
                <w:rFonts w:hint="default" w:ascii="Times New Roman" w:hAnsi="Times New Roman" w:cs="Times New Roman"/>
                <w:szCs w:val="21"/>
              </w:rPr>
            </w:pPr>
          </w:p>
        </w:tc>
        <w:tc>
          <w:tcPr>
            <w:tcW w:w="213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H</w:t>
            </w:r>
            <w:r>
              <w:rPr>
                <w:rFonts w:hint="default" w:ascii="Times New Roman" w:hAnsi="Times New Roman" w:cs="Times New Roman"/>
                <w:szCs w:val="21"/>
                <w:vertAlign w:val="subscript"/>
              </w:rPr>
              <w:t>2</w:t>
            </w:r>
            <w:r>
              <w:rPr>
                <w:rFonts w:hint="default" w:ascii="Times New Roman" w:hAnsi="Times New Roman" w:cs="Times New Roman"/>
                <w:szCs w:val="21"/>
              </w:rPr>
              <w:t>S</w:t>
            </w:r>
          </w:p>
        </w:tc>
        <w:tc>
          <w:tcPr>
            <w:tcW w:w="2186"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131</w:t>
            </w:r>
          </w:p>
        </w:tc>
        <w:tc>
          <w:tcPr>
            <w:tcW w:w="2438"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3.55</w:t>
            </w:r>
          </w:p>
        </w:tc>
      </w:tr>
    </w:tbl>
    <w:p>
      <w:pPr>
        <w:spacing w:line="360" w:lineRule="auto"/>
        <w:ind w:firstLine="480" w:firstLineChars="200"/>
        <w:rPr>
          <w:rFonts w:hint="default" w:ascii="Times New Roman" w:hAnsi="Times New Roman" w:cs="Times New Roman"/>
          <w:b/>
          <w:color w:val="000000"/>
          <w:sz w:val="24"/>
          <w:szCs w:val="24"/>
        </w:rPr>
      </w:pPr>
      <w:r>
        <w:rPr>
          <w:rFonts w:hint="default" w:ascii="Times New Roman" w:hAnsi="Times New Roman" w:cs="Times New Roman"/>
          <w:sz w:val="24"/>
          <w:szCs w:val="24"/>
        </w:rPr>
        <w:t>根据HJ2.2-2018中5.3.3.1同一项目有多个污染源（两个及以上）时，则按各污染源分别确定评价等级，并取评价等级最高者作为项目的评价等级。估算模式采用ARESCREEN。无组织排放有一个污染源（圈舍、污水处理设施）</w:t>
      </w:r>
      <w:r>
        <w:rPr>
          <w:rFonts w:hint="default" w:ascii="Times New Roman" w:hAnsi="Times New Roman" w:cs="Times New Roman"/>
          <w:color w:val="000000"/>
          <w:sz w:val="24"/>
          <w:szCs w:val="24"/>
        </w:rPr>
        <w:t>，根据软件计算，取最高等级。根据表1.5-5，项目主要污染源最大地面空气质量浓度占标率Pmax=</w:t>
      </w:r>
      <w:r>
        <w:rPr>
          <w:rFonts w:hint="eastAsia" w:ascii="Times New Roman" w:hAnsi="Times New Roman" w:cs="Times New Roman"/>
          <w:color w:val="000000"/>
          <w:sz w:val="24"/>
          <w:szCs w:val="24"/>
          <w:lang w:val="en-US" w:eastAsia="zh-CN"/>
        </w:rPr>
        <w:t>3.55</w:t>
      </w:r>
      <w:r>
        <w:rPr>
          <w:rFonts w:hint="default" w:ascii="Times New Roman" w:hAnsi="Times New Roman" w:cs="Times New Roman"/>
          <w:color w:val="000000"/>
          <w:sz w:val="24"/>
          <w:szCs w:val="24"/>
        </w:rPr>
        <w:t>%（1%＜Pmax＜10%），</w:t>
      </w:r>
      <w:r>
        <w:rPr>
          <w:rFonts w:hint="default" w:ascii="Times New Roman" w:hAnsi="Times New Roman" w:cs="Times New Roman"/>
          <w:b/>
          <w:color w:val="000000"/>
          <w:sz w:val="24"/>
          <w:szCs w:val="24"/>
        </w:rPr>
        <w:t>确定本项目大气环境影响评价等级为二级。根据《环境影响评价技术导则 大气环境》（HJ2.2-2018），不进行进一步预测与评价，只对污染物排放量进行核算。</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（2）评价范围</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根据《环境影响评价技术导则大气环境》（HJ2.2-2018），二级评价项目以场址为中心区域，边长为5km的矩形区域作为大气环境影响评价范围。</w:t>
      </w:r>
    </w:p>
    <w:p>
      <w:pPr>
        <w:spacing w:line="360" w:lineRule="auto"/>
        <w:ind w:firstLine="522" w:firstLineChars="200"/>
        <w:outlineLvl w:val="2"/>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1.5.2 地表水</w:t>
      </w:r>
    </w:p>
    <w:p>
      <w:pPr>
        <w:spacing w:line="360" w:lineRule="auto"/>
        <w:ind w:firstLine="482"/>
        <w:rPr>
          <w:rFonts w:hint="default" w:ascii="Times New Roman" w:hAnsi="Times New Roman" w:cs="Times New Roman"/>
          <w:sz w:val="24"/>
          <w:szCs w:val="24"/>
        </w:rPr>
      </w:pPr>
      <w:r>
        <w:rPr>
          <w:rFonts w:hint="default" w:ascii="Times New Roman" w:hAnsi="Times New Roman" w:cs="Times New Roman"/>
          <w:sz w:val="24"/>
          <w:szCs w:val="24"/>
        </w:rPr>
        <w:t>（1）评价等级</w:t>
      </w:r>
    </w:p>
    <w:p>
      <w:pPr>
        <w:spacing w:line="360" w:lineRule="auto"/>
        <w:ind w:firstLine="482"/>
        <w:rPr>
          <w:rFonts w:hint="default" w:ascii="Times New Roman" w:hAnsi="Times New Roman" w:cs="Times New Roman"/>
          <w:sz w:val="24"/>
          <w:szCs w:val="24"/>
        </w:rPr>
      </w:pPr>
      <w:r>
        <w:rPr>
          <w:rFonts w:hint="default" w:ascii="Times New Roman" w:hAnsi="Times New Roman" w:cs="Times New Roman"/>
          <w:sz w:val="24"/>
          <w:szCs w:val="24"/>
        </w:rPr>
        <w:t>根据《环境影响评价技术导则  地表水环境》（HJ2.3-2018），本项目为水污染型建设项目，排放等级判定可依据下表；</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表1.5-6  建设项目地表水环境评价等级划分</w:t>
      </w:r>
    </w:p>
    <w:tbl>
      <w:tblPr>
        <w:tblStyle w:val="33"/>
        <w:tblW w:w="9713"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43"/>
        <w:gridCol w:w="1834"/>
        <w:gridCol w:w="61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743" w:type="dxa"/>
            <w:vMerge w:val="restart"/>
            <w:tcBorders>
              <w:top w:val="single" w:color="000000" w:sz="12" w:space="0"/>
              <w:left w:val="nil"/>
              <w:bottom w:val="single" w:color="000000" w:sz="4" w:space="0"/>
              <w:right w:val="single" w:color="000000"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评价等级</w:t>
            </w:r>
          </w:p>
        </w:tc>
        <w:tc>
          <w:tcPr>
            <w:tcW w:w="7970" w:type="dxa"/>
            <w:gridSpan w:val="2"/>
            <w:tcBorders>
              <w:top w:val="single" w:color="000000" w:sz="12" w:space="0"/>
              <w:left w:val="single" w:color="000000" w:sz="4" w:space="0"/>
              <w:bottom w:val="single" w:color="000000" w:sz="4" w:space="0"/>
              <w:right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判定依据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743" w:type="dxa"/>
            <w:vMerge w:val="continue"/>
            <w:tcBorders>
              <w:top w:val="single" w:color="000000" w:sz="12" w:space="0"/>
              <w:left w:val="nil"/>
              <w:bottom w:val="single" w:color="000000" w:sz="4" w:space="0"/>
              <w:right w:val="single" w:color="000000" w:sz="4" w:space="0"/>
            </w:tcBorders>
            <w:vAlign w:val="center"/>
          </w:tcPr>
          <w:p>
            <w:pPr>
              <w:widowControl/>
              <w:jc w:val="left"/>
              <w:rPr>
                <w:rFonts w:hint="default" w:ascii="Times New Roman" w:hAnsi="Times New Roman" w:cs="Times New Roman"/>
                <w:color w:val="000000"/>
                <w:szCs w:val="21"/>
              </w:rPr>
            </w:pPr>
          </w:p>
        </w:tc>
        <w:tc>
          <w:tcPr>
            <w:tcW w:w="183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排放方式</w:t>
            </w:r>
          </w:p>
        </w:tc>
        <w:tc>
          <w:tcPr>
            <w:tcW w:w="6136" w:type="dxa"/>
            <w:tcBorders>
              <w:top w:val="single" w:color="000000" w:sz="4" w:space="0"/>
              <w:left w:val="single" w:color="000000" w:sz="4" w:space="0"/>
              <w:bottom w:val="single" w:color="000000" w:sz="4" w:space="0"/>
              <w:right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废水排放量Q/（m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/d）；水污染物当量数W、（无量纲）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743" w:type="dxa"/>
            <w:tcBorders>
              <w:top w:val="single" w:color="000000" w:sz="4" w:space="0"/>
              <w:left w:val="nil"/>
              <w:bottom w:val="single" w:color="000000" w:sz="4" w:space="0"/>
              <w:right w:val="single" w:color="000000"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一级</w:t>
            </w:r>
          </w:p>
        </w:tc>
        <w:tc>
          <w:tcPr>
            <w:tcW w:w="183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直接排放</w:t>
            </w:r>
          </w:p>
        </w:tc>
        <w:tc>
          <w:tcPr>
            <w:tcW w:w="6136" w:type="dxa"/>
            <w:tcBorders>
              <w:top w:val="single" w:color="000000" w:sz="4" w:space="0"/>
              <w:left w:val="single" w:color="000000" w:sz="4" w:space="0"/>
              <w:bottom w:val="single" w:color="000000" w:sz="4" w:space="0"/>
              <w:right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Q≥20000或W≥600000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743" w:type="dxa"/>
            <w:tcBorders>
              <w:top w:val="single" w:color="000000" w:sz="4" w:space="0"/>
              <w:left w:val="nil"/>
              <w:bottom w:val="single" w:color="000000" w:sz="4" w:space="0"/>
              <w:right w:val="single" w:color="000000"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二级</w:t>
            </w:r>
          </w:p>
        </w:tc>
        <w:tc>
          <w:tcPr>
            <w:tcW w:w="183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直接排放</w:t>
            </w:r>
          </w:p>
        </w:tc>
        <w:tc>
          <w:tcPr>
            <w:tcW w:w="6136" w:type="dxa"/>
            <w:tcBorders>
              <w:top w:val="single" w:color="000000" w:sz="4" w:space="0"/>
              <w:left w:val="single" w:color="000000" w:sz="4" w:space="0"/>
              <w:bottom w:val="single" w:color="000000" w:sz="4" w:space="0"/>
              <w:right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其他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743" w:type="dxa"/>
            <w:tcBorders>
              <w:top w:val="single" w:color="000000" w:sz="4" w:space="0"/>
              <w:left w:val="nil"/>
              <w:bottom w:val="single" w:color="000000" w:sz="4" w:space="0"/>
              <w:right w:val="single" w:color="000000"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三级A</w:t>
            </w:r>
          </w:p>
        </w:tc>
        <w:tc>
          <w:tcPr>
            <w:tcW w:w="183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直接排放</w:t>
            </w:r>
          </w:p>
        </w:tc>
        <w:tc>
          <w:tcPr>
            <w:tcW w:w="6136" w:type="dxa"/>
            <w:tcBorders>
              <w:top w:val="single" w:color="000000" w:sz="4" w:space="0"/>
              <w:left w:val="single" w:color="000000" w:sz="4" w:space="0"/>
              <w:bottom w:val="single" w:color="000000" w:sz="4" w:space="0"/>
              <w:right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Q＜200且W＜6000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743" w:type="dxa"/>
            <w:tcBorders>
              <w:top w:val="single" w:color="000000" w:sz="4" w:space="0"/>
              <w:left w:val="nil"/>
              <w:bottom w:val="single" w:color="000000" w:sz="12" w:space="0"/>
              <w:right w:val="single" w:color="000000"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三级B</w:t>
            </w:r>
          </w:p>
        </w:tc>
        <w:tc>
          <w:tcPr>
            <w:tcW w:w="1834" w:type="dxa"/>
            <w:tcBorders>
              <w:top w:val="single" w:color="000000" w:sz="4" w:space="0"/>
              <w:left w:val="single" w:color="000000" w:sz="4" w:space="0"/>
              <w:bottom w:val="single" w:color="000000" w:sz="12" w:space="0"/>
              <w:right w:val="single" w:color="000000"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间接排放</w:t>
            </w:r>
          </w:p>
        </w:tc>
        <w:tc>
          <w:tcPr>
            <w:tcW w:w="6136" w:type="dxa"/>
            <w:tcBorders>
              <w:top w:val="single" w:color="000000" w:sz="4" w:space="0"/>
              <w:left w:val="single" w:color="000000" w:sz="4" w:space="0"/>
              <w:bottom w:val="single" w:color="000000" w:sz="12" w:space="0"/>
              <w:right w:val="nil"/>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r>
    </w:tbl>
    <w:p>
      <w:pPr>
        <w:spacing w:line="360" w:lineRule="auto"/>
        <w:rPr>
          <w:rFonts w:hint="default" w:ascii="Times New Roman" w:hAnsi="Times New Roman" w:cs="Times New Roman"/>
          <w:color w:val="FF0000"/>
          <w:sz w:val="24"/>
          <w:szCs w:val="24"/>
        </w:rPr>
      </w:pPr>
      <w:r>
        <w:rPr>
          <w:rFonts w:hint="default" w:ascii="Times New Roman" w:hAnsi="Times New Roman" w:cs="Times New Roman"/>
          <w:color w:val="000000"/>
        </w:rPr>
        <w:t xml:space="preserve">   </w:t>
      </w: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en-GB"/>
        </w:rPr>
        <w:t>拟建项目所产生的废水类型属简单类型有机废水，主要污染物为COD、BOD</w:t>
      </w:r>
      <w:r>
        <w:rPr>
          <w:rFonts w:hint="default" w:ascii="Times New Roman" w:hAnsi="Times New Roman" w:cs="Times New Roman"/>
          <w:color w:val="000000"/>
          <w:sz w:val="24"/>
          <w:szCs w:val="24"/>
          <w:vertAlign w:val="subscript"/>
          <w:lang w:val="en-GB"/>
        </w:rPr>
        <w:t>5</w:t>
      </w:r>
      <w:r>
        <w:rPr>
          <w:rFonts w:hint="default" w:ascii="Times New Roman" w:hAnsi="Times New Roman" w:cs="Times New Roman"/>
          <w:color w:val="000000"/>
          <w:sz w:val="24"/>
          <w:szCs w:val="24"/>
          <w:lang w:val="en-GB"/>
        </w:rPr>
        <w:t>、NH</w:t>
      </w:r>
      <w:r>
        <w:rPr>
          <w:rFonts w:hint="default" w:ascii="Times New Roman" w:hAnsi="Times New Roman" w:cs="Times New Roman"/>
          <w:color w:val="000000"/>
          <w:sz w:val="24"/>
          <w:szCs w:val="24"/>
          <w:vertAlign w:val="subscript"/>
          <w:lang w:val="en-GB"/>
        </w:rPr>
        <w:t>3</w:t>
      </w:r>
      <w:r>
        <w:rPr>
          <w:rFonts w:hint="default" w:ascii="Times New Roman" w:hAnsi="Times New Roman" w:cs="Times New Roman"/>
          <w:color w:val="000000"/>
          <w:sz w:val="24"/>
          <w:szCs w:val="24"/>
          <w:lang w:val="en-GB"/>
        </w:rPr>
        <w:t>-N等，全部实现综合利用，无废水外排。</w:t>
      </w:r>
      <w:r>
        <w:rPr>
          <w:rFonts w:hint="default" w:ascii="Times New Roman" w:hAnsi="Times New Roman" w:cs="Times New Roman"/>
          <w:color w:val="000000"/>
          <w:sz w:val="24"/>
          <w:szCs w:val="24"/>
        </w:rPr>
        <w:t>根据《环境影响评价技术导则  地表水环境》（HJ2.3-2018），</w:t>
      </w:r>
      <w:r>
        <w:rPr>
          <w:rFonts w:hint="default" w:ascii="Times New Roman" w:hAnsi="Times New Roman" w:cs="Times New Roman"/>
          <w:b/>
          <w:color w:val="000000"/>
          <w:sz w:val="24"/>
          <w:szCs w:val="24"/>
        </w:rPr>
        <w:t>确定本项目地表水环境影响评价等级为三级B。</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（2）评价范围</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三级B评价项目不进行进一步评价与预测。</w:t>
      </w:r>
    </w:p>
    <w:p>
      <w:pPr>
        <w:spacing w:line="360" w:lineRule="auto"/>
        <w:ind w:firstLine="522" w:firstLineChars="200"/>
        <w:outlineLvl w:val="2"/>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1.5.3 声环境</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（1）评价等级</w:t>
      </w:r>
    </w:p>
    <w:p>
      <w:pPr>
        <w:pStyle w:val="12"/>
        <w:kinsoku w:val="0"/>
        <w:overflowPunct w:val="0"/>
        <w:spacing w:after="0"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本项目执行标准确认的函，项目所处的区域为2类声功能区。项目建成后评价范围内敏感目标夜间噪声级最大增高量为3.89dB(A)，依据《环境影响评价技术导则-声环境》（HJ2.4-2009）规定，声环境影响评价等级定为二级。</w:t>
      </w:r>
    </w:p>
    <w:p>
      <w:pPr>
        <w:pStyle w:val="12"/>
        <w:kinsoku w:val="0"/>
        <w:overflowPunct w:val="0"/>
        <w:spacing w:after="0"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（2）评价范围</w:t>
      </w:r>
    </w:p>
    <w:p>
      <w:pPr>
        <w:pStyle w:val="12"/>
        <w:kinsoku w:val="0"/>
        <w:overflowPunct w:val="0"/>
        <w:spacing w:after="0"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项目场界外200m。</w:t>
      </w:r>
    </w:p>
    <w:p>
      <w:pPr>
        <w:spacing w:line="360" w:lineRule="auto"/>
        <w:ind w:firstLine="522" w:firstLineChars="200"/>
        <w:outlineLvl w:val="2"/>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1.5.4 地下水</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（1）评价等级</w:t>
      </w:r>
    </w:p>
    <w:p>
      <w:pPr>
        <w:spacing w:line="360" w:lineRule="auto"/>
        <w:ind w:firstLine="480" w:firstLineChars="200"/>
        <w:rPr>
          <w:rFonts w:hint="default" w:ascii="Times New Roman" w:hAnsi="Times New Roman" w:cs="Times New Roman"/>
          <w:b/>
          <w:sz w:val="24"/>
          <w:szCs w:val="24"/>
        </w:rPr>
      </w:pPr>
      <w:r>
        <w:rPr>
          <w:rFonts w:hint="default" w:ascii="Times New Roman" w:hAnsi="Times New Roman" w:cs="Times New Roman"/>
          <w:sz w:val="24"/>
          <w:szCs w:val="24"/>
        </w:rPr>
        <w:t>根据《环境影响评价技术导则—地下水环境》(HJ610-2016)的规定，畜禽养殖场、养殖全部为</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3 \* ROMAN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III</w:t>
      </w:r>
      <w:r>
        <w:rPr>
          <w:rFonts w:hint="default" w:ascii="Times New Roman" w:hAnsi="Times New Roman" w:cs="Times New Roman"/>
          <w:sz w:val="24"/>
          <w:szCs w:val="24"/>
        </w:rPr>
        <w:fldChar w:fldCharType="end"/>
      </w:r>
      <w:r>
        <w:rPr>
          <w:rFonts w:hint="default" w:ascii="Times New Roman" w:hAnsi="Times New Roman" w:cs="Times New Roman"/>
          <w:sz w:val="24"/>
          <w:szCs w:val="24"/>
        </w:rPr>
        <w:t>类项目，项目附近无集中式饮用水水源准保护区以及其他国家或地方政府设定的与地下水环境相关的其它保护区。项目周边农户日常用水虽均来自自来水，但目前部分住户仍保留水井，用于自来水停水时饮用，水井属于分散式饮用水水源地。因此，项目属于较敏感项目。根据HJ610-2016中表2评价工作等级分级表判断，</w:t>
      </w:r>
      <w:r>
        <w:rPr>
          <w:rFonts w:hint="default" w:ascii="Times New Roman" w:hAnsi="Times New Roman" w:cs="Times New Roman"/>
          <w:b/>
          <w:sz w:val="24"/>
          <w:szCs w:val="24"/>
        </w:rPr>
        <w:t>确定本项目地下水环境影响评价工作等级为三级。</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（2）评价范围</w:t>
      </w:r>
    </w:p>
    <w:p>
      <w:pPr>
        <w:kinsoku w:val="0"/>
        <w:overflowPunct w:val="0"/>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地下水环境现状调查评价范围应包括与建设项目相关的地下水环境保护目标，以能说明地下水环境的现状，反应调查评价区地下水基本流场特征，满足地下水环境影响预测和评价为基本原则。</w:t>
      </w:r>
    </w:p>
    <w:p>
      <w:pPr>
        <w:kinsoku w:val="0"/>
        <w:overflowPunct w:val="0"/>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根据《环境影响评价技术导则地下水环境》（HJ 610-2016）查表法，可知项目调查评价面积</w:t>
      </w:r>
      <w:r>
        <w:rPr>
          <w:rFonts w:hint="default" w:ascii="Times New Roman" w:hAnsi="Times New Roman" w:cs="Times New Roman"/>
          <w:sz w:val="24"/>
          <w:szCs w:val="24"/>
          <w:lang w:val="en-US" w:eastAsia="zh-CN"/>
        </w:rPr>
        <w:t>5.56</w:t>
      </w:r>
      <w:r>
        <w:rPr>
          <w:rFonts w:hint="default" w:ascii="Times New Roman" w:hAnsi="Times New Roman" w:cs="Times New Roman"/>
          <w:sz w:val="24"/>
          <w:szCs w:val="24"/>
        </w:rPr>
        <w:t>km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表1.5-7 地下水环境现状调查评价范围参照表</w:t>
      </w:r>
    </w:p>
    <w:tbl>
      <w:tblPr>
        <w:tblStyle w:val="33"/>
        <w:tblW w:w="971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3554"/>
        <w:gridCol w:w="42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kinsoku w:val="0"/>
              <w:overflowPunct w:val="0"/>
              <w:jc w:val="center"/>
              <w:rPr>
                <w:rFonts w:hint="default" w:ascii="Times New Roman" w:hAnsi="Times New Roman" w:cs="Times New Roman"/>
                <w:szCs w:val="21"/>
              </w:rPr>
            </w:pPr>
            <w:r>
              <w:rPr>
                <w:rFonts w:hint="default" w:ascii="Times New Roman" w:hAnsi="Times New Roman" w:cs="Times New Roman"/>
                <w:szCs w:val="21"/>
              </w:rPr>
              <w:t>评价等级</w:t>
            </w:r>
          </w:p>
        </w:tc>
        <w:tc>
          <w:tcPr>
            <w:tcW w:w="3554" w:type="dxa"/>
            <w:vAlign w:val="center"/>
          </w:tcPr>
          <w:p>
            <w:pPr>
              <w:kinsoku w:val="0"/>
              <w:overflowPunct w:val="0"/>
              <w:jc w:val="center"/>
              <w:rPr>
                <w:rFonts w:hint="default" w:ascii="Times New Roman" w:hAnsi="Times New Roman" w:cs="Times New Roman"/>
                <w:szCs w:val="21"/>
              </w:rPr>
            </w:pPr>
            <w:r>
              <w:rPr>
                <w:rFonts w:hint="default" w:ascii="Times New Roman" w:hAnsi="Times New Roman" w:cs="Times New Roman"/>
                <w:szCs w:val="21"/>
              </w:rPr>
              <w:t>调查评价面积（km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258" w:type="dxa"/>
            <w:vAlign w:val="center"/>
          </w:tcPr>
          <w:p>
            <w:pPr>
              <w:kinsoku w:val="0"/>
              <w:overflowPunct w:val="0"/>
              <w:jc w:val="center"/>
              <w:rPr>
                <w:rFonts w:hint="default" w:ascii="Times New Roman" w:hAnsi="Times New Roman" w:cs="Times New Roman"/>
                <w:szCs w:val="21"/>
              </w:rPr>
            </w:pPr>
            <w:r>
              <w:rPr>
                <w:rFonts w:hint="default" w:ascii="Times New Roman" w:hAnsi="Times New Roman" w:cs="Times New Roman"/>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kinsoku w:val="0"/>
              <w:overflowPunct w:val="0"/>
              <w:jc w:val="center"/>
              <w:rPr>
                <w:rFonts w:hint="default" w:ascii="Times New Roman" w:hAnsi="Times New Roman" w:cs="Times New Roman"/>
                <w:szCs w:val="21"/>
              </w:rPr>
            </w:pPr>
            <w:r>
              <w:rPr>
                <w:rFonts w:hint="default" w:ascii="Times New Roman" w:hAnsi="Times New Roman" w:cs="Times New Roman"/>
                <w:szCs w:val="21"/>
              </w:rPr>
              <w:t>一级</w:t>
            </w:r>
          </w:p>
        </w:tc>
        <w:tc>
          <w:tcPr>
            <w:tcW w:w="3554" w:type="dxa"/>
            <w:vAlign w:val="center"/>
          </w:tcPr>
          <w:p>
            <w:pPr>
              <w:kinsoku w:val="0"/>
              <w:overflowPunct w:val="0"/>
              <w:jc w:val="center"/>
              <w:rPr>
                <w:rFonts w:hint="default" w:ascii="Times New Roman" w:hAnsi="Times New Roman" w:cs="Times New Roman"/>
                <w:szCs w:val="21"/>
              </w:rPr>
            </w:pPr>
            <w:r>
              <w:rPr>
                <w:rFonts w:hint="default" w:ascii="Times New Roman" w:hAnsi="Times New Roman" w:cs="Times New Roman"/>
                <w:szCs w:val="21"/>
              </w:rPr>
              <w:t>≥20</w:t>
            </w:r>
          </w:p>
        </w:tc>
        <w:tc>
          <w:tcPr>
            <w:tcW w:w="4258" w:type="dxa"/>
            <w:vMerge w:val="restart"/>
            <w:vAlign w:val="center"/>
          </w:tcPr>
          <w:p>
            <w:pPr>
              <w:kinsoku w:val="0"/>
              <w:overflowPunct w:val="0"/>
              <w:jc w:val="center"/>
              <w:rPr>
                <w:rFonts w:hint="default" w:ascii="Times New Roman" w:hAnsi="Times New Roman" w:cs="Times New Roman"/>
                <w:szCs w:val="21"/>
              </w:rPr>
            </w:pPr>
            <w:r>
              <w:rPr>
                <w:rFonts w:hint="default" w:ascii="Times New Roman" w:hAnsi="Times New Roman" w:cs="Times New Roman"/>
                <w:szCs w:val="21"/>
              </w:rPr>
              <w:t>应包括重要的地下水环境保护目标，必要时适当扩大范围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kinsoku w:val="0"/>
              <w:overflowPunct w:val="0"/>
              <w:jc w:val="center"/>
              <w:rPr>
                <w:rFonts w:hint="default" w:ascii="Times New Roman" w:hAnsi="Times New Roman" w:cs="Times New Roman"/>
                <w:szCs w:val="21"/>
              </w:rPr>
            </w:pPr>
            <w:r>
              <w:rPr>
                <w:rFonts w:hint="default" w:ascii="Times New Roman" w:hAnsi="Times New Roman" w:cs="Times New Roman"/>
                <w:szCs w:val="21"/>
              </w:rPr>
              <w:t>二级</w:t>
            </w:r>
          </w:p>
        </w:tc>
        <w:tc>
          <w:tcPr>
            <w:tcW w:w="3554" w:type="dxa"/>
            <w:vAlign w:val="center"/>
          </w:tcPr>
          <w:p>
            <w:pPr>
              <w:kinsoku w:val="0"/>
              <w:overflowPunct w:val="0"/>
              <w:jc w:val="center"/>
              <w:rPr>
                <w:rFonts w:hint="default" w:ascii="Times New Roman" w:hAnsi="Times New Roman" w:cs="Times New Roman"/>
                <w:szCs w:val="21"/>
              </w:rPr>
            </w:pPr>
            <w:r>
              <w:rPr>
                <w:rFonts w:hint="default" w:ascii="Times New Roman" w:hAnsi="Times New Roman" w:cs="Times New Roman"/>
                <w:szCs w:val="21"/>
              </w:rPr>
              <w:t>6~20</w:t>
            </w:r>
          </w:p>
        </w:tc>
        <w:tc>
          <w:tcPr>
            <w:tcW w:w="4258" w:type="dxa"/>
            <w:vMerge w:val="continue"/>
            <w:vAlign w:val="center"/>
          </w:tcPr>
          <w:p>
            <w:pPr>
              <w:kinsoku w:val="0"/>
              <w:overflowPunct w:val="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kinsoku w:val="0"/>
              <w:overflowPunct w:val="0"/>
              <w:jc w:val="center"/>
              <w:rPr>
                <w:rFonts w:hint="default" w:ascii="Times New Roman" w:hAnsi="Times New Roman" w:cs="Times New Roman"/>
                <w:szCs w:val="21"/>
              </w:rPr>
            </w:pPr>
            <w:r>
              <w:rPr>
                <w:rFonts w:hint="default" w:ascii="Times New Roman" w:hAnsi="Times New Roman" w:cs="Times New Roman"/>
                <w:szCs w:val="21"/>
              </w:rPr>
              <w:t>三级</w:t>
            </w:r>
          </w:p>
        </w:tc>
        <w:tc>
          <w:tcPr>
            <w:tcW w:w="3554" w:type="dxa"/>
            <w:vAlign w:val="center"/>
          </w:tcPr>
          <w:p>
            <w:pPr>
              <w:kinsoku w:val="0"/>
              <w:overflowPunct w:val="0"/>
              <w:jc w:val="center"/>
              <w:rPr>
                <w:rFonts w:hint="default" w:ascii="Times New Roman" w:hAnsi="Times New Roman" w:cs="Times New Roman"/>
                <w:szCs w:val="21"/>
              </w:rPr>
            </w:pPr>
            <w:r>
              <w:rPr>
                <w:rFonts w:hint="default" w:ascii="Times New Roman" w:hAnsi="Times New Roman" w:cs="Times New Roman"/>
                <w:szCs w:val="21"/>
              </w:rPr>
              <w:t>≤6</w:t>
            </w:r>
          </w:p>
        </w:tc>
        <w:tc>
          <w:tcPr>
            <w:tcW w:w="4258" w:type="dxa"/>
            <w:vMerge w:val="continue"/>
            <w:vAlign w:val="center"/>
          </w:tcPr>
          <w:p>
            <w:pPr>
              <w:kinsoku w:val="0"/>
              <w:overflowPunct w:val="0"/>
              <w:jc w:val="center"/>
              <w:rPr>
                <w:rFonts w:hint="default" w:ascii="Times New Roman" w:hAnsi="Times New Roman" w:cs="Times New Roman"/>
                <w:szCs w:val="21"/>
              </w:rPr>
            </w:pPr>
          </w:p>
        </w:tc>
      </w:tr>
    </w:tbl>
    <w:p>
      <w:pPr>
        <w:spacing w:line="360" w:lineRule="auto"/>
        <w:ind w:firstLine="522" w:firstLineChars="200"/>
        <w:outlineLvl w:val="2"/>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1.5.5 生态环境</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（1）评价等级</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根据《环境影响评价技术导则  生态环境》（HJ19-2011），项目评价区域面积为1.9684km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&lt;2km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，项目影响区域为一般区域，不属于特殊生态敏感区和重要生态敏感区</w:t>
      </w:r>
      <w:r>
        <w:rPr>
          <w:rFonts w:hint="default" w:ascii="Times New Roman" w:hAnsi="Times New Roman" w:cs="Times New Roman"/>
          <w:b/>
          <w:sz w:val="24"/>
          <w:szCs w:val="24"/>
        </w:rPr>
        <w:t>，因此，确定该项目生态影响评价为三级，</w:t>
      </w:r>
      <w:r>
        <w:rPr>
          <w:rFonts w:hint="default" w:ascii="Times New Roman" w:hAnsi="Times New Roman" w:cs="Times New Roman"/>
          <w:sz w:val="24"/>
          <w:szCs w:val="24"/>
        </w:rPr>
        <w:t>具体判别依据见表2.5-8。通过对该工程和项目所在区域基本情况的初步分析，项目所在地生态敏感程度低，生态环境影响评价工作可适当简化。</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表1.5-8   生态影响评价工作等级划分表</w:t>
      </w:r>
    </w:p>
    <w:tbl>
      <w:tblPr>
        <w:tblStyle w:val="33"/>
        <w:tblW w:w="9713" w:type="dxa"/>
        <w:jc w:val="center"/>
        <w:tblInd w:w="0" w:type="dxa"/>
        <w:tblLayout w:type="fixed"/>
        <w:tblCellMar>
          <w:top w:w="0" w:type="dxa"/>
          <w:left w:w="108" w:type="dxa"/>
          <w:bottom w:w="0" w:type="dxa"/>
          <w:right w:w="108" w:type="dxa"/>
        </w:tblCellMar>
      </w:tblPr>
      <w:tblGrid>
        <w:gridCol w:w="2500"/>
        <w:gridCol w:w="2486"/>
        <w:gridCol w:w="2283"/>
        <w:gridCol w:w="2444"/>
      </w:tblGrid>
      <w:tr>
        <w:tblPrEx>
          <w:tblLayout w:type="fixed"/>
          <w:tblCellMar>
            <w:top w:w="0" w:type="dxa"/>
            <w:left w:w="108" w:type="dxa"/>
            <w:bottom w:w="0" w:type="dxa"/>
            <w:right w:w="108" w:type="dxa"/>
          </w:tblCellMar>
        </w:tblPrEx>
        <w:trPr>
          <w:jc w:val="center"/>
        </w:trPr>
        <w:tc>
          <w:tcPr>
            <w:tcW w:w="2500" w:type="dxa"/>
            <w:vMerge w:val="restart"/>
            <w:tcBorders>
              <w:top w:val="single" w:color="auto" w:sz="12" w:space="0"/>
              <w:left w:val="nil"/>
              <w:bottom w:val="single" w:color="auto" w:sz="12"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影响区域生态敏感性</w:t>
            </w:r>
          </w:p>
        </w:tc>
        <w:tc>
          <w:tcPr>
            <w:tcW w:w="7213" w:type="dxa"/>
            <w:gridSpan w:val="3"/>
            <w:tcBorders>
              <w:top w:val="single" w:color="auto" w:sz="12" w:space="0"/>
              <w:left w:val="single" w:color="auto" w:sz="4" w:space="0"/>
              <w:bottom w:val="single" w:color="auto" w:sz="4" w:space="0"/>
              <w:right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工程占地（水域）范围</w:t>
            </w:r>
          </w:p>
        </w:tc>
      </w:tr>
      <w:tr>
        <w:tblPrEx>
          <w:tblLayout w:type="fixed"/>
          <w:tblCellMar>
            <w:top w:w="0" w:type="dxa"/>
            <w:left w:w="108" w:type="dxa"/>
            <w:bottom w:w="0" w:type="dxa"/>
            <w:right w:w="108" w:type="dxa"/>
          </w:tblCellMar>
        </w:tblPrEx>
        <w:trPr>
          <w:jc w:val="center"/>
        </w:trPr>
        <w:tc>
          <w:tcPr>
            <w:tcW w:w="2500" w:type="dxa"/>
            <w:vMerge w:val="continue"/>
            <w:tcBorders>
              <w:top w:val="single" w:color="auto" w:sz="12" w:space="0"/>
              <w:left w:val="nil"/>
              <w:bottom w:val="single" w:color="auto" w:sz="12" w:space="0"/>
              <w:right w:val="single" w:color="auto" w:sz="4" w:space="0"/>
            </w:tcBorders>
            <w:vAlign w:val="center"/>
          </w:tcPr>
          <w:p>
            <w:pPr>
              <w:widowControl/>
              <w:jc w:val="center"/>
              <w:rPr>
                <w:rFonts w:hint="default" w:ascii="Times New Roman" w:hAnsi="Times New Roman" w:cs="Times New Roman"/>
                <w:szCs w:val="21"/>
              </w:rPr>
            </w:pPr>
          </w:p>
        </w:tc>
        <w:tc>
          <w:tcPr>
            <w:tcW w:w="2486"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面积≥20km</w:t>
            </w:r>
            <w:r>
              <w:rPr>
                <w:rFonts w:hint="default" w:ascii="Times New Roman" w:hAnsi="Times New Roman" w:cs="Times New Roman"/>
                <w:szCs w:val="21"/>
                <w:vertAlign w:val="superscript"/>
              </w:rPr>
              <w:t>2</w:t>
            </w:r>
          </w:p>
          <w:p>
            <w:pPr>
              <w:jc w:val="center"/>
              <w:rPr>
                <w:rFonts w:hint="default" w:ascii="Times New Roman" w:hAnsi="Times New Roman" w:cs="Times New Roman"/>
                <w:szCs w:val="21"/>
              </w:rPr>
            </w:pPr>
            <w:r>
              <w:rPr>
                <w:rFonts w:hint="default" w:ascii="Times New Roman" w:hAnsi="Times New Roman" w:cs="Times New Roman"/>
                <w:szCs w:val="21"/>
              </w:rPr>
              <w:t>或长度≥100km</w:t>
            </w:r>
          </w:p>
        </w:tc>
        <w:tc>
          <w:tcPr>
            <w:tcW w:w="2283"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面积2～20km</w:t>
            </w:r>
            <w:r>
              <w:rPr>
                <w:rFonts w:hint="default" w:ascii="Times New Roman" w:hAnsi="Times New Roman" w:cs="Times New Roman"/>
                <w:szCs w:val="21"/>
                <w:vertAlign w:val="superscript"/>
              </w:rPr>
              <w:t>2</w:t>
            </w:r>
          </w:p>
          <w:p>
            <w:pPr>
              <w:jc w:val="center"/>
              <w:rPr>
                <w:rFonts w:hint="default" w:ascii="Times New Roman" w:hAnsi="Times New Roman" w:cs="Times New Roman"/>
                <w:szCs w:val="21"/>
              </w:rPr>
            </w:pPr>
            <w:r>
              <w:rPr>
                <w:rFonts w:hint="default" w:ascii="Times New Roman" w:hAnsi="Times New Roman" w:cs="Times New Roman"/>
                <w:szCs w:val="21"/>
              </w:rPr>
              <w:t>或长度50～100km</w:t>
            </w:r>
          </w:p>
        </w:tc>
        <w:tc>
          <w:tcPr>
            <w:tcW w:w="2444" w:type="dxa"/>
            <w:tcBorders>
              <w:top w:val="single" w:color="auto" w:sz="4" w:space="0"/>
              <w:left w:val="single" w:color="auto" w:sz="4" w:space="0"/>
              <w:bottom w:val="single" w:color="auto" w:sz="12" w:space="0"/>
              <w:right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面积≤2km</w:t>
            </w:r>
            <w:r>
              <w:rPr>
                <w:rFonts w:hint="default" w:ascii="Times New Roman" w:hAnsi="Times New Roman" w:cs="Times New Roman"/>
                <w:szCs w:val="21"/>
                <w:vertAlign w:val="superscript"/>
              </w:rPr>
              <w:t>2</w:t>
            </w:r>
          </w:p>
          <w:p>
            <w:pPr>
              <w:jc w:val="center"/>
              <w:rPr>
                <w:rFonts w:hint="default" w:ascii="Times New Roman" w:hAnsi="Times New Roman" w:cs="Times New Roman"/>
                <w:szCs w:val="21"/>
              </w:rPr>
            </w:pPr>
            <w:r>
              <w:rPr>
                <w:rFonts w:hint="default" w:ascii="Times New Roman" w:hAnsi="Times New Roman" w:cs="Times New Roman"/>
                <w:szCs w:val="21"/>
              </w:rPr>
              <w:t>或长度≤50km</w:t>
            </w:r>
          </w:p>
        </w:tc>
      </w:tr>
      <w:tr>
        <w:tblPrEx>
          <w:tblLayout w:type="fixed"/>
          <w:tblCellMar>
            <w:top w:w="0" w:type="dxa"/>
            <w:left w:w="108" w:type="dxa"/>
            <w:bottom w:w="0" w:type="dxa"/>
            <w:right w:w="108" w:type="dxa"/>
          </w:tblCellMar>
        </w:tblPrEx>
        <w:trPr>
          <w:jc w:val="center"/>
        </w:trPr>
        <w:tc>
          <w:tcPr>
            <w:tcW w:w="2500" w:type="dxa"/>
            <w:tcBorders>
              <w:top w:val="single" w:color="auto" w:sz="12" w:space="0"/>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特殊生态敏感区</w:t>
            </w:r>
          </w:p>
        </w:tc>
        <w:tc>
          <w:tcPr>
            <w:tcW w:w="2486" w:type="dxa"/>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一级</w:t>
            </w:r>
          </w:p>
        </w:tc>
        <w:tc>
          <w:tcPr>
            <w:tcW w:w="2283" w:type="dxa"/>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一级</w:t>
            </w:r>
          </w:p>
        </w:tc>
        <w:tc>
          <w:tcPr>
            <w:tcW w:w="2444" w:type="dxa"/>
            <w:tcBorders>
              <w:top w:val="single" w:color="auto" w:sz="12" w:space="0"/>
              <w:left w:val="single" w:color="auto" w:sz="4" w:space="0"/>
              <w:bottom w:val="single" w:color="auto" w:sz="4" w:space="0"/>
              <w:right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一级</w:t>
            </w:r>
          </w:p>
        </w:tc>
      </w:tr>
      <w:tr>
        <w:tblPrEx>
          <w:tblLayout w:type="fixed"/>
          <w:tblCellMar>
            <w:top w:w="0" w:type="dxa"/>
            <w:left w:w="108" w:type="dxa"/>
            <w:bottom w:w="0" w:type="dxa"/>
            <w:right w:w="108" w:type="dxa"/>
          </w:tblCellMar>
        </w:tblPrEx>
        <w:trPr>
          <w:jc w:val="center"/>
        </w:trPr>
        <w:tc>
          <w:tcPr>
            <w:tcW w:w="250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重要生态敏感区</w:t>
            </w:r>
          </w:p>
        </w:tc>
        <w:tc>
          <w:tcPr>
            <w:tcW w:w="248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一级</w:t>
            </w:r>
          </w:p>
        </w:tc>
        <w:tc>
          <w:tcPr>
            <w:tcW w:w="228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二级</w:t>
            </w:r>
          </w:p>
        </w:tc>
        <w:tc>
          <w:tcPr>
            <w:tcW w:w="2444" w:type="dxa"/>
            <w:tcBorders>
              <w:top w:val="single" w:color="auto" w:sz="4" w:space="0"/>
              <w:left w:val="single" w:color="auto" w:sz="4" w:space="0"/>
              <w:bottom w:val="single" w:color="auto" w:sz="4" w:space="0"/>
              <w:right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三级</w:t>
            </w:r>
          </w:p>
        </w:tc>
      </w:tr>
      <w:tr>
        <w:tblPrEx>
          <w:tblLayout w:type="fixed"/>
          <w:tblCellMar>
            <w:top w:w="0" w:type="dxa"/>
            <w:left w:w="108" w:type="dxa"/>
            <w:bottom w:w="0" w:type="dxa"/>
            <w:right w:w="108" w:type="dxa"/>
          </w:tblCellMar>
        </w:tblPrEx>
        <w:trPr>
          <w:jc w:val="center"/>
        </w:trPr>
        <w:tc>
          <w:tcPr>
            <w:tcW w:w="2500" w:type="dxa"/>
            <w:tcBorders>
              <w:top w:val="single" w:color="auto" w:sz="4" w:space="0"/>
              <w:left w:val="nil"/>
              <w:bottom w:val="single" w:color="auto" w:sz="12"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一般区域</w:t>
            </w:r>
          </w:p>
        </w:tc>
        <w:tc>
          <w:tcPr>
            <w:tcW w:w="2486"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二级</w:t>
            </w:r>
          </w:p>
        </w:tc>
        <w:tc>
          <w:tcPr>
            <w:tcW w:w="2283"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三级</w:t>
            </w:r>
          </w:p>
        </w:tc>
        <w:tc>
          <w:tcPr>
            <w:tcW w:w="2444" w:type="dxa"/>
            <w:tcBorders>
              <w:top w:val="single" w:color="auto" w:sz="4" w:space="0"/>
              <w:left w:val="single" w:color="auto" w:sz="4" w:space="0"/>
              <w:bottom w:val="single" w:color="auto" w:sz="12" w:space="0"/>
              <w:right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三级</w:t>
            </w:r>
          </w:p>
        </w:tc>
      </w:tr>
    </w:tbl>
    <w:p>
      <w:pPr>
        <w:numPr>
          <w:ilvl w:val="0"/>
          <w:numId w:val="1"/>
        </w:num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评价范围</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工程厂界外200m范围</w:t>
      </w:r>
    </w:p>
    <w:p>
      <w:pPr>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1.5.6 环境风险评价等级</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 169-2018）中C.1.1危险物质与临界量比值计算方式如下示：</w:t>
      </w:r>
    </w:p>
    <w:p>
      <w:pPr>
        <w:pStyle w:val="2"/>
        <w:spacing w:line="360" w:lineRule="auto"/>
        <w:jc w:val="center"/>
        <w:rPr>
          <w:rFonts w:hint="default" w:ascii="Times New Roman" w:hAnsi="Times New Roman" w:cs="Times New Roman"/>
          <w:color w:val="auto"/>
        </w:rPr>
      </w:pPr>
      <w:r>
        <w:rPr>
          <w:rFonts w:hint="default" w:ascii="Times New Roman" w:hAnsi="Times New Roman" w:cs="Times New Roman"/>
          <w:color w:val="auto"/>
          <w:position w:val="-30"/>
        </w:rPr>
        <w:object>
          <v:shape id="_x0000_i1026" o:spt="75" type="#_x0000_t75" style="height:30.7pt;width:108.3pt;" o:ole="t" filled="f" o:preferrelative="t" stroked="f" coordsize="21600,21600">
            <v:path/>
            <v:fill on="f" focussize="0,0"/>
            <v:stroke on="f" joinstyle="miter"/>
            <v:imagedata r:id="rId24" o:title=""/>
            <o:lock v:ext="edit" aspectratio="t"/>
            <w10:wrap type="none"/>
            <w10:anchorlock/>
          </v:shape>
          <o:OLEObject Type="Embed" ProgID="Equation.KSEE3" ShapeID="_x0000_i1026" DrawAspect="Content" ObjectID="_1468075726" r:id="rId23">
            <o:LockedField>false</o:LockedField>
          </o:OLEObject>
        </w:object>
      </w:r>
    </w:p>
    <w:p>
      <w:pPr>
        <w:pStyle w:val="2"/>
        <w:spacing w:line="360" w:lineRule="auto"/>
        <w:jc w:val="both"/>
        <w:rPr>
          <w:rFonts w:hint="default" w:ascii="Times New Roman" w:hAnsi="Times New Roman" w:cs="Times New Roman"/>
        </w:rPr>
      </w:pPr>
      <w:r>
        <w:rPr>
          <w:rFonts w:hint="default" w:ascii="Times New Roman" w:hAnsi="Times New Roman" w:cs="Times New Roman"/>
          <w:color w:val="auto"/>
        </w:rPr>
        <w:t xml:space="preserve">     </w:t>
      </w:r>
      <w:r>
        <w:rPr>
          <w:rFonts w:hint="default" w:ascii="Times New Roman" w:hAnsi="Times New Roman" w:cs="Times New Roman"/>
        </w:rPr>
        <w:t>式中：q</w:t>
      </w:r>
      <w:r>
        <w:rPr>
          <w:rFonts w:hint="default" w:ascii="Times New Roman" w:hAnsi="Times New Roman" w:cs="Times New Roman"/>
          <w:vertAlign w:val="subscript"/>
        </w:rPr>
        <w:t>1</w:t>
      </w:r>
      <w:r>
        <w:rPr>
          <w:rFonts w:hint="default" w:ascii="Times New Roman" w:hAnsi="Times New Roman" w:cs="Times New Roman"/>
        </w:rPr>
        <w:t>，q</w:t>
      </w:r>
      <w:r>
        <w:rPr>
          <w:rFonts w:hint="default" w:ascii="Times New Roman" w:hAnsi="Times New Roman" w:cs="Times New Roman"/>
          <w:vertAlign w:val="subscript"/>
        </w:rPr>
        <w:t>2</w:t>
      </w:r>
      <w:r>
        <w:rPr>
          <w:rFonts w:hint="default" w:ascii="Times New Roman" w:hAnsi="Times New Roman" w:cs="Times New Roman"/>
        </w:rPr>
        <w:t>，...，q</w:t>
      </w:r>
      <w:r>
        <w:rPr>
          <w:rFonts w:hint="default" w:ascii="Times New Roman" w:hAnsi="Times New Roman" w:cs="Times New Roman"/>
          <w:vertAlign w:val="subscript"/>
        </w:rPr>
        <w:t>n</w:t>
      </w:r>
      <w:r>
        <w:rPr>
          <w:rFonts w:hint="default" w:ascii="Times New Roman" w:hAnsi="Times New Roman" w:cs="Times New Roman"/>
        </w:rPr>
        <w:t>——每种危险物质的最大存在总量，t。</w:t>
      </w:r>
    </w:p>
    <w:p>
      <w:pPr>
        <w:pStyle w:val="2"/>
        <w:spacing w:line="360" w:lineRule="auto"/>
        <w:jc w:val="both"/>
        <w:rPr>
          <w:rFonts w:hint="default" w:ascii="Times New Roman" w:hAnsi="Times New Roman" w:cs="Times New Roman"/>
        </w:rPr>
      </w:pPr>
      <w:r>
        <w:rPr>
          <w:rFonts w:hint="default" w:ascii="Times New Roman" w:hAnsi="Times New Roman" w:cs="Times New Roman"/>
        </w:rPr>
        <w:t xml:space="preserve">           Q</w:t>
      </w:r>
      <w:r>
        <w:rPr>
          <w:rFonts w:hint="default" w:ascii="Times New Roman" w:hAnsi="Times New Roman" w:cs="Times New Roman"/>
          <w:vertAlign w:val="subscript"/>
        </w:rPr>
        <w:t>1</w:t>
      </w:r>
      <w:r>
        <w:rPr>
          <w:rFonts w:hint="default" w:ascii="Times New Roman" w:hAnsi="Times New Roman" w:cs="Times New Roman"/>
        </w:rPr>
        <w:t>，Q</w:t>
      </w:r>
      <w:r>
        <w:rPr>
          <w:rFonts w:hint="default" w:ascii="Times New Roman" w:hAnsi="Times New Roman" w:cs="Times New Roman"/>
          <w:vertAlign w:val="subscript"/>
        </w:rPr>
        <w:t>1</w:t>
      </w:r>
      <w:r>
        <w:rPr>
          <w:rFonts w:hint="default" w:ascii="Times New Roman" w:hAnsi="Times New Roman" w:cs="Times New Roman"/>
        </w:rPr>
        <w:t>，...，Q</w:t>
      </w:r>
      <w:r>
        <w:rPr>
          <w:rFonts w:hint="default" w:ascii="Times New Roman" w:hAnsi="Times New Roman" w:cs="Times New Roman"/>
          <w:vertAlign w:val="subscript"/>
        </w:rPr>
        <w:t>n</w:t>
      </w:r>
      <w:r>
        <w:rPr>
          <w:rFonts w:hint="default" w:ascii="Times New Roman" w:hAnsi="Times New Roman" w:cs="Times New Roman"/>
        </w:rPr>
        <w:t>——每种危险物质的临界量，t。</w:t>
      </w:r>
    </w:p>
    <w:p>
      <w:pPr>
        <w:pStyle w:val="2"/>
        <w:spacing w:line="360" w:lineRule="auto"/>
        <w:jc w:val="both"/>
        <w:rPr>
          <w:rFonts w:hint="default" w:ascii="Times New Roman" w:hAnsi="Times New Roman" w:cs="Times New Roman"/>
        </w:rPr>
      </w:pPr>
      <w:r>
        <w:rPr>
          <w:rFonts w:hint="default" w:ascii="Times New Roman" w:hAnsi="Times New Roman" w:cs="Times New Roman"/>
        </w:rPr>
        <w:t xml:space="preserve">           当Q＜1时，该项目环境风险潜势为</w:t>
      </w:r>
      <w:r>
        <w:rPr>
          <w:rFonts w:hint="default" w:ascii="Times New Roman" w:hAnsi="Times New Roman" w:cs="Times New Roman"/>
        </w:rPr>
        <w:fldChar w:fldCharType="begin"/>
      </w:r>
      <w:r>
        <w:rPr>
          <w:rFonts w:hint="default" w:ascii="Times New Roman" w:hAnsi="Times New Roman" w:cs="Times New Roman"/>
        </w:rPr>
        <w:instrText xml:space="preserve"> = 1 \* ROMAN </w:instrText>
      </w:r>
      <w:r>
        <w:rPr>
          <w:rFonts w:hint="default" w:ascii="Times New Roman" w:hAnsi="Times New Roman" w:cs="Times New Roman"/>
        </w:rPr>
        <w:fldChar w:fldCharType="separate"/>
      </w:r>
      <w:r>
        <w:rPr>
          <w:rFonts w:hint="default" w:ascii="Times New Roman" w:hAnsi="Times New Roman" w:cs="Times New Roman"/>
        </w:rPr>
        <w:t>I</w:t>
      </w:r>
      <w:r>
        <w:rPr>
          <w:rFonts w:hint="default" w:ascii="Times New Roman" w:hAnsi="Times New Roman" w:cs="Times New Roman"/>
        </w:rPr>
        <w:fldChar w:fldCharType="end"/>
      </w:r>
      <w:r>
        <w:rPr>
          <w:rFonts w:hint="default" w:ascii="Times New Roman" w:hAnsi="Times New Roman" w:cs="Times New Roman"/>
        </w:rPr>
        <w:t>。</w:t>
      </w:r>
    </w:p>
    <w:p>
      <w:pPr>
        <w:pStyle w:val="2"/>
        <w:spacing w:line="360" w:lineRule="auto"/>
        <w:jc w:val="both"/>
        <w:rPr>
          <w:rFonts w:hint="default" w:ascii="Times New Roman" w:hAnsi="Times New Roman" w:cs="Times New Roman"/>
          <w:color w:val="auto"/>
        </w:rPr>
      </w:pPr>
      <w:r>
        <w:rPr>
          <w:rFonts w:hint="default" w:ascii="Times New Roman" w:hAnsi="Times New Roman" w:cs="Times New Roman"/>
        </w:rPr>
        <w:t xml:space="preserve">           当Q≥1时，将Q值划</w:t>
      </w:r>
      <w:r>
        <w:rPr>
          <w:rFonts w:hint="default" w:ascii="Times New Roman" w:hAnsi="Times New Roman" w:cs="Times New Roman"/>
          <w:color w:val="auto"/>
        </w:rPr>
        <w:t>分为：（1）1≤Q＜10；（2）10≤Q≤100；（3）Q≥100。</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 xml:space="preserve"> 根据附录B所确定的重大危险源物质临界量表。本项目具体临界量见下表：</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表1.5-9   环境风险物质与临界量比值</w:t>
      </w:r>
    </w:p>
    <w:tbl>
      <w:tblPr>
        <w:tblStyle w:val="33"/>
        <w:tblW w:w="9274"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45"/>
        <w:gridCol w:w="2144"/>
        <w:gridCol w:w="2392"/>
        <w:gridCol w:w="1379"/>
        <w:gridCol w:w="1276"/>
        <w:gridCol w:w="133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193" w:hRule="atLeast"/>
          <w:jc w:val="center"/>
        </w:trPr>
        <w:tc>
          <w:tcPr>
            <w:tcW w:w="745"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序号</w:t>
            </w:r>
          </w:p>
        </w:tc>
        <w:tc>
          <w:tcPr>
            <w:tcW w:w="2144"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环境风险物质名称</w:t>
            </w:r>
          </w:p>
        </w:tc>
        <w:tc>
          <w:tcPr>
            <w:tcW w:w="2392"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实际最大存在量（t）</w:t>
            </w:r>
          </w:p>
        </w:tc>
        <w:tc>
          <w:tcPr>
            <w:tcW w:w="1379"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临界值（t）</w:t>
            </w:r>
          </w:p>
        </w:tc>
        <w:tc>
          <w:tcPr>
            <w:tcW w:w="1276"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q/Q</w:t>
            </w:r>
          </w:p>
        </w:tc>
        <w:tc>
          <w:tcPr>
            <w:tcW w:w="1338"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kern w:val="0"/>
                <w:position w:val="-28"/>
                <w:szCs w:val="21"/>
              </w:rPr>
              <w:object>
                <v:shape id="_x0000_i1027" o:spt="75" type="#_x0000_t75" style="height:33.75pt;width:21.75pt;" o:ole="t" filled="f" o:preferrelative="t" stroked="f" coordsize="21600,21600">
                  <v:path/>
                  <v:fill on="f" focussize="0,0"/>
                  <v:stroke on="f" joinstyle="miter"/>
                  <v:imagedata r:id="rId26" o:title=""/>
                  <o:lock v:ext="edit" aspectratio="t"/>
                  <w10:wrap type="none"/>
                  <w10:anchorlock/>
                </v:shape>
                <o:OLEObject Type="Embed" ProgID="Equation.3" ShapeID="_x0000_i1027" DrawAspect="Content" ObjectID="_1468075727" r:id="rId25">
                  <o:LockedField>false</o:LockedField>
                </o:OLEObject>
              </w:object>
            </w:r>
            <w:r>
              <w:rPr>
                <w:rFonts w:hint="default" w:ascii="Times New Roman" w:hAnsi="Times New Roman" w:cs="Times New Roman"/>
                <w:kern w:val="0"/>
                <w:szCs w:val="21"/>
              </w:rPr>
              <w:t>q</w:t>
            </w:r>
            <w:r>
              <w:rPr>
                <w:rFonts w:hint="default" w:ascii="Times New Roman" w:hAnsi="Times New Roman" w:cs="Times New Roman"/>
                <w:kern w:val="0"/>
                <w:szCs w:val="21"/>
                <w:vertAlign w:val="subscript"/>
              </w:rPr>
              <w:t>i</w:t>
            </w:r>
            <w:r>
              <w:rPr>
                <w:rFonts w:hint="default" w:ascii="Times New Roman" w:hAnsi="Times New Roman" w:cs="Times New Roman"/>
                <w:kern w:val="0"/>
                <w:szCs w:val="21"/>
              </w:rPr>
              <w:t>/Q</w:t>
            </w:r>
            <w:r>
              <w:rPr>
                <w:rFonts w:hint="default" w:ascii="Times New Roman" w:hAnsi="Times New Roman" w:cs="Times New Roman"/>
                <w:kern w:val="0"/>
                <w:szCs w:val="21"/>
                <w:vertAlign w:val="subscript"/>
              </w:rPr>
              <w:t>i</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745"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w:t>
            </w:r>
          </w:p>
        </w:tc>
        <w:tc>
          <w:tcPr>
            <w:tcW w:w="214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柴油</w:t>
            </w:r>
          </w:p>
        </w:tc>
        <w:tc>
          <w:tcPr>
            <w:tcW w:w="2392"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0.02</w:t>
            </w:r>
          </w:p>
        </w:tc>
        <w:tc>
          <w:tcPr>
            <w:tcW w:w="1379"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2500</w:t>
            </w:r>
          </w:p>
        </w:tc>
        <w:tc>
          <w:tcPr>
            <w:tcW w:w="1276"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0.000008</w:t>
            </w:r>
          </w:p>
        </w:tc>
        <w:tc>
          <w:tcPr>
            <w:tcW w:w="1338" w:type="dxa"/>
            <w:vMerge w:val="restart"/>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0.500008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745"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2</w:t>
            </w:r>
          </w:p>
        </w:tc>
        <w:tc>
          <w:tcPr>
            <w:tcW w:w="214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沼气（以甲烷计算）</w:t>
            </w:r>
          </w:p>
        </w:tc>
        <w:tc>
          <w:tcPr>
            <w:tcW w:w="2392"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kern w:val="0"/>
                <w:szCs w:val="21"/>
              </w:rPr>
              <w:t>5.0</w:t>
            </w:r>
          </w:p>
        </w:tc>
        <w:tc>
          <w:tcPr>
            <w:tcW w:w="1379"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kern w:val="0"/>
                <w:szCs w:val="21"/>
              </w:rPr>
              <w:t>10</w:t>
            </w:r>
          </w:p>
        </w:tc>
        <w:tc>
          <w:tcPr>
            <w:tcW w:w="1276"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0.5</w:t>
            </w:r>
          </w:p>
        </w:tc>
        <w:tc>
          <w:tcPr>
            <w:tcW w:w="1338" w:type="dxa"/>
            <w:vMerge w:val="continue"/>
            <w:vAlign w:val="center"/>
          </w:tcPr>
          <w:p>
            <w:pPr>
              <w:autoSpaceDE w:val="0"/>
              <w:autoSpaceDN w:val="0"/>
              <w:adjustRightInd w:val="0"/>
              <w:jc w:val="center"/>
              <w:rPr>
                <w:rFonts w:hint="default" w:ascii="Times New Roman" w:hAnsi="Times New Roman" w:cs="Times New Roman"/>
                <w:color w:val="000000"/>
                <w:kern w:val="0"/>
                <w:szCs w:val="21"/>
              </w:rPr>
            </w:pPr>
          </w:p>
        </w:tc>
      </w:tr>
    </w:tbl>
    <w:p>
      <w:pPr>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由上表的计算可知，本项目Q值为0.</w:t>
      </w:r>
      <w:r>
        <w:rPr>
          <w:rFonts w:hint="eastAsia" w:ascii="Times New Roman" w:hAnsi="Times New Roman" w:cs="Times New Roman"/>
          <w:bCs/>
          <w:kern w:val="0"/>
          <w:sz w:val="24"/>
          <w:szCs w:val="24"/>
          <w:lang w:val="en-US" w:eastAsia="zh-CN"/>
        </w:rPr>
        <w:t>5</w:t>
      </w:r>
      <w:r>
        <w:rPr>
          <w:rFonts w:hint="default" w:ascii="Times New Roman" w:hAnsi="Times New Roman" w:cs="Times New Roman"/>
          <w:bCs/>
          <w:kern w:val="0"/>
          <w:sz w:val="24"/>
          <w:szCs w:val="24"/>
        </w:rPr>
        <w:t>00008＜1，则本项目环境风险潜势为</w:t>
      </w:r>
      <w:r>
        <w:rPr>
          <w:rFonts w:hint="default" w:ascii="Times New Roman" w:hAnsi="Times New Roman" w:cs="Times New Roman"/>
          <w:bCs/>
          <w:kern w:val="0"/>
          <w:sz w:val="24"/>
          <w:szCs w:val="24"/>
        </w:rPr>
        <w:fldChar w:fldCharType="begin"/>
      </w:r>
      <w:r>
        <w:rPr>
          <w:rFonts w:hint="default" w:ascii="Times New Roman" w:hAnsi="Times New Roman" w:cs="Times New Roman"/>
          <w:bCs/>
          <w:kern w:val="0"/>
          <w:sz w:val="24"/>
          <w:szCs w:val="24"/>
        </w:rPr>
        <w:instrText xml:space="preserve"> = 1 \* ROMAN </w:instrText>
      </w:r>
      <w:r>
        <w:rPr>
          <w:rFonts w:hint="default" w:ascii="Times New Roman" w:hAnsi="Times New Roman" w:cs="Times New Roman"/>
          <w:bCs/>
          <w:kern w:val="0"/>
          <w:sz w:val="24"/>
          <w:szCs w:val="24"/>
        </w:rPr>
        <w:fldChar w:fldCharType="separate"/>
      </w:r>
      <w:r>
        <w:rPr>
          <w:rFonts w:hint="default" w:ascii="Times New Roman" w:hAnsi="Times New Roman" w:cs="Times New Roman"/>
          <w:bCs/>
          <w:kern w:val="0"/>
          <w:sz w:val="24"/>
          <w:szCs w:val="24"/>
        </w:rPr>
        <w:t>I</w:t>
      </w:r>
      <w:r>
        <w:rPr>
          <w:rFonts w:hint="default" w:ascii="Times New Roman" w:hAnsi="Times New Roman" w:cs="Times New Roman"/>
          <w:bCs/>
          <w:kern w:val="0"/>
          <w:sz w:val="24"/>
          <w:szCs w:val="24"/>
        </w:rPr>
        <w:fldChar w:fldCharType="end"/>
      </w:r>
      <w:r>
        <w:rPr>
          <w:rFonts w:hint="default" w:ascii="Times New Roman" w:hAnsi="Times New Roman" w:cs="Times New Roman"/>
          <w:bCs/>
          <w:kern w:val="0"/>
          <w:sz w:val="24"/>
          <w:szCs w:val="24"/>
        </w:rPr>
        <w:t>级。根据（HJ 169-2018）4.3评价工作等级划分，</w:t>
      </w:r>
      <w:r>
        <w:rPr>
          <w:rFonts w:hint="default" w:ascii="Times New Roman" w:hAnsi="Times New Roman" w:cs="Times New Roman"/>
          <w:b/>
          <w:bCs/>
          <w:kern w:val="0"/>
          <w:sz w:val="24"/>
          <w:szCs w:val="24"/>
        </w:rPr>
        <w:t>本项目评价等级为简单分析。</w:t>
      </w:r>
    </w:p>
    <w:p>
      <w:pPr>
        <w:spacing w:line="360" w:lineRule="auto"/>
        <w:ind w:firstLine="482" w:firstLineChars="200"/>
        <w:outlineLvl w:val="2"/>
        <w:rPr>
          <w:rFonts w:hint="default" w:ascii="Times New Roman" w:hAnsi="Times New Roman" w:cs="Times New Roman"/>
          <w:b/>
          <w:sz w:val="24"/>
          <w:szCs w:val="24"/>
        </w:rPr>
      </w:pPr>
      <w:bookmarkStart w:id="68" w:name="_Toc363720530"/>
      <w:bookmarkStart w:id="69" w:name="_Toc32652"/>
      <w:r>
        <w:rPr>
          <w:rFonts w:hint="default" w:ascii="Times New Roman" w:hAnsi="Times New Roman" w:cs="Times New Roman"/>
          <w:b/>
          <w:sz w:val="24"/>
          <w:szCs w:val="24"/>
        </w:rPr>
        <w:t>1.5.</w:t>
      </w:r>
      <w:r>
        <w:rPr>
          <w:rFonts w:hint="default" w:ascii="Times New Roman" w:hAnsi="Times New Roman" w:cs="Times New Roman"/>
          <w:b/>
          <w:sz w:val="24"/>
          <w:szCs w:val="24"/>
          <w:lang w:val="en-US" w:eastAsia="zh-CN"/>
        </w:rPr>
        <w:t>7</w:t>
      </w:r>
      <w:r>
        <w:rPr>
          <w:rFonts w:hint="default" w:ascii="Times New Roman" w:hAnsi="Times New Roman" w:cs="Times New Roman"/>
          <w:b/>
          <w:sz w:val="24"/>
          <w:szCs w:val="24"/>
        </w:rPr>
        <w:t xml:space="preserve"> </w:t>
      </w:r>
      <w:r>
        <w:rPr>
          <w:rFonts w:hint="default" w:ascii="Times New Roman" w:hAnsi="Times New Roman" w:cs="Times New Roman"/>
          <w:b/>
          <w:sz w:val="24"/>
          <w:szCs w:val="24"/>
          <w:lang w:eastAsia="zh-CN"/>
        </w:rPr>
        <w:t>土壤环境</w:t>
      </w:r>
      <w:r>
        <w:rPr>
          <w:rFonts w:hint="default" w:ascii="Times New Roman" w:hAnsi="Times New Roman" w:cs="Times New Roman"/>
          <w:b/>
          <w:sz w:val="24"/>
          <w:szCs w:val="24"/>
        </w:rPr>
        <w:t>评价等级</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（1）评价等级</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本项目为养殖场建设项目，属于污染影响型项目。根据《环境影响评价技术导则土壤环境（试行）》（HJ964-2018）中6.2.2.2、6.2.2.3污染影响型敏感程度以及评价工作等级划分如下表示：</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表1.5-10  污染影响型敏感程度分级表</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7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4" w:type="dxa"/>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敏感程度</w:t>
            </w:r>
          </w:p>
        </w:tc>
        <w:tc>
          <w:tcPr>
            <w:tcW w:w="7749" w:type="dxa"/>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4" w:type="dxa"/>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敏感</w:t>
            </w:r>
          </w:p>
        </w:tc>
        <w:tc>
          <w:tcPr>
            <w:tcW w:w="7749" w:type="dxa"/>
            <w:noWrap w:val="0"/>
            <w:vAlign w:val="center"/>
          </w:tcPr>
          <w:p>
            <w:pPr>
              <w:pStyle w:val="2"/>
              <w:rPr>
                <w:rFonts w:hint="default" w:ascii="Times New Roman" w:hAnsi="Times New Roman" w:cs="Times New Roman"/>
                <w:kern w:val="2"/>
                <w:sz w:val="21"/>
                <w:szCs w:val="21"/>
              </w:rPr>
            </w:pPr>
            <w:r>
              <w:rPr>
                <w:rFonts w:hint="default" w:ascii="Times New Roman" w:hAnsi="Times New Roman" w:cs="Times New Roman"/>
                <w:kern w:val="2"/>
                <w:sz w:val="21"/>
                <w:szCs w:val="21"/>
              </w:rPr>
              <w:t>建设项目周边存在耕地、园地、牧草地、饮用水水源或居民区、学校、医院、疗养院、养老院等土壤环境敏感目标的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4" w:type="dxa"/>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较敏感</w:t>
            </w:r>
          </w:p>
        </w:tc>
        <w:tc>
          <w:tcPr>
            <w:tcW w:w="7749" w:type="dxa"/>
            <w:noWrap w:val="0"/>
            <w:vAlign w:val="center"/>
          </w:tcPr>
          <w:p>
            <w:pPr>
              <w:pStyle w:val="2"/>
              <w:rPr>
                <w:rFonts w:hint="default" w:ascii="Times New Roman" w:hAnsi="Times New Roman" w:cs="Times New Roman"/>
                <w:kern w:val="2"/>
                <w:sz w:val="21"/>
                <w:szCs w:val="21"/>
              </w:rPr>
            </w:pPr>
            <w:r>
              <w:rPr>
                <w:rFonts w:hint="default" w:ascii="Times New Roman" w:hAnsi="Times New Roman" w:cs="Times New Roman"/>
                <w:kern w:val="2"/>
                <w:sz w:val="21"/>
                <w:szCs w:val="21"/>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4" w:type="dxa"/>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不敏感</w:t>
            </w:r>
          </w:p>
        </w:tc>
        <w:tc>
          <w:tcPr>
            <w:tcW w:w="7749" w:type="dxa"/>
            <w:noWrap w:val="0"/>
            <w:vAlign w:val="center"/>
          </w:tcPr>
          <w:p>
            <w:pPr>
              <w:pStyle w:val="2"/>
              <w:rPr>
                <w:rFonts w:hint="default" w:ascii="Times New Roman" w:hAnsi="Times New Roman" w:cs="Times New Roman"/>
                <w:kern w:val="2"/>
                <w:sz w:val="21"/>
                <w:szCs w:val="21"/>
              </w:rPr>
            </w:pPr>
            <w:r>
              <w:rPr>
                <w:rFonts w:hint="default" w:ascii="Times New Roman" w:hAnsi="Times New Roman" w:cs="Times New Roman"/>
                <w:kern w:val="2"/>
                <w:sz w:val="21"/>
                <w:szCs w:val="21"/>
              </w:rPr>
              <w:t>其他情况</w:t>
            </w:r>
          </w:p>
        </w:tc>
      </w:tr>
    </w:tbl>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pict>
          <v:shape id="_x0000_s2055" o:spid="_x0000_s2055" o:spt="32" type="#_x0000_t32" style="position:absolute;left:0pt;margin-left:43.75pt;margin-top:15.25pt;height:32.85pt;width:71.55pt;z-index:251896832;mso-width-relative:page;mso-height-relative:page;" filled="f" stroked="t" coordsize="21600,21600">
            <v:path arrowok="t"/>
            <v:fill on="f" focussize="0,0"/>
            <v:stroke color="#000000"/>
            <v:imagedata o:title=""/>
            <o:lock v:ext="edit" aspectratio="f"/>
          </v:shape>
        </w:pict>
      </w:r>
      <w:r>
        <w:rPr>
          <w:rFonts w:hint="default" w:ascii="Times New Roman" w:hAnsi="Times New Roman" w:eastAsia="黑体" w:cs="Times New Roman"/>
          <w:bCs/>
          <w:sz w:val="24"/>
          <w:szCs w:val="24"/>
        </w:rPr>
        <w:pict>
          <v:shape id="_x0000_s2057" o:spid="_x0000_s2057" o:spt="202" type="#_x0000_t202" style="position:absolute;left:0pt;margin-left:56.35pt;margin-top:11pt;height:19.25pt;width:61.3pt;z-index:251897856;mso-width-relative:page;mso-height-relative:page;" filled="f" stroked="f" coordsize="21600,21600">
            <v:path/>
            <v:fill on="f" focussize="0,0"/>
            <v:stroke on="f"/>
            <v:imagedata o:title=""/>
            <o:lock v:ext="edit"/>
            <v:textbox>
              <w:txbxContent>
                <w:p>
                  <w:pPr>
                    <w:rPr>
                      <w:sz w:val="21"/>
                      <w:szCs w:val="21"/>
                    </w:rPr>
                  </w:pPr>
                  <w:r>
                    <w:rPr>
                      <w:rFonts w:hint="eastAsia"/>
                      <w:sz w:val="21"/>
                      <w:szCs w:val="21"/>
                    </w:rPr>
                    <w:t>占地规模</w:t>
                  </w:r>
                </w:p>
              </w:txbxContent>
            </v:textbox>
          </v:shape>
        </w:pict>
      </w:r>
      <w:r>
        <w:rPr>
          <w:rFonts w:hint="default" w:ascii="Times New Roman" w:hAnsi="Times New Roman" w:eastAsia="黑体" w:cs="Times New Roman"/>
          <w:bCs/>
          <w:sz w:val="24"/>
          <w:szCs w:val="24"/>
        </w:rPr>
        <w:t>表1.5-11   污染影响型评价工作等级划分表</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27"/>
        <w:gridCol w:w="788"/>
        <w:gridCol w:w="875"/>
        <w:gridCol w:w="952"/>
        <w:gridCol w:w="764"/>
        <w:gridCol w:w="775"/>
        <w:gridCol w:w="771"/>
        <w:gridCol w:w="750"/>
        <w:gridCol w:w="750"/>
        <w:gridCol w:w="8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2427" w:type="dxa"/>
            <w:vMerge w:val="restart"/>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eastAsia="黑体" w:cs="Times New Roman"/>
                <w:bCs/>
                <w:sz w:val="24"/>
                <w:szCs w:val="24"/>
              </w:rPr>
              <w:pict>
                <v:shape id="_x0000_s2056" o:spid="_x0000_s2056" o:spt="202" type="#_x0000_t202" style="position:absolute;left:0pt;margin-left:7.95pt;margin-top:-1.3pt;height:24.35pt;width:59.1pt;z-index:251899904;mso-width-relative:page;mso-height-relative:page;" filled="f" stroked="f" coordsize="21600,21600">
                  <v:path/>
                  <v:fill on="f" focussize="0,0"/>
                  <v:stroke on="f"/>
                  <v:imagedata o:title=""/>
                  <o:lock v:ext="edit"/>
                  <v:textbox>
                    <w:txbxContent>
                      <w:p>
                        <w:pPr>
                          <w:rPr>
                            <w:sz w:val="21"/>
                            <w:szCs w:val="21"/>
                          </w:rPr>
                        </w:pPr>
                        <w:r>
                          <w:rPr>
                            <w:rFonts w:hint="eastAsia"/>
                            <w:sz w:val="21"/>
                            <w:szCs w:val="21"/>
                          </w:rPr>
                          <w:t>评价等级</w:t>
                        </w:r>
                      </w:p>
                    </w:txbxContent>
                  </v:textbox>
                </v:shape>
              </w:pict>
            </w:r>
            <w:r>
              <w:rPr>
                <w:rFonts w:hint="default" w:ascii="Times New Roman" w:hAnsi="Times New Roman" w:cs="Times New Roman"/>
                <w:kern w:val="2"/>
              </w:rPr>
              <w:pict>
                <v:shape id="_x0000_s2058" o:spid="_x0000_s2058" o:spt="202" type="#_x0000_t202" style="position:absolute;left:0pt;margin-left:-12.2pt;margin-top:13.45pt;height:24.35pt;width:59.1pt;z-index:251900928;mso-width-relative:page;mso-height-relative:page;" filled="f" stroked="f" coordsize="21600,21600">
                  <v:path/>
                  <v:fill on="f" focussize="0,0"/>
                  <v:stroke on="f"/>
                  <v:imagedata o:title=""/>
                  <o:lock v:ext="edit"/>
                  <v:textbox>
                    <w:txbxContent>
                      <w:p>
                        <w:pPr>
                          <w:rPr>
                            <w:sz w:val="21"/>
                            <w:szCs w:val="21"/>
                          </w:rPr>
                        </w:pPr>
                        <w:r>
                          <w:rPr>
                            <w:rFonts w:hint="eastAsia"/>
                            <w:sz w:val="21"/>
                            <w:szCs w:val="21"/>
                          </w:rPr>
                          <w:t>敏感程度</w:t>
                        </w:r>
                      </w:p>
                    </w:txbxContent>
                  </v:textbox>
                </v:shape>
              </w:pict>
            </w:r>
            <w:r>
              <w:rPr>
                <w:rFonts w:hint="default" w:ascii="Times New Roman" w:hAnsi="Times New Roman" w:cs="Times New Roman"/>
                <w:kern w:val="2"/>
              </w:rPr>
              <w:pict>
                <v:shape id="_x0000_s2059" o:spid="_x0000_s2059" o:spt="32" type="#_x0000_t32" style="position:absolute;left:0pt;margin-left:-4.95pt;margin-top:13.15pt;height:17.9pt;width:120.25pt;z-index:251898880;mso-width-relative:page;mso-height-relative:page;" filled="f" stroked="t" coordsize="21600,21600">
                  <v:path arrowok="t"/>
                  <v:fill on="f" focussize="0,0"/>
                  <v:stroke color="#000000"/>
                  <v:imagedata o:title=""/>
                  <o:lock v:ext="edit" aspectratio="f"/>
                </v:shape>
              </w:pict>
            </w:r>
            <w:r>
              <w:rPr>
                <w:rFonts w:hint="default" w:ascii="Times New Roman" w:hAnsi="Times New Roman" w:cs="Times New Roman"/>
                <w:kern w:val="2"/>
                <w:sz w:val="21"/>
                <w:szCs w:val="21"/>
              </w:rPr>
              <w:t xml:space="preserve">  </w:t>
            </w:r>
          </w:p>
        </w:tc>
        <w:tc>
          <w:tcPr>
            <w:tcW w:w="2615" w:type="dxa"/>
            <w:gridSpan w:val="3"/>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fldChar w:fldCharType="begin"/>
            </w:r>
            <w:r>
              <w:rPr>
                <w:rFonts w:hint="default" w:ascii="Times New Roman" w:hAnsi="Times New Roman" w:cs="Times New Roman"/>
                <w:kern w:val="2"/>
                <w:sz w:val="21"/>
                <w:szCs w:val="21"/>
              </w:rPr>
              <w:instrText xml:space="preserve"> = 1 \* ROMAN </w:instrText>
            </w:r>
            <w:r>
              <w:rPr>
                <w:rFonts w:hint="default" w:ascii="Times New Roman" w:hAnsi="Times New Roman" w:cs="Times New Roman"/>
                <w:kern w:val="2"/>
                <w:sz w:val="21"/>
                <w:szCs w:val="21"/>
              </w:rPr>
              <w:fldChar w:fldCharType="separate"/>
            </w:r>
            <w:r>
              <w:rPr>
                <w:rFonts w:hint="default" w:ascii="Times New Roman" w:hAnsi="Times New Roman" w:cs="Times New Roman"/>
                <w:kern w:val="2"/>
                <w:sz w:val="21"/>
                <w:szCs w:val="21"/>
              </w:rPr>
              <w:t>I</w:t>
            </w:r>
            <w:r>
              <w:rPr>
                <w:rFonts w:hint="default" w:ascii="Times New Roman" w:hAnsi="Times New Roman" w:cs="Times New Roman"/>
                <w:kern w:val="2"/>
                <w:sz w:val="21"/>
                <w:szCs w:val="21"/>
              </w:rPr>
              <w:fldChar w:fldCharType="end"/>
            </w:r>
            <w:r>
              <w:rPr>
                <w:rFonts w:hint="default" w:ascii="Times New Roman" w:hAnsi="Times New Roman" w:cs="Times New Roman"/>
                <w:kern w:val="2"/>
                <w:sz w:val="21"/>
                <w:szCs w:val="21"/>
              </w:rPr>
              <w:t>类</w:t>
            </w:r>
          </w:p>
        </w:tc>
        <w:tc>
          <w:tcPr>
            <w:tcW w:w="2310" w:type="dxa"/>
            <w:gridSpan w:val="3"/>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fldChar w:fldCharType="begin"/>
            </w:r>
            <w:r>
              <w:rPr>
                <w:rFonts w:hint="default" w:ascii="Times New Roman" w:hAnsi="Times New Roman" w:cs="Times New Roman"/>
                <w:kern w:val="2"/>
                <w:sz w:val="21"/>
                <w:szCs w:val="21"/>
              </w:rPr>
              <w:instrText xml:space="preserve"> = 2 \* ROMAN </w:instrText>
            </w:r>
            <w:r>
              <w:rPr>
                <w:rFonts w:hint="default" w:ascii="Times New Roman" w:hAnsi="Times New Roman" w:cs="Times New Roman"/>
                <w:kern w:val="2"/>
                <w:sz w:val="21"/>
                <w:szCs w:val="21"/>
              </w:rPr>
              <w:fldChar w:fldCharType="separate"/>
            </w:r>
            <w:r>
              <w:rPr>
                <w:rFonts w:hint="default" w:ascii="Times New Roman" w:hAnsi="Times New Roman" w:cs="Times New Roman"/>
                <w:kern w:val="2"/>
                <w:sz w:val="21"/>
                <w:szCs w:val="21"/>
              </w:rPr>
              <w:t>II</w:t>
            </w:r>
            <w:r>
              <w:rPr>
                <w:rFonts w:hint="default" w:ascii="Times New Roman" w:hAnsi="Times New Roman" w:cs="Times New Roman"/>
                <w:kern w:val="2"/>
                <w:sz w:val="21"/>
                <w:szCs w:val="21"/>
              </w:rPr>
              <w:fldChar w:fldCharType="end"/>
            </w:r>
            <w:r>
              <w:rPr>
                <w:rFonts w:hint="default" w:ascii="Times New Roman" w:hAnsi="Times New Roman" w:cs="Times New Roman"/>
                <w:kern w:val="2"/>
                <w:sz w:val="21"/>
                <w:szCs w:val="21"/>
              </w:rPr>
              <w:t>类</w:t>
            </w:r>
          </w:p>
        </w:tc>
        <w:tc>
          <w:tcPr>
            <w:tcW w:w="2361" w:type="dxa"/>
            <w:gridSpan w:val="3"/>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fldChar w:fldCharType="begin"/>
            </w:r>
            <w:r>
              <w:rPr>
                <w:rFonts w:hint="default" w:ascii="Times New Roman" w:hAnsi="Times New Roman" w:cs="Times New Roman"/>
                <w:kern w:val="2"/>
                <w:sz w:val="21"/>
                <w:szCs w:val="21"/>
              </w:rPr>
              <w:instrText xml:space="preserve"> = 3 \* ROMAN </w:instrText>
            </w:r>
            <w:r>
              <w:rPr>
                <w:rFonts w:hint="default" w:ascii="Times New Roman" w:hAnsi="Times New Roman" w:cs="Times New Roman"/>
                <w:kern w:val="2"/>
                <w:sz w:val="21"/>
                <w:szCs w:val="21"/>
              </w:rPr>
              <w:fldChar w:fldCharType="separate"/>
            </w:r>
            <w:r>
              <w:rPr>
                <w:rFonts w:hint="default" w:ascii="Times New Roman" w:hAnsi="Times New Roman" w:cs="Times New Roman"/>
                <w:kern w:val="2"/>
                <w:sz w:val="21"/>
                <w:szCs w:val="21"/>
              </w:rPr>
              <w:t>III</w:t>
            </w:r>
            <w:r>
              <w:rPr>
                <w:rFonts w:hint="default" w:ascii="Times New Roman" w:hAnsi="Times New Roman" w:cs="Times New Roman"/>
                <w:kern w:val="2"/>
                <w:sz w:val="21"/>
                <w:szCs w:val="21"/>
              </w:rPr>
              <w:fldChar w:fldCharType="end"/>
            </w:r>
            <w:r>
              <w:rPr>
                <w:rFonts w:hint="default" w:ascii="Times New Roman" w:hAnsi="Times New Roman" w:cs="Times New Roman"/>
                <w:kern w:val="2"/>
                <w:sz w:val="21"/>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2427" w:type="dxa"/>
            <w:vMerge w:val="continue"/>
            <w:noWrap w:val="0"/>
            <w:vAlign w:val="center"/>
          </w:tcPr>
          <w:p>
            <w:pPr>
              <w:pStyle w:val="2"/>
              <w:jc w:val="center"/>
              <w:rPr>
                <w:rFonts w:hint="default" w:ascii="Times New Roman" w:hAnsi="Times New Roman" w:cs="Times New Roman"/>
                <w:kern w:val="2"/>
              </w:rPr>
            </w:pPr>
          </w:p>
        </w:tc>
        <w:tc>
          <w:tcPr>
            <w:tcW w:w="788" w:type="dxa"/>
            <w:tcBorders>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大</w:t>
            </w:r>
          </w:p>
        </w:tc>
        <w:tc>
          <w:tcPr>
            <w:tcW w:w="875" w:type="dxa"/>
            <w:tcBorders>
              <w:left w:val="single" w:color="auto" w:sz="2" w:space="0"/>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中</w:t>
            </w:r>
          </w:p>
        </w:tc>
        <w:tc>
          <w:tcPr>
            <w:tcW w:w="952" w:type="dxa"/>
            <w:tcBorders>
              <w:lef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小</w:t>
            </w:r>
          </w:p>
        </w:tc>
        <w:tc>
          <w:tcPr>
            <w:tcW w:w="764" w:type="dxa"/>
            <w:tcBorders>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大</w:t>
            </w:r>
          </w:p>
        </w:tc>
        <w:tc>
          <w:tcPr>
            <w:tcW w:w="775" w:type="dxa"/>
            <w:tcBorders>
              <w:left w:val="single" w:color="auto" w:sz="2" w:space="0"/>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中</w:t>
            </w:r>
          </w:p>
        </w:tc>
        <w:tc>
          <w:tcPr>
            <w:tcW w:w="771" w:type="dxa"/>
            <w:tcBorders>
              <w:lef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小</w:t>
            </w:r>
          </w:p>
        </w:tc>
        <w:tc>
          <w:tcPr>
            <w:tcW w:w="750" w:type="dxa"/>
            <w:tcBorders>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大</w:t>
            </w:r>
          </w:p>
        </w:tc>
        <w:tc>
          <w:tcPr>
            <w:tcW w:w="750" w:type="dxa"/>
            <w:tcBorders>
              <w:left w:val="single" w:color="auto" w:sz="2" w:space="0"/>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中</w:t>
            </w:r>
          </w:p>
        </w:tc>
        <w:tc>
          <w:tcPr>
            <w:tcW w:w="861" w:type="dxa"/>
            <w:tcBorders>
              <w:lef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27" w:type="dxa"/>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敏感</w:t>
            </w:r>
          </w:p>
        </w:tc>
        <w:tc>
          <w:tcPr>
            <w:tcW w:w="788" w:type="dxa"/>
            <w:tcBorders>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一级</w:t>
            </w:r>
          </w:p>
        </w:tc>
        <w:tc>
          <w:tcPr>
            <w:tcW w:w="875" w:type="dxa"/>
            <w:tcBorders>
              <w:left w:val="single" w:color="auto" w:sz="2" w:space="0"/>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一级</w:t>
            </w:r>
          </w:p>
        </w:tc>
        <w:tc>
          <w:tcPr>
            <w:tcW w:w="952" w:type="dxa"/>
            <w:tcBorders>
              <w:lef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一级</w:t>
            </w:r>
          </w:p>
        </w:tc>
        <w:tc>
          <w:tcPr>
            <w:tcW w:w="764" w:type="dxa"/>
            <w:tcBorders>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二级</w:t>
            </w:r>
          </w:p>
        </w:tc>
        <w:tc>
          <w:tcPr>
            <w:tcW w:w="775" w:type="dxa"/>
            <w:tcBorders>
              <w:left w:val="single" w:color="auto" w:sz="2" w:space="0"/>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二级</w:t>
            </w:r>
          </w:p>
        </w:tc>
        <w:tc>
          <w:tcPr>
            <w:tcW w:w="771" w:type="dxa"/>
            <w:tcBorders>
              <w:lef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二级</w:t>
            </w:r>
          </w:p>
        </w:tc>
        <w:tc>
          <w:tcPr>
            <w:tcW w:w="750" w:type="dxa"/>
            <w:tcBorders>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三级</w:t>
            </w:r>
          </w:p>
        </w:tc>
        <w:tc>
          <w:tcPr>
            <w:tcW w:w="750" w:type="dxa"/>
            <w:tcBorders>
              <w:left w:val="single" w:color="auto" w:sz="2" w:space="0"/>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三级</w:t>
            </w:r>
          </w:p>
        </w:tc>
        <w:tc>
          <w:tcPr>
            <w:tcW w:w="861" w:type="dxa"/>
            <w:tcBorders>
              <w:lef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27" w:type="dxa"/>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较敏感</w:t>
            </w:r>
          </w:p>
        </w:tc>
        <w:tc>
          <w:tcPr>
            <w:tcW w:w="788" w:type="dxa"/>
            <w:tcBorders>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一级</w:t>
            </w:r>
          </w:p>
        </w:tc>
        <w:tc>
          <w:tcPr>
            <w:tcW w:w="875" w:type="dxa"/>
            <w:tcBorders>
              <w:left w:val="single" w:color="auto" w:sz="2" w:space="0"/>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一级</w:t>
            </w:r>
          </w:p>
        </w:tc>
        <w:tc>
          <w:tcPr>
            <w:tcW w:w="952" w:type="dxa"/>
            <w:tcBorders>
              <w:lef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二级</w:t>
            </w:r>
          </w:p>
        </w:tc>
        <w:tc>
          <w:tcPr>
            <w:tcW w:w="764" w:type="dxa"/>
            <w:tcBorders>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二级</w:t>
            </w:r>
          </w:p>
        </w:tc>
        <w:tc>
          <w:tcPr>
            <w:tcW w:w="775" w:type="dxa"/>
            <w:tcBorders>
              <w:left w:val="single" w:color="auto" w:sz="2" w:space="0"/>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二级</w:t>
            </w:r>
          </w:p>
        </w:tc>
        <w:tc>
          <w:tcPr>
            <w:tcW w:w="771" w:type="dxa"/>
            <w:tcBorders>
              <w:lef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三级</w:t>
            </w:r>
          </w:p>
        </w:tc>
        <w:tc>
          <w:tcPr>
            <w:tcW w:w="750" w:type="dxa"/>
            <w:tcBorders>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三级</w:t>
            </w:r>
          </w:p>
        </w:tc>
        <w:tc>
          <w:tcPr>
            <w:tcW w:w="750" w:type="dxa"/>
            <w:tcBorders>
              <w:left w:val="single" w:color="auto" w:sz="2" w:space="0"/>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三级</w:t>
            </w:r>
          </w:p>
        </w:tc>
        <w:tc>
          <w:tcPr>
            <w:tcW w:w="861" w:type="dxa"/>
            <w:tcBorders>
              <w:lef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27" w:type="dxa"/>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不敏感</w:t>
            </w:r>
          </w:p>
        </w:tc>
        <w:tc>
          <w:tcPr>
            <w:tcW w:w="788" w:type="dxa"/>
            <w:tcBorders>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一级</w:t>
            </w:r>
          </w:p>
        </w:tc>
        <w:tc>
          <w:tcPr>
            <w:tcW w:w="875" w:type="dxa"/>
            <w:tcBorders>
              <w:left w:val="single" w:color="auto" w:sz="2" w:space="0"/>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二级</w:t>
            </w:r>
          </w:p>
        </w:tc>
        <w:tc>
          <w:tcPr>
            <w:tcW w:w="952" w:type="dxa"/>
            <w:tcBorders>
              <w:lef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二级</w:t>
            </w:r>
          </w:p>
        </w:tc>
        <w:tc>
          <w:tcPr>
            <w:tcW w:w="764" w:type="dxa"/>
            <w:tcBorders>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二级</w:t>
            </w:r>
          </w:p>
        </w:tc>
        <w:tc>
          <w:tcPr>
            <w:tcW w:w="775" w:type="dxa"/>
            <w:tcBorders>
              <w:left w:val="single" w:color="auto" w:sz="2" w:space="0"/>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三级</w:t>
            </w:r>
          </w:p>
        </w:tc>
        <w:tc>
          <w:tcPr>
            <w:tcW w:w="771" w:type="dxa"/>
            <w:tcBorders>
              <w:lef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三级</w:t>
            </w:r>
          </w:p>
        </w:tc>
        <w:tc>
          <w:tcPr>
            <w:tcW w:w="750" w:type="dxa"/>
            <w:tcBorders>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三级</w:t>
            </w:r>
          </w:p>
        </w:tc>
        <w:tc>
          <w:tcPr>
            <w:tcW w:w="750" w:type="dxa"/>
            <w:tcBorders>
              <w:left w:val="single" w:color="auto" w:sz="2" w:space="0"/>
              <w:righ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w:t>
            </w:r>
          </w:p>
        </w:tc>
        <w:tc>
          <w:tcPr>
            <w:tcW w:w="861" w:type="dxa"/>
            <w:tcBorders>
              <w:left w:val="single" w:color="auto" w:sz="2" w:space="0"/>
            </w:tcBorders>
            <w:noWrap w:val="0"/>
            <w:vAlign w:val="center"/>
          </w:tcPr>
          <w:p>
            <w:pPr>
              <w:pStyle w:val="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13" w:type="dxa"/>
            <w:gridSpan w:val="10"/>
            <w:noWrap w:val="0"/>
            <w:vAlign w:val="center"/>
          </w:tcPr>
          <w:p>
            <w:pPr>
              <w:pStyle w:val="2"/>
              <w:rPr>
                <w:rFonts w:hint="default" w:ascii="Times New Roman" w:hAnsi="Times New Roman" w:cs="Times New Roman"/>
                <w:kern w:val="2"/>
                <w:sz w:val="21"/>
                <w:szCs w:val="21"/>
              </w:rPr>
            </w:pPr>
            <w:r>
              <w:rPr>
                <w:rFonts w:hint="default" w:ascii="Times New Roman" w:hAnsi="Times New Roman" w:cs="Times New Roman"/>
                <w:kern w:val="2"/>
                <w:sz w:val="21"/>
                <w:szCs w:val="21"/>
              </w:rPr>
              <w:t>注：“-”表示可不开展土壤环境影响评价工作。占地规模分为大型（≥50hm</w:t>
            </w:r>
            <w:r>
              <w:rPr>
                <w:rFonts w:hint="default" w:ascii="Times New Roman" w:hAnsi="Times New Roman" w:cs="Times New Roman"/>
                <w:kern w:val="2"/>
                <w:sz w:val="21"/>
                <w:szCs w:val="21"/>
                <w:vertAlign w:val="superscript"/>
              </w:rPr>
              <w:t>2</w:t>
            </w:r>
            <w:r>
              <w:rPr>
                <w:rFonts w:hint="default" w:ascii="Times New Roman" w:hAnsi="Times New Roman" w:cs="Times New Roman"/>
                <w:kern w:val="2"/>
                <w:sz w:val="21"/>
                <w:szCs w:val="21"/>
              </w:rPr>
              <w:t>）、中型（5~50hm</w:t>
            </w:r>
            <w:r>
              <w:rPr>
                <w:rFonts w:hint="default" w:ascii="Times New Roman" w:hAnsi="Times New Roman" w:cs="Times New Roman"/>
                <w:kern w:val="2"/>
                <w:sz w:val="21"/>
                <w:szCs w:val="21"/>
                <w:vertAlign w:val="superscript"/>
              </w:rPr>
              <w:t>2</w:t>
            </w:r>
            <w:r>
              <w:rPr>
                <w:rFonts w:hint="default" w:ascii="Times New Roman" w:hAnsi="Times New Roman" w:cs="Times New Roman"/>
                <w:kern w:val="2"/>
                <w:sz w:val="21"/>
                <w:szCs w:val="21"/>
              </w:rPr>
              <w:t>）、小型（≤5hm</w:t>
            </w:r>
            <w:r>
              <w:rPr>
                <w:rFonts w:hint="default" w:ascii="Times New Roman" w:hAnsi="Times New Roman" w:cs="Times New Roman"/>
                <w:kern w:val="2"/>
                <w:sz w:val="21"/>
                <w:szCs w:val="21"/>
                <w:vertAlign w:val="superscript"/>
              </w:rPr>
              <w:t>2</w:t>
            </w:r>
            <w:r>
              <w:rPr>
                <w:rFonts w:hint="default" w:ascii="Times New Roman" w:hAnsi="Times New Roman" w:cs="Times New Roman"/>
                <w:kern w:val="2"/>
                <w:sz w:val="21"/>
                <w:szCs w:val="21"/>
              </w:rPr>
              <w:t>）</w:t>
            </w:r>
          </w:p>
        </w:tc>
      </w:tr>
    </w:tbl>
    <w:p>
      <w:pPr>
        <w:pStyle w:val="2"/>
        <w:spacing w:line="360" w:lineRule="auto"/>
        <w:ind w:firstLine="480"/>
        <w:rPr>
          <w:rFonts w:hint="default" w:ascii="Times New Roman" w:hAnsi="Times New Roman" w:cs="Times New Roman"/>
        </w:rPr>
      </w:pPr>
      <w:r>
        <w:rPr>
          <w:rFonts w:hint="default" w:ascii="Times New Roman" w:hAnsi="Times New Roman" w:cs="Times New Roman"/>
        </w:rPr>
        <w:t>本项目占地面积为</w:t>
      </w:r>
      <w:r>
        <w:rPr>
          <w:rFonts w:hint="default" w:ascii="Times New Roman" w:hAnsi="Times New Roman" w:cs="Times New Roman"/>
          <w:lang w:val="en-US" w:eastAsia="zh-CN"/>
        </w:rPr>
        <w:t>1.97</w:t>
      </w:r>
      <w:r>
        <w:rPr>
          <w:rFonts w:hint="default" w:ascii="Times New Roman" w:hAnsi="Times New Roman" w:cs="Times New Roman"/>
        </w:rPr>
        <w:t>公顷，占地规模属于小型，本项目周边有耕地，敏感程度属于敏感。</w:t>
      </w:r>
      <w:r>
        <w:rPr>
          <w:rFonts w:hint="default" w:ascii="Times New Roman" w:hAnsi="Times New Roman" w:cs="Times New Roman"/>
          <w:b/>
        </w:rPr>
        <w:t>则本项目土壤评价等级为三级。</w:t>
      </w:r>
      <w:r>
        <w:rPr>
          <w:rFonts w:hint="default" w:ascii="Times New Roman" w:hAnsi="Times New Roman" w:cs="Times New Roma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rPr>
        <w:t>评价范围</w:t>
      </w:r>
    </w:p>
    <w:p>
      <w:pPr>
        <w:pStyle w:val="2"/>
        <w:spacing w:line="360" w:lineRule="auto"/>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b/>
        </w:rPr>
        <w:t xml:space="preserve"> </w:t>
      </w:r>
      <w:r>
        <w:rPr>
          <w:rFonts w:hint="default" w:ascii="Times New Roman" w:hAnsi="Times New Roman" w:cs="Times New Roman"/>
        </w:rPr>
        <w:t>本项目土壤评价范围为项目占地范围及占地范围外0.05km范围内。</w:t>
      </w:r>
    </w:p>
    <w:p>
      <w:pPr>
        <w:spacing w:line="360" w:lineRule="auto"/>
        <w:ind w:firstLine="482" w:firstLineChars="200"/>
        <w:outlineLvl w:val="2"/>
        <w:rPr>
          <w:rFonts w:hint="default" w:ascii="Times New Roman" w:hAnsi="Times New Roman" w:cs="Times New Roman"/>
          <w:b/>
          <w:sz w:val="24"/>
          <w:szCs w:val="24"/>
          <w:lang w:eastAsia="zh-CN"/>
        </w:rPr>
      </w:pPr>
      <w:r>
        <w:rPr>
          <w:rFonts w:hint="default" w:ascii="Times New Roman" w:hAnsi="Times New Roman" w:cs="Times New Roman"/>
          <w:b/>
          <w:sz w:val="24"/>
          <w:szCs w:val="24"/>
          <w:lang w:eastAsia="zh-CN"/>
        </w:rPr>
        <w:t>1.5.</w:t>
      </w:r>
      <w:r>
        <w:rPr>
          <w:rFonts w:hint="default" w:ascii="Times New Roman" w:hAnsi="Times New Roman" w:cs="Times New Roman"/>
          <w:b/>
          <w:sz w:val="24"/>
          <w:szCs w:val="24"/>
          <w:lang w:val="en-US" w:eastAsia="zh-CN"/>
        </w:rPr>
        <w:t>8</w:t>
      </w:r>
      <w:r>
        <w:rPr>
          <w:rFonts w:hint="default" w:ascii="Times New Roman" w:hAnsi="Times New Roman" w:cs="Times New Roman"/>
          <w:b/>
          <w:sz w:val="24"/>
          <w:szCs w:val="24"/>
          <w:lang w:eastAsia="zh-CN"/>
        </w:rPr>
        <w:t xml:space="preserve"> 评价重点</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主要评价内容：拟建工程概况及工程分析、环境质量现状监测与评价、施工期及营运期环境影响评价、清洁生产、污染防治措施及技术经济可行性论证、环境风险分析、产业政策符合性及选址布局合理性分析、环境经济损益分析、公众参与、环境影响评价结论和建议等。</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评价重点：主要分析项目采取的污染治理措施的可靠性和有效性及存在的问题，提出相应的对策措施。评价以工程分析为重点，着重分析大气污染物、水污染物，强化项目废水污染防治措施和应急措施的可行性分析。</w:t>
      </w:r>
    </w:p>
    <w:p>
      <w:pPr>
        <w:pStyle w:val="4"/>
        <w:spacing w:before="0" w:after="0" w:line="360" w:lineRule="auto"/>
        <w:rPr>
          <w:rFonts w:hint="default" w:ascii="Times New Roman" w:hAnsi="Times New Roman" w:cs="Times New Roman"/>
          <w:color w:val="000000"/>
          <w:sz w:val="28"/>
          <w:szCs w:val="28"/>
        </w:rPr>
      </w:pPr>
      <w:bookmarkStart w:id="70" w:name="_Toc23049"/>
      <w:r>
        <w:rPr>
          <w:rFonts w:hint="default" w:ascii="Times New Roman" w:hAnsi="Times New Roman" w:cs="Times New Roman"/>
          <w:color w:val="000000"/>
          <w:sz w:val="28"/>
          <w:szCs w:val="28"/>
        </w:rPr>
        <w:t>1.6 产业政策符合性及选址合理性分析</w:t>
      </w:r>
      <w:bookmarkEnd w:id="70"/>
    </w:p>
    <w:p>
      <w:pPr>
        <w:pStyle w:val="5"/>
        <w:spacing w:before="0" w:after="0" w:line="360" w:lineRule="auto"/>
        <w:ind w:firstLine="482" w:firstLineChars="200"/>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 xml:space="preserve">1.6.1 产业政策符合性分析  </w:t>
      </w:r>
    </w:p>
    <w:p>
      <w:pPr>
        <w:keepNext/>
        <w:keepLines/>
        <w:spacing w:line="360" w:lineRule="auto"/>
        <w:ind w:firstLine="480" w:firstLineChars="200"/>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本项目为生猪养殖项目，根据国家发改委第21号令《产业结构调整指导目录2011年本》(2013修正)的规定，本项目属于第一类，鼓励类，一、农林业中的第5条：“畜禽标准化规模养殖技术开发与应用”类别，项目符合国家相关产业政策。</w:t>
      </w:r>
    </w:p>
    <w:p>
      <w:pPr>
        <w:spacing w:line="360" w:lineRule="auto"/>
        <w:ind w:firstLine="482"/>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同时2018年09月04日夹江县发展和改革局同意项目备案，备案文号川投资备[2018-511126-03-03-297061]FGQB-0201号。</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因此，该项目符合国家现行产业政策。</w:t>
      </w:r>
    </w:p>
    <w:p>
      <w:pPr>
        <w:pStyle w:val="62"/>
        <w:ind w:firstLine="426"/>
        <w:jc w:val="both"/>
        <w:outlineLvl w:val="2"/>
        <w:rPr>
          <w:rFonts w:hint="default" w:ascii="Times New Roman" w:hAnsi="Times New Roman" w:cs="Times New Roman"/>
          <w:b/>
          <w:bCs/>
          <w:color w:val="000000"/>
        </w:rPr>
      </w:pPr>
      <w:r>
        <w:rPr>
          <w:rFonts w:hint="default" w:ascii="Times New Roman" w:hAnsi="Times New Roman" w:cs="Times New Roman"/>
          <w:b/>
          <w:bCs/>
          <w:color w:val="000000"/>
        </w:rPr>
        <w:t>1.6.2 规划符合性</w:t>
      </w:r>
    </w:p>
    <w:p>
      <w:pPr>
        <w:pStyle w:val="62"/>
        <w:ind w:firstLine="426"/>
        <w:jc w:val="both"/>
        <w:outlineLvl w:val="3"/>
        <w:rPr>
          <w:rFonts w:hint="default" w:ascii="Times New Roman" w:hAnsi="Times New Roman" w:cs="Times New Roman"/>
          <w:b/>
          <w:bCs/>
          <w:color w:val="000000"/>
        </w:rPr>
      </w:pPr>
      <w:r>
        <w:rPr>
          <w:rFonts w:hint="default" w:ascii="Times New Roman" w:hAnsi="Times New Roman" w:cs="Times New Roman"/>
          <w:b/>
          <w:bCs/>
          <w:color w:val="000000"/>
        </w:rPr>
        <w:t>1.6.2.1 与国家相关规划符合性分析</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（1）《国务院关于促进畜牧业持续健康发展的意见》（国发［2007]4号）中指出：</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规模化、标准化、产业化程度进一步提高，畜牧业生产初步实现向技术集约型、资源高效利用型、环境友好型转变，大力发展奶业，加快发展特种养殖业，发展规模养殖和畜禽养殖小区，抓好畜禽良种、饲料供给、动物防疫、养殖环境等基础工作，按照市场需求，加快建立一批标准化、规模化生产示范基地。全面推行草畜平衡。”本项目的建设对生猪养殖业健康发展起到积极作用，符合《国务院关于促进畜牧业持续健康发展的意见》相关规定。</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 xml:space="preserve">（2）《全国农垦经济和社会发展第十二个五年规划》 </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其“十二五”农垦规划主要内容有：加快养殖业生产方式转变，大幅提高养殖业比重，使养殖业成为垦区的支柱产业之一。围绕奶牛、生猪、家禽等优势养殖业。</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本项目为</w:t>
      </w:r>
      <w:r>
        <w:rPr>
          <w:rFonts w:hint="default" w:ascii="Times New Roman" w:hAnsi="Times New Roman" w:cs="Times New Roman"/>
        </w:rPr>
        <w:t>年出栏14000头生猪规模化养殖场，猪粪外售给夹江县果香四季家庭农场用作农肥（协议见附件11），污废水处理后全部用作夹江县三洞镇周冲村村民的林地、</w:t>
      </w:r>
      <w:r>
        <w:rPr>
          <w:rFonts w:hint="default" w:ascii="Times New Roman" w:hAnsi="Times New Roman" w:cs="Times New Roman"/>
          <w:lang w:eastAsia="zh-CN"/>
        </w:rPr>
        <w:t>农田</w:t>
      </w:r>
      <w:r>
        <w:rPr>
          <w:rFonts w:hint="default" w:ascii="Times New Roman" w:hAnsi="Times New Roman" w:cs="Times New Roman"/>
        </w:rPr>
        <w:t>和耕地施肥（协议见附件10），</w:t>
      </w:r>
      <w:r>
        <w:rPr>
          <w:rFonts w:hint="default" w:ascii="Times New Roman" w:hAnsi="Times New Roman" w:cs="Times New Roman"/>
          <w:color w:val="000000"/>
        </w:rPr>
        <w:t>形成良好的生态链，符合国家相关规划的要求。</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（3）与《全国畜禽养殖污染防治“十二五”规划》（环发正［2012]135 号）符合性</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本项目所在区域不在夹江县畜禽养殖区域的“禁养区和限养区”，属于“养殖区”；本项目采用干清粪工艺，养殖中产生的废水进入污水处理系统处理后，用作施肥；猪粪外销给夹江县果香四季家庭农场</w:t>
      </w:r>
      <w:r>
        <w:rPr>
          <w:rFonts w:hint="default" w:ascii="Times New Roman" w:hAnsi="Times New Roman" w:cs="Times New Roman"/>
          <w:color w:val="000000"/>
          <w:lang w:eastAsia="zh-CN"/>
        </w:rPr>
        <w:t>用于制作有机肥</w:t>
      </w:r>
      <w:r>
        <w:rPr>
          <w:rFonts w:hint="default" w:ascii="Times New Roman" w:hAnsi="Times New Roman" w:cs="Times New Roman"/>
          <w:color w:val="000000"/>
        </w:rPr>
        <w:t>。以上污染物治理措施符合《全国畜禽养殖污染防治“十二五”规划》相关规定。</w:t>
      </w:r>
    </w:p>
    <w:p>
      <w:pPr>
        <w:pStyle w:val="62"/>
        <w:ind w:firstLine="482" w:firstLineChars="200"/>
        <w:jc w:val="both"/>
        <w:outlineLvl w:val="3"/>
        <w:rPr>
          <w:rFonts w:hint="default" w:ascii="Times New Roman" w:hAnsi="Times New Roman" w:cs="Times New Roman"/>
          <w:b/>
          <w:bCs/>
          <w:color w:val="000000"/>
        </w:rPr>
      </w:pPr>
      <w:r>
        <w:rPr>
          <w:rFonts w:hint="default" w:ascii="Times New Roman" w:hAnsi="Times New Roman" w:cs="Times New Roman"/>
          <w:b/>
          <w:bCs/>
          <w:color w:val="000000"/>
        </w:rPr>
        <w:t>1.6.2.2 与四川省主体功能区规划符合性</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根据四川省主体功能区规划，夹江县不属于限制开发区域（农产品主产区），限制开发的主产区功能定位和发展方向是：国家优质商品猪战略保障基地，现代农业示范区，现代林业产业基地，特色农产品加工业发展的重点区域，农民安居乐业的美好家园。</w:t>
      </w:r>
    </w:p>
    <w:p>
      <w:pPr>
        <w:keepNext/>
        <w:keepLines/>
        <w:spacing w:line="360" w:lineRule="auto"/>
        <w:ind w:firstLine="480" w:firstLineChars="200"/>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项目位于夹江县三洞镇，建设种猪养殖项目，年出栏生猪14000头，为国家提供了优质的商品猪，符合《四川省主体功能区规划》。</w:t>
      </w:r>
    </w:p>
    <w:p>
      <w:pPr>
        <w:keepNext/>
        <w:keepLines/>
        <w:spacing w:line="360" w:lineRule="auto"/>
        <w:ind w:firstLine="482" w:firstLineChars="200"/>
        <w:outlineLvl w:val="3"/>
        <w:rPr>
          <w:rFonts w:hint="default" w:ascii="Times New Roman" w:hAnsi="Times New Roman" w:cs="Times New Roman"/>
          <w:b/>
          <w:bCs/>
          <w:color w:val="000000"/>
          <w:sz w:val="24"/>
          <w:szCs w:val="21"/>
        </w:rPr>
      </w:pPr>
      <w:r>
        <w:rPr>
          <w:rFonts w:hint="default" w:ascii="Times New Roman" w:hAnsi="Times New Roman" w:cs="Times New Roman"/>
          <w:b/>
          <w:bCs/>
          <w:color w:val="000000"/>
          <w:sz w:val="24"/>
          <w:szCs w:val="21"/>
        </w:rPr>
        <w:t>1.6.2.3 与《夹江县畜禽养殖区域规划》（2016）符合性分析</w:t>
      </w:r>
    </w:p>
    <w:p>
      <w:pPr>
        <w:jc w:val="left"/>
        <w:rPr>
          <w:rFonts w:hint="default" w:ascii="Times New Roman" w:hAnsi="Times New Roman" w:eastAsia="黑体" w:cs="Times New Roman"/>
          <w:bCs/>
          <w:sz w:val="24"/>
          <w:szCs w:val="24"/>
        </w:rPr>
      </w:pPr>
      <w:r>
        <w:rPr>
          <w:rFonts w:hint="eastAsia" w:ascii="Times New Roman" w:hAnsi="Times New Roman" w:cs="Times New Roman"/>
          <w:color w:val="000000"/>
          <w:sz w:val="24"/>
          <w:szCs w:val="21"/>
          <w:lang w:val="en-US" w:eastAsia="zh-CN"/>
        </w:rPr>
        <w:t xml:space="preserve">    </w:t>
      </w:r>
      <w:r>
        <w:rPr>
          <w:rFonts w:hint="default" w:ascii="Times New Roman" w:hAnsi="Times New Roman" w:cs="Times New Roman"/>
          <w:color w:val="000000"/>
          <w:sz w:val="24"/>
          <w:szCs w:val="21"/>
        </w:rPr>
        <w:t>本项目与《夹江县畜禽养殖区域规划》（2016）（见附件12，附图2）符合性分析见下表。</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表1.6-1  本项目与《夹江县畜禽养殖区域规划》（2016）符合性分析</w:t>
      </w:r>
    </w:p>
    <w:tbl>
      <w:tblPr>
        <w:tblStyle w:val="33"/>
        <w:tblW w:w="97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6"/>
        <w:gridCol w:w="3895"/>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36" w:type="dxa"/>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pacing w:val="-2"/>
                <w:sz w:val="21"/>
                <w:szCs w:val="21"/>
              </w:rPr>
              <w:t>《夹江县畜禽养殖区域规划》（2016）规定</w:t>
            </w:r>
          </w:p>
        </w:tc>
        <w:tc>
          <w:tcPr>
            <w:tcW w:w="3895" w:type="dxa"/>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pacing w:val="-2"/>
                <w:sz w:val="21"/>
                <w:szCs w:val="21"/>
              </w:rPr>
              <w:t>本项目情况</w:t>
            </w:r>
          </w:p>
        </w:tc>
        <w:tc>
          <w:tcPr>
            <w:tcW w:w="982" w:type="dxa"/>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pacing w:val="-2"/>
                <w:sz w:val="21"/>
                <w:szCs w:val="21"/>
              </w:rPr>
              <w:t>符合性</w:t>
            </w:r>
            <w:r>
              <w:rPr>
                <w:rFonts w:hint="default" w:ascii="Times New Roman" w:hAnsi="Times New Roman" w:cs="Times New Roman"/>
                <w:spacing w:val="-1"/>
                <w:sz w:val="21"/>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36" w:type="dxa"/>
            <w:vAlign w:val="center"/>
          </w:tcPr>
          <w:p>
            <w:pPr>
              <w:pStyle w:val="65"/>
              <w:overflowPunct w:val="0"/>
              <w:jc w:val="both"/>
              <w:rPr>
                <w:rFonts w:hint="default" w:ascii="Times New Roman" w:hAnsi="Times New Roman" w:cs="Times New Roman"/>
                <w:color w:val="000000"/>
                <w:spacing w:val="-2"/>
                <w:sz w:val="21"/>
                <w:szCs w:val="21"/>
              </w:rPr>
            </w:pPr>
            <w:r>
              <w:rPr>
                <w:rFonts w:hint="default" w:ascii="Times New Roman" w:hAnsi="Times New Roman" w:cs="Times New Roman"/>
                <w:color w:val="000000"/>
                <w:spacing w:val="-2"/>
                <w:sz w:val="21"/>
                <w:szCs w:val="21"/>
              </w:rPr>
              <w:t>禁养区：</w:t>
            </w:r>
          </w:p>
          <w:p>
            <w:pPr>
              <w:pStyle w:val="65"/>
              <w:overflowPunct w:val="0"/>
              <w:jc w:val="both"/>
              <w:rPr>
                <w:rFonts w:hint="default" w:ascii="Times New Roman" w:hAnsi="Times New Roman" w:cs="Times New Roman"/>
                <w:color w:val="000000"/>
                <w:spacing w:val="-2"/>
                <w:sz w:val="21"/>
                <w:szCs w:val="21"/>
              </w:rPr>
            </w:pPr>
            <w:r>
              <w:rPr>
                <w:rFonts w:hint="default" w:ascii="Times New Roman" w:hAnsi="Times New Roman" w:cs="Times New Roman"/>
                <w:color w:val="000000"/>
                <w:spacing w:val="-1"/>
                <w:sz w:val="21"/>
                <w:szCs w:val="21"/>
              </w:rPr>
              <w:t>（1</w:t>
            </w:r>
            <w:r>
              <w:rPr>
                <w:rFonts w:hint="default" w:ascii="Times New Roman" w:hAnsi="Times New Roman" w:cs="Times New Roman"/>
                <w:color w:val="000000"/>
                <w:spacing w:val="-56"/>
                <w:sz w:val="21"/>
                <w:szCs w:val="21"/>
              </w:rPr>
              <w:t>）</w:t>
            </w:r>
            <w:r>
              <w:rPr>
                <w:rFonts w:hint="default" w:ascii="Times New Roman" w:hAnsi="Times New Roman" w:cs="Times New Roman"/>
                <w:color w:val="000000"/>
                <w:spacing w:val="-1"/>
                <w:sz w:val="21"/>
                <w:szCs w:val="21"/>
              </w:rPr>
              <w:t>依法划定的县境内集中饮用水水源区</w:t>
            </w:r>
            <w:r>
              <w:rPr>
                <w:rFonts w:hint="default" w:ascii="Times New Roman" w:hAnsi="Times New Roman" w:cs="Times New Roman"/>
                <w:color w:val="000000"/>
                <w:spacing w:val="-2"/>
                <w:sz w:val="21"/>
                <w:szCs w:val="21"/>
              </w:rPr>
              <w:t>；</w:t>
            </w:r>
          </w:p>
          <w:p>
            <w:pPr>
              <w:pStyle w:val="65"/>
              <w:overflowPunct w:val="0"/>
              <w:jc w:val="both"/>
              <w:rPr>
                <w:rFonts w:hint="default" w:ascii="Times New Roman" w:hAnsi="Times New Roman" w:cs="Times New Roman"/>
                <w:color w:val="000000"/>
                <w:spacing w:val="-2"/>
                <w:sz w:val="21"/>
                <w:szCs w:val="21"/>
              </w:rPr>
            </w:pPr>
            <w:r>
              <w:rPr>
                <w:rFonts w:hint="default" w:ascii="Times New Roman" w:hAnsi="Times New Roman" w:cs="Times New Roman"/>
                <w:color w:val="000000"/>
                <w:spacing w:val="-2"/>
                <w:sz w:val="21"/>
                <w:szCs w:val="21"/>
              </w:rPr>
              <w:t>（2）乡镇集中式饮用水水源保护区；</w:t>
            </w:r>
          </w:p>
          <w:p>
            <w:pPr>
              <w:pStyle w:val="65"/>
              <w:overflowPunct w:val="0"/>
              <w:jc w:val="both"/>
              <w:rPr>
                <w:rFonts w:hint="default" w:ascii="Times New Roman" w:hAnsi="Times New Roman" w:cs="Times New Roman"/>
                <w:color w:val="000000"/>
                <w:sz w:val="21"/>
                <w:szCs w:val="21"/>
              </w:rPr>
            </w:pPr>
            <w:r>
              <w:rPr>
                <w:rFonts w:hint="default" w:ascii="Times New Roman" w:hAnsi="Times New Roman" w:cs="Times New Roman"/>
                <w:color w:val="000000"/>
                <w:spacing w:val="-20"/>
                <w:sz w:val="21"/>
                <w:szCs w:val="21"/>
              </w:rPr>
              <w:t>（</w:t>
            </w:r>
            <w:r>
              <w:rPr>
                <w:rFonts w:hint="default" w:ascii="Times New Roman" w:hAnsi="Times New Roman" w:cs="Times New Roman"/>
                <w:color w:val="000000"/>
                <w:spacing w:val="-13"/>
                <w:sz w:val="21"/>
                <w:szCs w:val="21"/>
              </w:rPr>
              <w:t>3</w:t>
            </w:r>
            <w:r>
              <w:rPr>
                <w:rFonts w:hint="default" w:ascii="Times New Roman" w:hAnsi="Times New Roman" w:cs="Times New Roman"/>
                <w:color w:val="000000"/>
                <w:spacing w:val="-22"/>
                <w:sz w:val="21"/>
                <w:szCs w:val="21"/>
              </w:rPr>
              <w:t>）千佛岩、碧云山公园等风景名胜区的核心区和缓冲区</w:t>
            </w:r>
            <w:r>
              <w:rPr>
                <w:rFonts w:hint="default" w:ascii="Times New Roman" w:hAnsi="Times New Roman" w:cs="Times New Roman"/>
                <w:color w:val="000000"/>
                <w:sz w:val="21"/>
                <w:szCs w:val="21"/>
              </w:rPr>
              <w:t>；</w:t>
            </w:r>
          </w:p>
          <w:p>
            <w:pPr>
              <w:pStyle w:val="65"/>
              <w:overflowPunct w:val="0"/>
              <w:ind w:right="101"/>
              <w:jc w:val="both"/>
              <w:rPr>
                <w:rFonts w:hint="default" w:ascii="Times New Roman" w:hAnsi="Times New Roman" w:cs="Times New Roman"/>
                <w:color w:val="000000"/>
                <w:spacing w:val="-2"/>
                <w:sz w:val="21"/>
                <w:szCs w:val="21"/>
              </w:rPr>
            </w:pPr>
            <w:r>
              <w:rPr>
                <w:rFonts w:hint="default" w:ascii="Times New Roman" w:hAnsi="Times New Roman" w:cs="Times New Roman"/>
                <w:color w:val="000000"/>
                <w:spacing w:val="-2"/>
                <w:sz w:val="21"/>
                <w:szCs w:val="21"/>
              </w:rPr>
              <w:t>（4）城镇居民区和文化教育科学研究区；</w:t>
            </w:r>
          </w:p>
          <w:p>
            <w:pPr>
              <w:pStyle w:val="65"/>
              <w:overflowPunct w:val="0"/>
              <w:ind w:right="101"/>
              <w:jc w:val="both"/>
              <w:rPr>
                <w:rFonts w:hint="default" w:ascii="Times New Roman" w:hAnsi="Times New Roman" w:cs="Times New Roman"/>
                <w:sz w:val="21"/>
                <w:szCs w:val="21"/>
              </w:rPr>
            </w:pPr>
            <w:r>
              <w:rPr>
                <w:rFonts w:hint="default" w:ascii="Times New Roman" w:hAnsi="Times New Roman" w:cs="Times New Roman"/>
                <w:color w:val="000000"/>
                <w:spacing w:val="-2"/>
                <w:sz w:val="21"/>
                <w:szCs w:val="21"/>
              </w:rPr>
              <w:t>（5）城市规划区、四川夹江经济开发区、夹江县高陶园区、909民用核技术产业园区、基本农田保护区等。</w:t>
            </w:r>
          </w:p>
        </w:tc>
        <w:tc>
          <w:tcPr>
            <w:tcW w:w="3895" w:type="dxa"/>
            <w:vAlign w:val="center"/>
          </w:tcPr>
          <w:p>
            <w:pPr>
              <w:pStyle w:val="65"/>
              <w:overflowPunct w:val="0"/>
              <w:ind w:left="102" w:right="66"/>
              <w:jc w:val="both"/>
              <w:rPr>
                <w:rFonts w:hint="default" w:ascii="Times New Roman" w:hAnsi="Times New Roman" w:cs="Times New Roman"/>
                <w:color w:val="000000"/>
                <w:spacing w:val="-2"/>
                <w:sz w:val="21"/>
                <w:szCs w:val="21"/>
              </w:rPr>
            </w:pPr>
            <w:r>
              <w:rPr>
                <w:rFonts w:hint="default" w:ascii="Times New Roman" w:hAnsi="Times New Roman" w:cs="Times New Roman"/>
                <w:color w:val="000000"/>
                <w:spacing w:val="-2"/>
                <w:sz w:val="21"/>
                <w:szCs w:val="21"/>
              </w:rPr>
              <w:t>（1）本项目不在</w:t>
            </w:r>
            <w:r>
              <w:rPr>
                <w:rFonts w:hint="default" w:ascii="Times New Roman" w:hAnsi="Times New Roman" w:cs="Times New Roman"/>
                <w:color w:val="000000"/>
                <w:spacing w:val="-1"/>
                <w:sz w:val="21"/>
                <w:szCs w:val="21"/>
              </w:rPr>
              <w:t>集中饮用水水源区、</w:t>
            </w:r>
            <w:r>
              <w:rPr>
                <w:rFonts w:hint="default" w:ascii="Times New Roman" w:hAnsi="Times New Roman" w:cs="Times New Roman"/>
                <w:color w:val="000000"/>
                <w:spacing w:val="-2"/>
                <w:sz w:val="21"/>
                <w:szCs w:val="21"/>
              </w:rPr>
              <w:t>乡镇集中式饮用水水源保护区、</w:t>
            </w:r>
            <w:r>
              <w:rPr>
                <w:rFonts w:hint="default" w:ascii="Times New Roman" w:hAnsi="Times New Roman" w:cs="Times New Roman"/>
                <w:color w:val="000000"/>
                <w:spacing w:val="-22"/>
                <w:sz w:val="21"/>
                <w:szCs w:val="21"/>
              </w:rPr>
              <w:t>千佛岩、碧云山公园等风景名胜区的核心区和缓冲区、</w:t>
            </w:r>
            <w:r>
              <w:rPr>
                <w:rFonts w:hint="default" w:ascii="Times New Roman" w:hAnsi="Times New Roman" w:cs="Times New Roman"/>
                <w:color w:val="000000"/>
                <w:spacing w:val="-2"/>
                <w:sz w:val="21"/>
                <w:szCs w:val="21"/>
              </w:rPr>
              <w:t>城镇居民区和文化教育科学研究区；</w:t>
            </w:r>
          </w:p>
          <w:p>
            <w:pPr>
              <w:pStyle w:val="65"/>
              <w:overflowPunct w:val="0"/>
              <w:ind w:left="102" w:right="100"/>
              <w:jc w:val="both"/>
              <w:rPr>
                <w:rFonts w:hint="default" w:ascii="Times New Roman" w:hAnsi="Times New Roman" w:cs="Times New Roman"/>
                <w:sz w:val="21"/>
                <w:szCs w:val="21"/>
              </w:rPr>
            </w:pPr>
            <w:r>
              <w:rPr>
                <w:rFonts w:hint="default" w:ascii="Times New Roman" w:hAnsi="Times New Roman" w:cs="Times New Roman"/>
                <w:color w:val="000000"/>
                <w:spacing w:val="-4"/>
                <w:sz w:val="21"/>
                <w:szCs w:val="21"/>
              </w:rPr>
              <w:t>（2）本项目位于夹江县三洞镇周冲村6社，不在夹江县城镇规划范围内，不占用基本农田，不在</w:t>
            </w:r>
            <w:r>
              <w:rPr>
                <w:rFonts w:hint="default" w:ascii="Times New Roman" w:hAnsi="Times New Roman" w:cs="Times New Roman"/>
                <w:color w:val="000000"/>
                <w:spacing w:val="-2"/>
                <w:sz w:val="21"/>
                <w:szCs w:val="21"/>
              </w:rPr>
              <w:t>四川夹江经济开发区、夹江县高陶园区、909民用核技术产业园区、基本农田保护区</w:t>
            </w:r>
            <w:r>
              <w:rPr>
                <w:rFonts w:hint="default" w:ascii="Times New Roman" w:hAnsi="Times New Roman" w:cs="Times New Roman"/>
                <w:color w:val="000000"/>
                <w:spacing w:val="-4"/>
                <w:sz w:val="21"/>
                <w:szCs w:val="21"/>
              </w:rPr>
              <w:t>。</w:t>
            </w:r>
          </w:p>
        </w:tc>
        <w:tc>
          <w:tcPr>
            <w:tcW w:w="982" w:type="dxa"/>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pacing w:val="-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36" w:type="dxa"/>
            <w:vAlign w:val="center"/>
          </w:tcPr>
          <w:p>
            <w:pPr>
              <w:pStyle w:val="65"/>
              <w:overflowPunct w:val="0"/>
              <w:ind w:right="99"/>
              <w:jc w:val="both"/>
              <w:rPr>
                <w:rFonts w:hint="default" w:ascii="Times New Roman" w:hAnsi="Times New Roman" w:cs="Times New Roman"/>
                <w:color w:val="000000"/>
                <w:spacing w:val="-1"/>
                <w:sz w:val="21"/>
                <w:szCs w:val="21"/>
              </w:rPr>
            </w:pPr>
            <w:r>
              <w:rPr>
                <w:rFonts w:hint="default" w:ascii="Times New Roman" w:hAnsi="Times New Roman" w:cs="Times New Roman"/>
                <w:color w:val="000000"/>
                <w:spacing w:val="-1"/>
                <w:sz w:val="21"/>
                <w:szCs w:val="21"/>
              </w:rPr>
              <w:t>限养区：</w:t>
            </w:r>
          </w:p>
          <w:p>
            <w:pPr>
              <w:pStyle w:val="65"/>
              <w:numPr>
                <w:ilvl w:val="0"/>
                <w:numId w:val="2"/>
              </w:numPr>
              <w:overflowPunct w:val="0"/>
              <w:ind w:right="99"/>
              <w:jc w:val="both"/>
              <w:rPr>
                <w:rFonts w:hint="default" w:ascii="Times New Roman" w:hAnsi="Times New Roman" w:cs="Times New Roman"/>
                <w:color w:val="000000"/>
                <w:spacing w:val="-1"/>
                <w:sz w:val="21"/>
                <w:szCs w:val="21"/>
              </w:rPr>
            </w:pPr>
            <w:r>
              <w:rPr>
                <w:rFonts w:hint="default" w:ascii="Times New Roman" w:hAnsi="Times New Roman" w:cs="Times New Roman"/>
                <w:color w:val="000000"/>
                <w:spacing w:val="-1"/>
                <w:sz w:val="21"/>
                <w:szCs w:val="21"/>
              </w:rPr>
              <w:t>县内青衣江、龙头河、稚川溪、马村河、金牛河两岸纵深200米范围内；</w:t>
            </w:r>
          </w:p>
          <w:p>
            <w:pPr>
              <w:pStyle w:val="65"/>
              <w:overflowPunct w:val="0"/>
              <w:ind w:right="99"/>
              <w:jc w:val="both"/>
              <w:rPr>
                <w:rFonts w:hint="default" w:ascii="Times New Roman" w:hAnsi="Times New Roman" w:cs="Times New Roman"/>
                <w:sz w:val="21"/>
                <w:szCs w:val="21"/>
              </w:rPr>
            </w:pPr>
            <w:r>
              <w:rPr>
                <w:rFonts w:hint="default" w:ascii="Times New Roman" w:hAnsi="Times New Roman" w:cs="Times New Roman"/>
                <w:color w:val="000000"/>
                <w:sz w:val="21"/>
                <w:szCs w:val="21"/>
              </w:rPr>
              <w:t>（2）坝区、以及其它用途还未征用的区域。</w:t>
            </w:r>
          </w:p>
        </w:tc>
        <w:tc>
          <w:tcPr>
            <w:tcW w:w="3895" w:type="dxa"/>
            <w:vAlign w:val="center"/>
          </w:tcPr>
          <w:p>
            <w:pPr>
              <w:pStyle w:val="65"/>
              <w:overflowPunct w:val="0"/>
              <w:ind w:left="102" w:right="100"/>
              <w:rPr>
                <w:rFonts w:hint="default" w:ascii="Times New Roman" w:hAnsi="Times New Roman" w:cs="Times New Roman"/>
                <w:color w:val="000000"/>
                <w:spacing w:val="3"/>
                <w:sz w:val="21"/>
                <w:szCs w:val="21"/>
              </w:rPr>
            </w:pPr>
            <w:r>
              <w:rPr>
                <w:rFonts w:hint="default" w:ascii="Times New Roman" w:hAnsi="Times New Roman" w:cs="Times New Roman"/>
                <w:color w:val="000000"/>
                <w:spacing w:val="3"/>
                <w:sz w:val="21"/>
                <w:szCs w:val="21"/>
              </w:rPr>
              <w:t>（1）本项目距离金牛河最近850m，不在金牛河纵深200米范围内；</w:t>
            </w:r>
          </w:p>
          <w:p>
            <w:pPr>
              <w:pStyle w:val="2"/>
              <w:jc w:val="both"/>
              <w:rPr>
                <w:rFonts w:hint="default" w:ascii="Times New Roman" w:hAnsi="Times New Roman" w:cs="Times New Roman"/>
                <w:sz w:val="21"/>
                <w:szCs w:val="21"/>
              </w:rPr>
            </w:pPr>
            <w:r>
              <w:rPr>
                <w:rFonts w:hint="default" w:ascii="Times New Roman" w:hAnsi="Times New Roman" w:cs="Times New Roman"/>
                <w:spacing w:val="3"/>
                <w:sz w:val="21"/>
                <w:szCs w:val="21"/>
              </w:rPr>
              <w:t>（2）本项目不在坝区。</w:t>
            </w:r>
          </w:p>
        </w:tc>
        <w:tc>
          <w:tcPr>
            <w:tcW w:w="982" w:type="dxa"/>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pacing w:val="-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36" w:type="dxa"/>
            <w:vAlign w:val="center"/>
          </w:tcPr>
          <w:p>
            <w:pPr>
              <w:pStyle w:val="65"/>
              <w:overflowPunct w:val="0"/>
              <w:ind w:left="102" w:right="-10"/>
              <w:rPr>
                <w:rFonts w:hint="default" w:ascii="Times New Roman" w:hAnsi="Times New Roman" w:cs="Times New Roman"/>
                <w:color w:val="000000"/>
                <w:spacing w:val="-1"/>
                <w:sz w:val="21"/>
                <w:szCs w:val="21"/>
              </w:rPr>
            </w:pPr>
            <w:r>
              <w:rPr>
                <w:rFonts w:hint="default" w:ascii="Times New Roman" w:hAnsi="Times New Roman" w:cs="Times New Roman"/>
                <w:color w:val="000000"/>
                <w:spacing w:val="-1"/>
                <w:sz w:val="21"/>
                <w:szCs w:val="21"/>
              </w:rPr>
              <w:t>养殖区：</w:t>
            </w:r>
          </w:p>
          <w:p>
            <w:pPr>
              <w:pStyle w:val="2"/>
              <w:jc w:val="both"/>
              <w:rPr>
                <w:rFonts w:hint="default" w:ascii="Times New Roman" w:hAnsi="Times New Roman" w:cs="Times New Roman"/>
                <w:sz w:val="21"/>
                <w:szCs w:val="21"/>
              </w:rPr>
            </w:pPr>
            <w:r>
              <w:rPr>
                <w:rFonts w:hint="default" w:ascii="Times New Roman" w:hAnsi="Times New Roman" w:cs="Times New Roman"/>
                <w:spacing w:val="-1"/>
                <w:sz w:val="21"/>
                <w:szCs w:val="21"/>
              </w:rPr>
              <w:t>禁养和限养区外的区域作为养殖区，主要分布在丘陵和山区。</w:t>
            </w:r>
          </w:p>
        </w:tc>
        <w:tc>
          <w:tcPr>
            <w:tcW w:w="3895" w:type="dxa"/>
            <w:vAlign w:val="center"/>
          </w:tcPr>
          <w:p>
            <w:pPr>
              <w:pStyle w:val="2"/>
              <w:jc w:val="both"/>
              <w:rPr>
                <w:rFonts w:hint="default" w:ascii="Times New Roman" w:hAnsi="Times New Roman" w:cs="Times New Roman"/>
                <w:sz w:val="21"/>
                <w:szCs w:val="21"/>
              </w:rPr>
            </w:pPr>
            <w:r>
              <w:rPr>
                <w:rFonts w:hint="default" w:ascii="Times New Roman" w:hAnsi="Times New Roman" w:cs="Times New Roman"/>
                <w:spacing w:val="-1"/>
                <w:sz w:val="21"/>
                <w:szCs w:val="21"/>
              </w:rPr>
              <w:t>本项目</w:t>
            </w:r>
            <w:r>
              <w:rPr>
                <w:rFonts w:hint="default" w:ascii="Times New Roman" w:hAnsi="Times New Roman" w:cs="Times New Roman"/>
                <w:spacing w:val="-4"/>
                <w:sz w:val="21"/>
                <w:szCs w:val="21"/>
              </w:rPr>
              <w:t>位于夹江县三洞镇周冲村6社，位于山区。</w:t>
            </w:r>
            <w:r>
              <w:rPr>
                <w:rFonts w:hint="default" w:ascii="Times New Roman" w:hAnsi="Times New Roman" w:cs="Times New Roman"/>
                <w:b/>
                <w:color w:val="auto"/>
                <w:sz w:val="21"/>
                <w:szCs w:val="21"/>
                <w:u w:val="single"/>
              </w:rPr>
              <w:t>同时，夹江县农业局为本项目出具了证明（见附件3），证明项目选址在养殖区范围内。</w:t>
            </w:r>
          </w:p>
        </w:tc>
        <w:tc>
          <w:tcPr>
            <w:tcW w:w="982" w:type="dxa"/>
            <w:vAlign w:val="center"/>
          </w:tcPr>
          <w:p>
            <w:pPr>
              <w:pStyle w:val="2"/>
              <w:jc w:val="center"/>
              <w:rPr>
                <w:rFonts w:hint="default" w:ascii="Times New Roman" w:hAnsi="Times New Roman" w:cs="Times New Roman"/>
                <w:sz w:val="21"/>
                <w:szCs w:val="21"/>
              </w:rPr>
            </w:pPr>
            <w:r>
              <w:rPr>
                <w:rFonts w:hint="default" w:ascii="Times New Roman" w:hAnsi="Times New Roman" w:cs="Times New Roman"/>
                <w:spacing w:val="-1"/>
                <w:sz w:val="21"/>
                <w:szCs w:val="21"/>
              </w:rPr>
              <w:t>符合</w:t>
            </w:r>
          </w:p>
        </w:tc>
      </w:tr>
    </w:tbl>
    <w:p>
      <w:pPr>
        <w:pStyle w:val="62"/>
        <w:spacing w:beforeLines="50"/>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由上表可知，项目位于夹江县畜禽养殖区，符合《夹江县畜禽养殖区域规划》（2016）要求。</w:t>
      </w:r>
    </w:p>
    <w:p>
      <w:pPr>
        <w:keepNext/>
        <w:keepLines/>
        <w:spacing w:line="360" w:lineRule="auto"/>
        <w:ind w:firstLine="482" w:firstLineChars="200"/>
        <w:outlineLvl w:val="3"/>
        <w:rPr>
          <w:rFonts w:hint="default" w:ascii="Times New Roman" w:hAnsi="Times New Roman" w:cs="Times New Roman"/>
          <w:b/>
          <w:bCs/>
          <w:color w:val="000000"/>
          <w:sz w:val="24"/>
          <w:szCs w:val="21"/>
        </w:rPr>
      </w:pPr>
      <w:r>
        <w:rPr>
          <w:rFonts w:hint="default" w:ascii="Times New Roman" w:hAnsi="Times New Roman" w:cs="Times New Roman"/>
          <w:b/>
          <w:bCs/>
          <w:color w:val="000000"/>
          <w:sz w:val="24"/>
          <w:szCs w:val="21"/>
        </w:rPr>
        <w:t>1.6.2.4 与当地规划符合性</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本项目位于夹江县三洞镇周冲村6社，三洞镇人民政府于2018年07月10日出具了证明，明确本项目养殖场不在三洞镇场镇规划区。</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夹江县农业局于2019年01月14日出具了证明，明确本项目选址在养殖区范围内。</w:t>
      </w:r>
    </w:p>
    <w:p>
      <w:pPr>
        <w:spacing w:line="360" w:lineRule="auto"/>
        <w:ind w:firstLine="512" w:firstLineChars="200"/>
        <w:rPr>
          <w:rFonts w:hint="default" w:ascii="Times New Roman" w:hAnsi="Times New Roman" w:cs="Times New Roman"/>
          <w:sz w:val="24"/>
          <w:szCs w:val="24"/>
        </w:rPr>
      </w:pPr>
      <w:r>
        <w:rPr>
          <w:rFonts w:hint="default" w:ascii="Times New Roman" w:hAnsi="Times New Roman" w:cs="Times New Roman"/>
          <w:spacing w:val="8"/>
          <w:sz w:val="24"/>
          <w:szCs w:val="24"/>
        </w:rPr>
        <w:t>项目四周为农田、林地以及少量散居住户，不属于</w:t>
      </w:r>
      <w:r>
        <w:rPr>
          <w:rFonts w:hint="default" w:ascii="Times New Roman" w:hAnsi="Times New Roman" w:cs="Times New Roman"/>
          <w:sz w:val="24"/>
          <w:szCs w:val="24"/>
        </w:rPr>
        <w:t>《限制用地项目目录（2012年本）》和《禁止用地项目目录（2012年本）》中的限制和禁止用地项目，属于允许建设项目。</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szCs w:val="24"/>
        </w:rPr>
        <w:t>综上所述，本项目位于夹江县三洞镇，项目属于农村环境地区，周围无重大环境制约因素，项目建设符合</w:t>
      </w:r>
      <w:r>
        <w:rPr>
          <w:rFonts w:hint="default" w:ascii="Times New Roman" w:hAnsi="Times New Roman" w:cs="Times New Roman"/>
        </w:rPr>
        <w:t>夹江县畜禽养殖区域规划。</w:t>
      </w:r>
    </w:p>
    <w:p>
      <w:pPr>
        <w:pStyle w:val="62"/>
        <w:ind w:firstLine="426"/>
        <w:jc w:val="both"/>
        <w:outlineLvl w:val="2"/>
        <w:rPr>
          <w:rFonts w:hint="default" w:ascii="Times New Roman" w:hAnsi="Times New Roman" w:cs="Times New Roman"/>
          <w:b/>
          <w:bCs/>
          <w:color w:val="000000"/>
        </w:rPr>
      </w:pPr>
      <w:r>
        <w:rPr>
          <w:rFonts w:hint="default" w:ascii="Times New Roman" w:hAnsi="Times New Roman" w:cs="Times New Roman"/>
          <w:b/>
          <w:bCs/>
          <w:color w:val="000000"/>
        </w:rPr>
        <w:t>1.6.3 选址可行性分析</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本项目位于夹江</w:t>
      </w:r>
      <w:r>
        <w:rPr>
          <w:rFonts w:hint="default" w:ascii="Times New Roman" w:hAnsi="Times New Roman" w:cs="Times New Roman"/>
        </w:rPr>
        <w:t>县三洞镇周冲村6社，处于农村环境，占地面积约19650平方米；项目用地已与夹江县三洞镇周冲村村民委员会签订了《夹江县农村土地流转备案登记表》（见附件6）；根据三洞镇人民政府出具的证明（见附件7），项目不占用基本农田，不在夹江县三洞镇城镇规划区范围内，同意项目建设及运营；根据《夹江县畜禽养殖区域规划》（2016，见附件12）的</w:t>
      </w:r>
      <w:r>
        <w:rPr>
          <w:rFonts w:hint="default" w:ascii="Times New Roman" w:hAnsi="Times New Roman" w:cs="Times New Roman"/>
          <w:color w:val="000000"/>
        </w:rPr>
        <w:t>规定，项目位于养殖区，不涉及禁养区、限养区。</w:t>
      </w:r>
    </w:p>
    <w:p>
      <w:pPr>
        <w:spacing w:line="360" w:lineRule="auto"/>
        <w:ind w:firstLine="472" w:firstLineChars="196"/>
        <w:rPr>
          <w:rFonts w:hint="default" w:ascii="Times New Roman" w:hAnsi="Times New Roman" w:cs="Times New Roman"/>
          <w:b/>
          <w:bCs/>
          <w:color w:val="000000"/>
          <w:sz w:val="24"/>
          <w:szCs w:val="21"/>
        </w:rPr>
      </w:pPr>
      <w:r>
        <w:rPr>
          <w:rFonts w:hint="default" w:ascii="Times New Roman" w:hAnsi="Times New Roman" w:cs="Times New Roman"/>
          <w:b/>
          <w:bCs/>
          <w:color w:val="000000"/>
          <w:sz w:val="24"/>
          <w:szCs w:val="21"/>
        </w:rPr>
        <w:t>1、畜禽养殖场选址要求</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根据《畜禽养殖业污染防治技术规范》（HJ/T81-2001）的规定，畜禽养殖场场址的选择应符合下列要求：</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（1）禁止在下列区域内建设畜禽养殖场：</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a、生活饮用水水源保护区、风景名胜区、自然保护区的核心区及缓冲区；</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b、城市和城镇居民区，包括文教科研区、医疗区、商业区、工业区、游览区等人口集中地区；</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c、县级人民政府依法划定的禁养区域；</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d、国家或地方法律、法规规定需要特殊保护的其它区域。</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（2）新建、改建、扩建的畜禽养殖场选址应避开上述禁建区域，在禁建区域附近建设的，应设在上述禁建区域常年主导风向的下风向或侧风向处，场界与禁建区域边界的最小距离不得小于500m。</w:t>
      </w:r>
    </w:p>
    <w:p>
      <w:pPr>
        <w:spacing w:line="360" w:lineRule="auto"/>
        <w:ind w:firstLine="472" w:firstLineChars="196"/>
        <w:rPr>
          <w:rFonts w:hint="default" w:ascii="Times New Roman" w:hAnsi="Times New Roman" w:cs="Times New Roman"/>
          <w:b/>
          <w:bCs/>
          <w:color w:val="000000"/>
          <w:sz w:val="24"/>
          <w:szCs w:val="21"/>
        </w:rPr>
      </w:pPr>
      <w:r>
        <w:rPr>
          <w:rFonts w:hint="default" w:ascii="Times New Roman" w:hAnsi="Times New Roman" w:cs="Times New Roman"/>
          <w:b/>
          <w:bCs/>
          <w:color w:val="000000"/>
          <w:sz w:val="24"/>
          <w:szCs w:val="21"/>
        </w:rPr>
        <w:t xml:space="preserve"> 2、项目选址与相关规范符合性见下表</w:t>
      </w:r>
    </w:p>
    <w:p>
      <w:pPr>
        <w:adjustRightInd w:val="0"/>
        <w:snapToGrid w:val="0"/>
        <w:ind w:firstLine="420" w:firstLineChars="200"/>
        <w:jc w:val="center"/>
        <w:textAlignment w:val="center"/>
        <w:rPr>
          <w:rFonts w:hint="default" w:ascii="Times New Roman" w:hAnsi="Times New Roman" w:eastAsia="黑体" w:cs="Times New Roman"/>
          <w:bCs/>
          <w:sz w:val="24"/>
          <w:szCs w:val="24"/>
        </w:rPr>
      </w:pPr>
      <w:r>
        <w:rPr>
          <w:rFonts w:hint="default" w:ascii="Times New Roman" w:hAnsi="Times New Roman" w:cs="Times New Roman"/>
        </w:rPr>
        <w:t xml:space="preserve">   </w:t>
      </w:r>
      <w:r>
        <w:rPr>
          <w:rFonts w:hint="default" w:ascii="Times New Roman" w:hAnsi="Times New Roman" w:eastAsia="黑体" w:cs="Times New Roman"/>
          <w:bCs/>
          <w:sz w:val="24"/>
          <w:szCs w:val="24"/>
        </w:rPr>
        <w:t>表1.</w:t>
      </w:r>
      <w:r>
        <w:rPr>
          <w:rFonts w:hint="default" w:ascii="Times New Roman" w:hAnsi="Times New Roman" w:eastAsia="黑体" w:cs="Times New Roman"/>
          <w:bCs/>
          <w:sz w:val="24"/>
          <w:szCs w:val="24"/>
          <w:lang w:val="en-US" w:eastAsia="zh-CN"/>
        </w:rPr>
        <w:t>6</w:t>
      </w:r>
      <w:r>
        <w:rPr>
          <w:rFonts w:hint="default" w:ascii="Times New Roman" w:hAnsi="Times New Roman" w:eastAsia="黑体" w:cs="Times New Roman"/>
          <w:bCs/>
          <w:sz w:val="24"/>
          <w:szCs w:val="24"/>
        </w:rPr>
        <w:t>-2   项目选址与相关规范的符合性</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155"/>
        <w:gridCol w:w="3231"/>
        <w:gridCol w:w="2615"/>
        <w:gridCol w:w="9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735" w:type="dxa"/>
            <w:noWrap w:val="0"/>
            <w:vAlign w:val="center"/>
          </w:tcPr>
          <w:p>
            <w:pPr>
              <w:tabs>
                <w:tab w:val="left" w:pos="1440"/>
              </w:tabs>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155" w:type="dxa"/>
            <w:noWrap w:val="0"/>
            <w:vAlign w:val="center"/>
          </w:tcPr>
          <w:p>
            <w:pPr>
              <w:tabs>
                <w:tab w:val="left" w:pos="1440"/>
              </w:tabs>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文件名称</w:t>
            </w:r>
          </w:p>
        </w:tc>
        <w:tc>
          <w:tcPr>
            <w:tcW w:w="3231" w:type="dxa"/>
            <w:noWrap w:val="0"/>
            <w:vAlign w:val="center"/>
          </w:tcPr>
          <w:p>
            <w:pPr>
              <w:tabs>
                <w:tab w:val="left" w:pos="1440"/>
              </w:tabs>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选址要求</w:t>
            </w:r>
          </w:p>
        </w:tc>
        <w:tc>
          <w:tcPr>
            <w:tcW w:w="2615" w:type="dxa"/>
            <w:tcBorders>
              <w:right w:val="single" w:color="auto" w:sz="2" w:space="0"/>
            </w:tcBorders>
            <w:noWrap w:val="0"/>
            <w:vAlign w:val="center"/>
          </w:tcPr>
          <w:p>
            <w:pPr>
              <w:tabs>
                <w:tab w:val="left" w:pos="1440"/>
              </w:tabs>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p>
        </w:tc>
        <w:tc>
          <w:tcPr>
            <w:tcW w:w="977" w:type="dxa"/>
            <w:tcBorders>
              <w:left w:val="single" w:color="auto" w:sz="2" w:space="0"/>
            </w:tcBorders>
            <w:noWrap w:val="0"/>
            <w:vAlign w:val="center"/>
          </w:tcPr>
          <w:p>
            <w:pPr>
              <w:tabs>
                <w:tab w:val="left" w:pos="1440"/>
              </w:tabs>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jc w:val="center"/>
        </w:trPr>
        <w:tc>
          <w:tcPr>
            <w:tcW w:w="73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15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《畜禽养殖业污染治理工程技术规范》（HJ497-2009）</w:t>
            </w:r>
          </w:p>
        </w:tc>
        <w:tc>
          <w:tcPr>
            <w:tcW w:w="3231" w:type="dxa"/>
            <w:noWrap w:val="0"/>
            <w:vAlign w:val="center"/>
          </w:tcPr>
          <w:p>
            <w:pPr>
              <w:tabs>
                <w:tab w:val="left" w:pos="1440"/>
              </w:tabs>
              <w:adjustRightInd w:val="0"/>
              <w:snapToGrid w:val="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畜禽养殖业污染治理工程应与养殖场生产区、居民区等建筑保持一定的卫生防护距离，设置在畜禽养殖场的生产区、生活区主导风向的下风向或侧风向处。②畜禽养殖业污染治理工程的位置应有利于排放、资源化利用和运输，并留有扩建的余地，方便施工、运行和维护。</w:t>
            </w:r>
          </w:p>
        </w:tc>
        <w:tc>
          <w:tcPr>
            <w:tcW w:w="2615" w:type="dxa"/>
            <w:tcBorders>
              <w:right w:val="single" w:color="auto" w:sz="2" w:space="0"/>
            </w:tcBorders>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本项目划有</w:t>
            </w:r>
            <w:r>
              <w:rPr>
                <w:rFonts w:hint="default" w:ascii="Times New Roman" w:hAnsi="Times New Roman" w:eastAsia="宋体" w:cs="Times New Roman"/>
                <w:sz w:val="21"/>
                <w:szCs w:val="21"/>
                <w:lang w:val="en-US" w:eastAsia="zh-CN"/>
              </w:rPr>
              <w:t>100</w:t>
            </w:r>
            <w:r>
              <w:rPr>
                <w:rFonts w:hint="default" w:ascii="Times New Roman" w:hAnsi="Times New Roman" w:eastAsia="宋体" w:cs="Times New Roman"/>
                <w:sz w:val="21"/>
                <w:szCs w:val="21"/>
              </w:rPr>
              <w:t>m卫生防护距离，防护距离内无民居。粪污处理位于生活区、生产区侧风向。污染治理位置利于排放资源化利用和运输，具有扩建余地，方便施工、运行和维护。</w:t>
            </w:r>
          </w:p>
        </w:tc>
        <w:tc>
          <w:tcPr>
            <w:tcW w:w="977" w:type="dxa"/>
            <w:tcBorders>
              <w:left w:val="single" w:color="auto" w:sz="2" w:space="0"/>
            </w:tcBorders>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67" w:hRule="atLeast"/>
          <w:jc w:val="center"/>
        </w:trPr>
        <w:tc>
          <w:tcPr>
            <w:tcW w:w="73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15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《畜禽规模养殖污染防治条例》</w:t>
            </w:r>
          </w:p>
        </w:tc>
        <w:tc>
          <w:tcPr>
            <w:tcW w:w="3231" w:type="dxa"/>
            <w:noWrap w:val="0"/>
            <w:vAlign w:val="center"/>
          </w:tcPr>
          <w:p>
            <w:pPr>
              <w:tabs>
                <w:tab w:val="left" w:pos="1440"/>
              </w:tabs>
              <w:adjustRightInd w:val="0"/>
              <w:snapToGrid w:val="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在下列区域内建设畜禽养殖场、养殖小区：①饮用水水源保护区、风景名胜区；②自然保护区的核心区和缓冲区；③城镇居民区、文化教育科学研究区等人口集中区域；④法律、法规规定的其他禁止养殖区域。</w:t>
            </w:r>
          </w:p>
        </w:tc>
        <w:tc>
          <w:tcPr>
            <w:tcW w:w="2615" w:type="dxa"/>
            <w:tcBorders>
              <w:right w:val="single" w:color="auto" w:sz="2" w:space="0"/>
            </w:tcBorders>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项目选址不涉及上述禁建位置。</w:t>
            </w:r>
          </w:p>
        </w:tc>
        <w:tc>
          <w:tcPr>
            <w:tcW w:w="977" w:type="dxa"/>
            <w:tcBorders>
              <w:left w:val="single" w:color="auto" w:sz="2" w:space="0"/>
            </w:tcBorders>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02" w:hRule="atLeast"/>
          <w:jc w:val="center"/>
        </w:trPr>
        <w:tc>
          <w:tcPr>
            <w:tcW w:w="73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15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《畜禽养殖业污染防治技术要求》</w:t>
            </w:r>
          </w:p>
        </w:tc>
        <w:tc>
          <w:tcPr>
            <w:tcW w:w="3231" w:type="dxa"/>
            <w:noWrap w:val="0"/>
            <w:vAlign w:val="center"/>
          </w:tcPr>
          <w:p>
            <w:pPr>
              <w:tabs>
                <w:tab w:val="left" w:pos="1440"/>
              </w:tabs>
              <w:adjustRightInd w:val="0"/>
              <w:snapToGrid w:val="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养殖场建设应满足如下要求：</w:t>
            </w:r>
          </w:p>
          <w:p>
            <w:pPr>
              <w:tabs>
                <w:tab w:val="left" w:pos="1440"/>
              </w:tabs>
              <w:adjustRightInd w:val="0"/>
              <w:snapToGrid w:val="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①全面规划、合理布局；②严格“禁养区”、“限养区”要求；③种养结合、发展生态农业，充分考虑土壤消纳能力和区域环境容量；④雨污分流、干湿分离、清洁养殖。</w:t>
            </w:r>
          </w:p>
        </w:tc>
        <w:tc>
          <w:tcPr>
            <w:tcW w:w="2615" w:type="dxa"/>
            <w:tcBorders>
              <w:right w:val="single" w:color="auto" w:sz="2" w:space="0"/>
            </w:tcBorders>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本项目布局合理，不在禁养限养区，项目产生废水、粪污，雨污分流、干湿分离，产生的废水、粪便相应处理后资源化利用。</w:t>
            </w:r>
          </w:p>
        </w:tc>
        <w:tc>
          <w:tcPr>
            <w:tcW w:w="977" w:type="dxa"/>
            <w:tcBorders>
              <w:left w:val="single" w:color="auto" w:sz="2" w:space="0"/>
            </w:tcBorders>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36" w:hRule="atLeast"/>
          <w:jc w:val="center"/>
        </w:trPr>
        <w:tc>
          <w:tcPr>
            <w:tcW w:w="73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15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《畜禽场场区设计技术规范》（NY/T682-2003）</w:t>
            </w:r>
          </w:p>
        </w:tc>
        <w:tc>
          <w:tcPr>
            <w:tcW w:w="3231" w:type="dxa"/>
            <w:noWrap w:val="0"/>
            <w:vAlign w:val="center"/>
          </w:tcPr>
          <w:p>
            <w:pPr>
              <w:tabs>
                <w:tab w:val="left" w:pos="1440"/>
              </w:tabs>
              <w:adjustRightInd w:val="0"/>
              <w:snapToGrid w:val="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养殖场建设应满足如下要求：</w:t>
            </w:r>
          </w:p>
          <w:p>
            <w:pPr>
              <w:tabs>
                <w:tab w:val="left" w:pos="1440"/>
              </w:tabs>
              <w:adjustRightInd w:val="0"/>
              <w:snapToGrid w:val="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①地势相对平坦、场地干燥；②水源充足、水质良好；③排污方便、交通便利、供电稳定；</w:t>
            </w:r>
          </w:p>
          <w:p>
            <w:pPr>
              <w:tabs>
                <w:tab w:val="left" w:pos="1440"/>
              </w:tabs>
              <w:adjustRightInd w:val="0"/>
              <w:snapToGrid w:val="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④通风向阳、无污染、无疫源的地方。</w:t>
            </w:r>
          </w:p>
        </w:tc>
        <w:tc>
          <w:tcPr>
            <w:tcW w:w="2615" w:type="dxa"/>
            <w:tcBorders>
              <w:right w:val="single" w:color="auto" w:sz="2" w:space="0"/>
            </w:tcBorders>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项目选址地势平坦，水质良好。有村道交通便利，供电稳定，周边主要为农田、林地、散户居民，无大型工矿企业等污染源。</w:t>
            </w:r>
          </w:p>
        </w:tc>
        <w:tc>
          <w:tcPr>
            <w:tcW w:w="977" w:type="dxa"/>
            <w:tcBorders>
              <w:left w:val="single" w:color="auto" w:sz="2" w:space="0"/>
            </w:tcBorders>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jc w:val="center"/>
        </w:trPr>
        <w:tc>
          <w:tcPr>
            <w:tcW w:w="73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15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南部县畜禽养殖禁养区和限养区划分方案</w:t>
            </w:r>
          </w:p>
        </w:tc>
        <w:tc>
          <w:tcPr>
            <w:tcW w:w="3231" w:type="dxa"/>
            <w:noWrap w:val="0"/>
            <w:vAlign w:val="center"/>
          </w:tcPr>
          <w:p>
            <w:pPr>
              <w:tabs>
                <w:tab w:val="left" w:pos="1440"/>
              </w:tabs>
              <w:adjustRightInd w:val="0"/>
              <w:snapToGrid w:val="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本区行政区域内在禁养区、限养区外，符合南部县畜禽养殖禁养区和限养区划分方案和土地利用总体规划的区域为适宜养殖区。</w:t>
            </w:r>
          </w:p>
        </w:tc>
        <w:tc>
          <w:tcPr>
            <w:tcW w:w="2615" w:type="dxa"/>
            <w:tcBorders>
              <w:right w:val="single" w:color="auto" w:sz="2" w:space="0"/>
            </w:tcBorders>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977" w:type="dxa"/>
            <w:tcBorders>
              <w:left w:val="single" w:color="auto" w:sz="2" w:space="0"/>
            </w:tcBorders>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jc w:val="center"/>
        </w:trPr>
        <w:tc>
          <w:tcPr>
            <w:tcW w:w="73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15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《畜禽养殖业污染防治技术规范》（HJ/T81-2001）</w:t>
            </w:r>
          </w:p>
        </w:tc>
        <w:tc>
          <w:tcPr>
            <w:tcW w:w="3231" w:type="dxa"/>
            <w:noWrap w:val="0"/>
            <w:vAlign w:val="center"/>
          </w:tcPr>
          <w:p>
            <w:pPr>
              <w:tabs>
                <w:tab w:val="left" w:pos="1440"/>
              </w:tabs>
              <w:adjustRightInd w:val="0"/>
              <w:snapToGrid w:val="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在下列区域内建设畜禽养殖场：①生活饮用水水源保护区、风景名胜区、自然保护区的核心区及缓冲区；②城市和城镇居民区，包括文教科研区、医疗区、商业区、工业区、游览区等人口集中地区；③县级人民政府依法划定的禁养区域；④国家或地方法律、法规规定需特殊保护的其他区域。</w:t>
            </w:r>
          </w:p>
        </w:tc>
        <w:tc>
          <w:tcPr>
            <w:tcW w:w="2615" w:type="dxa"/>
            <w:tcBorders>
              <w:right w:val="single" w:color="auto" w:sz="2" w:space="0"/>
            </w:tcBorders>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p>
          <w:p>
            <w:pPr>
              <w:pStyle w:val="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本项目地处农村环境，选址不在上述区域。</w:t>
            </w:r>
          </w:p>
        </w:tc>
        <w:tc>
          <w:tcPr>
            <w:tcW w:w="977" w:type="dxa"/>
            <w:tcBorders>
              <w:left w:val="single" w:color="auto" w:sz="2" w:space="0"/>
            </w:tcBorders>
            <w:noWrap w:val="0"/>
            <w:vAlign w:val="center"/>
          </w:tcPr>
          <w:p>
            <w:pPr>
              <w:widowControl/>
              <w:jc w:val="center"/>
              <w:rPr>
                <w:rFonts w:hint="default" w:ascii="Times New Roman" w:hAnsi="Times New Roman" w:eastAsia="宋体" w:cs="Times New Roman"/>
                <w:sz w:val="21"/>
                <w:szCs w:val="21"/>
              </w:rPr>
            </w:pPr>
          </w:p>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41" w:hRule="atLeast"/>
          <w:jc w:val="center"/>
        </w:trPr>
        <w:tc>
          <w:tcPr>
            <w:tcW w:w="73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155" w:type="dxa"/>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畜禽养殖污染防治管理办法</w:t>
            </w:r>
          </w:p>
        </w:tc>
        <w:tc>
          <w:tcPr>
            <w:tcW w:w="3231" w:type="dxa"/>
            <w:noWrap w:val="0"/>
            <w:vAlign w:val="center"/>
          </w:tcPr>
          <w:p>
            <w:pPr>
              <w:tabs>
                <w:tab w:val="left" w:pos="1440"/>
              </w:tabs>
              <w:adjustRightInd w:val="0"/>
              <w:snapToGrid w:val="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在下列区域内建设畜禽养殖场：①生活饮用水水源保护区、风景名胜区、自然保护区的核心区及缓冲区；②城市和城镇中居民区、文教科研区、医疗区等人口集中地区；③县级人民政府依法划定的禁养区域；④国家或地方法律、法规规定需特殊保护的其他区域。</w:t>
            </w:r>
          </w:p>
        </w:tc>
        <w:tc>
          <w:tcPr>
            <w:tcW w:w="2615" w:type="dxa"/>
            <w:tcBorders>
              <w:right w:val="single" w:color="auto" w:sz="2" w:space="0"/>
            </w:tcBorders>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本项目地处农村环境，选址不在上述区域。</w:t>
            </w:r>
          </w:p>
        </w:tc>
        <w:tc>
          <w:tcPr>
            <w:tcW w:w="977" w:type="dxa"/>
            <w:tcBorders>
              <w:left w:val="single" w:color="auto" w:sz="2" w:space="0"/>
            </w:tcBorders>
            <w:noWrap w:val="0"/>
            <w:vAlign w:val="center"/>
          </w:tcPr>
          <w:p>
            <w:pPr>
              <w:tabs>
                <w:tab w:val="left" w:pos="1440"/>
              </w:tabs>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bl>
    <w:p>
      <w:pPr>
        <w:spacing w:line="360" w:lineRule="auto"/>
        <w:ind w:firstLine="472" w:firstLineChars="196"/>
        <w:rPr>
          <w:rFonts w:hint="default" w:ascii="Times New Roman" w:hAnsi="Times New Roman" w:cs="Times New Roman"/>
          <w:b/>
          <w:bCs/>
          <w:color w:val="000000"/>
          <w:sz w:val="24"/>
          <w:szCs w:val="21"/>
        </w:rPr>
      </w:pPr>
      <w:r>
        <w:rPr>
          <w:rFonts w:hint="default" w:ascii="Times New Roman" w:hAnsi="Times New Roman" w:cs="Times New Roman"/>
          <w:b/>
          <w:bCs/>
          <w:color w:val="000000"/>
          <w:sz w:val="24"/>
          <w:szCs w:val="21"/>
          <w:lang w:val="en-US" w:eastAsia="zh-CN"/>
        </w:rPr>
        <w:t>3</w:t>
      </w:r>
      <w:r>
        <w:rPr>
          <w:rFonts w:hint="default" w:ascii="Times New Roman" w:hAnsi="Times New Roman" w:cs="Times New Roman"/>
          <w:b/>
          <w:bCs/>
          <w:color w:val="000000"/>
          <w:sz w:val="24"/>
          <w:szCs w:val="21"/>
        </w:rPr>
        <w:t>、本项目选址情况</w:t>
      </w:r>
    </w:p>
    <w:p>
      <w:pPr>
        <w:pStyle w:val="62"/>
        <w:ind w:firstLine="480" w:firstLineChars="200"/>
        <w:rPr>
          <w:rFonts w:hint="default" w:ascii="Times New Roman" w:hAnsi="Times New Roman" w:cs="Times New Roman"/>
          <w:szCs w:val="24"/>
        </w:rPr>
      </w:pPr>
      <w:r>
        <w:rPr>
          <w:rFonts w:hint="default" w:ascii="Times New Roman" w:hAnsi="Times New Roman" w:cs="Times New Roman"/>
          <w:color w:val="000000"/>
        </w:rPr>
        <w:t>本项目位于夹江县三</w:t>
      </w:r>
      <w:r>
        <w:rPr>
          <w:rFonts w:hint="default" w:ascii="Times New Roman" w:hAnsi="Times New Roman" w:cs="Times New Roman"/>
        </w:rPr>
        <w:t>洞镇周冲村6社，处于农村环境，占地面积约19650平方米；由项目外环境关系（见附图3）可知，项目周边为树林，500m范围内有居民25户，主要分布于项目东北侧、南侧、西侧，与项目高差-50m～-50m，最近居民距离厂界114m；项目周边居民均饮用自来水（由村里集中供水），分散式水井井水仅供家畜养殖使用；项目以养殖区边界为起点向外设置100m卫生防护距离，项目四周均为山坡林地（主要植被为茶林和巨桉），卫生防护距离内无居民；项目</w:t>
      </w:r>
      <w:r>
        <w:rPr>
          <w:rFonts w:hint="default" w:ascii="Times New Roman" w:hAnsi="Times New Roman" w:cs="Times New Roman"/>
          <w:szCs w:val="24"/>
        </w:rPr>
        <w:t>东侧金牛河距离项目边界最近距离850m，与项目高差-65m，金牛河河宽20m，水深约4m，水流速度0.5m/s，主要水体功能为灌溉和泄洪，项目地上游1km下游8.5km范围内无生活用水取水口；项目北侧S103道路距离项目边界485m，与项目高差-35m，交通方便。</w:t>
      </w:r>
    </w:p>
    <w:p>
      <w:pPr>
        <w:spacing w:line="360" w:lineRule="auto"/>
        <w:ind w:firstLine="472" w:firstLineChars="196"/>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lang w:val="en-US" w:eastAsia="zh-CN"/>
        </w:rPr>
        <w:t>4</w:t>
      </w:r>
      <w:r>
        <w:rPr>
          <w:rFonts w:hint="default" w:ascii="Times New Roman" w:hAnsi="Times New Roman" w:cs="Times New Roman"/>
          <w:b/>
          <w:color w:val="000000"/>
          <w:sz w:val="24"/>
          <w:szCs w:val="24"/>
        </w:rPr>
        <w:t>、选址合理性分析</w:t>
      </w:r>
    </w:p>
    <w:p>
      <w:pPr>
        <w:widowControl/>
        <w:spacing w:line="360" w:lineRule="auto"/>
        <w:ind w:firstLine="426" w:firstLineChars="177"/>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（1）从《畜禽养殖业污染防治技术规范》角度分析</w:t>
      </w:r>
    </w:p>
    <w:p>
      <w:pPr>
        <w:widowControl/>
        <w:spacing w:line="360" w:lineRule="auto"/>
        <w:ind w:firstLine="424" w:firstLineChars="177"/>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对照畜禽养殖场选址的基本要求，评价对该项目选址的合理性进行分析。</w:t>
      </w:r>
    </w:p>
    <w:p>
      <w:pPr>
        <w:widowControl/>
        <w:spacing w:line="360" w:lineRule="auto"/>
        <w:ind w:firstLine="424" w:firstLineChars="177"/>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1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①</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本项目周边地表水体为东面850m处的金牛河，河宽20m，水深约4m，水流速度0.5m/s，主要水体功能为灌溉和泄洪，不涉及生活饮用水水源保护区、风景名胜区、自然保护区的核心区及缓冲区等环境敏感区。</w:t>
      </w:r>
    </w:p>
    <w:p>
      <w:pPr>
        <w:widowControl/>
        <w:spacing w:line="360" w:lineRule="auto"/>
        <w:ind w:firstLine="424" w:firstLineChars="177"/>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2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②</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该项目选址位于夹江县三洞镇周冲村6社，不在城市和城镇居民区，周边属于一般的农村环境，有部分散户居民居住，本项目以为养殖区边界为起点向外100m的范围设置为卫生防护距离，卫生防护距离内无居民居住。</w:t>
      </w:r>
    </w:p>
    <w:p>
      <w:pPr>
        <w:widowControl/>
        <w:spacing w:line="360" w:lineRule="auto"/>
        <w:ind w:firstLine="424" w:firstLineChars="177"/>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3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③</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根据《夹江县畜禽养殖区域规划》（2016）的规定，本项目所在地不在划定的禁养、限养区内。</w:t>
      </w:r>
    </w:p>
    <w:p>
      <w:pPr>
        <w:widowControl/>
        <w:spacing w:line="360" w:lineRule="auto"/>
        <w:ind w:firstLine="424" w:firstLineChars="177"/>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4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④</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项目选址不属于国家或地方法律、法规规定需要特殊保护的其它区域。</w:t>
      </w:r>
    </w:p>
    <w:p>
      <w:pPr>
        <w:widowControl/>
        <w:spacing w:line="360" w:lineRule="auto"/>
        <w:ind w:firstLine="424" w:firstLineChars="177"/>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5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⑤</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该项目属于新建项目，选址避开了上述禁建区域。年主导风向为西北风，项目选址在上述禁建区域常年主导风向的下风向或侧风向处。</w:t>
      </w:r>
    </w:p>
    <w:p>
      <w:pPr>
        <w:widowControl/>
        <w:spacing w:line="360" w:lineRule="auto"/>
        <w:ind w:firstLine="426" w:firstLineChars="177"/>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（2）养殖场符合性分析</w:t>
      </w:r>
    </w:p>
    <w:p>
      <w:pPr>
        <w:widowControl/>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本项目养殖区建设遵循《畜禽养殖污染防治管理办法》、《畜禽养殖业污染防治技术规范》、《畜禽养殖场（小区）环境监察工作指南》、《畜禽粪便无害化处理技术规范》等进行建设，其养殖符合性详见表1.6-</w:t>
      </w:r>
      <w:r>
        <w:rPr>
          <w:rFonts w:hint="default" w:ascii="Times New Roman" w:hAnsi="Times New Roman" w:cs="Times New Roman"/>
          <w:color w:val="000000"/>
          <w:sz w:val="24"/>
          <w:szCs w:val="24"/>
          <w:lang w:val="en-US" w:eastAsia="zh-CN"/>
        </w:rPr>
        <w:t>3</w:t>
      </w:r>
      <w:r>
        <w:rPr>
          <w:rFonts w:hint="default" w:ascii="Times New Roman" w:hAnsi="Times New Roman" w:cs="Times New Roman"/>
          <w:color w:val="000000"/>
          <w:sz w:val="24"/>
          <w:szCs w:val="24"/>
        </w:rPr>
        <w:t>。</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表1.6-</w:t>
      </w:r>
      <w:r>
        <w:rPr>
          <w:rFonts w:hint="default" w:ascii="Times New Roman" w:hAnsi="Times New Roman" w:eastAsia="黑体" w:cs="Times New Roman"/>
          <w:bCs/>
          <w:sz w:val="24"/>
          <w:szCs w:val="24"/>
          <w:lang w:val="en-US" w:eastAsia="zh-CN"/>
        </w:rPr>
        <w:t>3</w:t>
      </w:r>
      <w:r>
        <w:rPr>
          <w:rFonts w:hint="default" w:ascii="Times New Roman" w:hAnsi="Times New Roman" w:eastAsia="黑体" w:cs="Times New Roman"/>
          <w:bCs/>
          <w:sz w:val="24"/>
          <w:szCs w:val="24"/>
        </w:rPr>
        <w:t xml:space="preserve">  畜禽养殖相关规范的符合性一览表</w:t>
      </w:r>
    </w:p>
    <w:tbl>
      <w:tblPr>
        <w:tblStyle w:val="33"/>
        <w:tblW w:w="961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
      <w:tblGrid>
        <w:gridCol w:w="1482"/>
        <w:gridCol w:w="4544"/>
        <w:gridCol w:w="2496"/>
        <w:gridCol w:w="108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6026" w:type="dxa"/>
            <w:gridSpan w:val="2"/>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畜禽养殖相关规范</w:t>
            </w:r>
          </w:p>
        </w:tc>
        <w:tc>
          <w:tcPr>
            <w:tcW w:w="2496"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本项目具体情况</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是否符合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Merge w:val="restart"/>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畜禽养殖污染防治管理办法</w:t>
            </w:r>
          </w:p>
        </w:tc>
        <w:tc>
          <w:tcPr>
            <w:tcW w:w="4544"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不在规范“第七条”区域内养殖</w:t>
            </w:r>
          </w:p>
        </w:tc>
        <w:tc>
          <w:tcPr>
            <w:tcW w:w="2496"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选址未在禁养区</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Merge w:val="continue"/>
            <w:vAlign w:val="center"/>
          </w:tcPr>
          <w:p>
            <w:pPr>
              <w:widowControl/>
              <w:jc w:val="center"/>
              <w:rPr>
                <w:rFonts w:hint="default" w:ascii="Times New Roman" w:hAnsi="Times New Roman" w:cs="Times New Roman"/>
                <w:color w:val="000000"/>
                <w:szCs w:val="21"/>
              </w:rPr>
            </w:pPr>
          </w:p>
        </w:tc>
        <w:tc>
          <w:tcPr>
            <w:tcW w:w="4544"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养殖场应当保持环境整洁，采取清污分流和粪尿的干湿分离等措施，实现清洁养殖</w:t>
            </w:r>
          </w:p>
        </w:tc>
        <w:tc>
          <w:tcPr>
            <w:tcW w:w="2496"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保持环境整洁，采取干清粪工艺</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Merge w:val="continue"/>
            <w:vAlign w:val="center"/>
          </w:tcPr>
          <w:p>
            <w:pPr>
              <w:widowControl/>
              <w:jc w:val="center"/>
              <w:rPr>
                <w:rFonts w:hint="default" w:ascii="Times New Roman" w:hAnsi="Times New Roman" w:cs="Times New Roman"/>
                <w:color w:val="000000"/>
                <w:szCs w:val="21"/>
              </w:rPr>
            </w:pPr>
          </w:p>
        </w:tc>
        <w:tc>
          <w:tcPr>
            <w:tcW w:w="4544"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畜禽养殖场必须设置畜禽废渣的储存设施和场所，采取对储存场所地面进行水泥硬化等措施，防止畜禽废渣渗漏、散落、溢流、雨水淋失、恶臭气味等对周围环境造成污染和危害</w:t>
            </w:r>
          </w:p>
        </w:tc>
        <w:tc>
          <w:tcPr>
            <w:tcW w:w="2496" w:type="dxa"/>
            <w:vMerge w:val="restart"/>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猪粪外售给夹江县果香四季家庭农场</w:t>
            </w:r>
            <w:r>
              <w:rPr>
                <w:rFonts w:hint="default" w:ascii="Times New Roman" w:hAnsi="Times New Roman" w:cs="Times New Roman"/>
                <w:color w:val="000000"/>
                <w:szCs w:val="21"/>
                <w:lang w:eastAsia="zh-CN"/>
              </w:rPr>
              <w:t>用于制作有机肥</w:t>
            </w:r>
            <w:r>
              <w:rPr>
                <w:rFonts w:hint="default" w:ascii="Times New Roman" w:hAnsi="Times New Roman" w:cs="Times New Roman"/>
                <w:color w:val="000000"/>
                <w:szCs w:val="21"/>
              </w:rPr>
              <w:t>，不在厂区储存。</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Merge w:val="continue"/>
            <w:vAlign w:val="center"/>
          </w:tcPr>
          <w:p>
            <w:pPr>
              <w:widowControl/>
              <w:jc w:val="center"/>
              <w:rPr>
                <w:rFonts w:hint="default" w:ascii="Times New Roman" w:hAnsi="Times New Roman" w:cs="Times New Roman"/>
                <w:color w:val="000000"/>
                <w:szCs w:val="21"/>
              </w:rPr>
            </w:pPr>
          </w:p>
        </w:tc>
        <w:tc>
          <w:tcPr>
            <w:tcW w:w="4544"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畜禽养殖场应采取将畜禽废渣还田、生产沼气、制造有机肥料、制造再生饲料等方法进行综合利用，用于直接还田利用的畜禽粪便，应当经处理达到规定的无害化标准，防止病菌传播</w:t>
            </w:r>
          </w:p>
        </w:tc>
        <w:tc>
          <w:tcPr>
            <w:tcW w:w="2496" w:type="dxa"/>
            <w:vMerge w:val="continue"/>
            <w:vAlign w:val="center"/>
          </w:tcPr>
          <w:p>
            <w:pPr>
              <w:widowControl/>
              <w:rPr>
                <w:rFonts w:hint="default" w:ascii="Times New Roman" w:hAnsi="Times New Roman" w:cs="Times New Roman"/>
                <w:color w:val="000000"/>
                <w:szCs w:val="21"/>
              </w:rPr>
            </w:pP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Merge w:val="continue"/>
            <w:vAlign w:val="center"/>
          </w:tcPr>
          <w:p>
            <w:pPr>
              <w:widowControl/>
              <w:jc w:val="center"/>
              <w:rPr>
                <w:rFonts w:hint="default" w:ascii="Times New Roman" w:hAnsi="Times New Roman" w:cs="Times New Roman"/>
                <w:color w:val="000000"/>
                <w:szCs w:val="21"/>
              </w:rPr>
            </w:pPr>
          </w:p>
        </w:tc>
        <w:tc>
          <w:tcPr>
            <w:tcW w:w="4544"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禁止向水体倾倒畜禽废渣</w:t>
            </w:r>
          </w:p>
        </w:tc>
        <w:tc>
          <w:tcPr>
            <w:tcW w:w="2496" w:type="dxa"/>
            <w:vMerge w:val="continue"/>
            <w:vAlign w:val="center"/>
          </w:tcPr>
          <w:p>
            <w:pPr>
              <w:widowControl/>
              <w:rPr>
                <w:rFonts w:hint="default" w:ascii="Times New Roman" w:hAnsi="Times New Roman" w:cs="Times New Roman"/>
                <w:color w:val="000000"/>
                <w:szCs w:val="21"/>
              </w:rPr>
            </w:pP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Merge w:val="restart"/>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畜禽养殖业污染防治技术规范</w:t>
            </w:r>
          </w:p>
        </w:tc>
        <w:tc>
          <w:tcPr>
            <w:tcW w:w="4544"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新建、改建、扩建的畜禽养殖场应实现生产区、生活管理区的隔离，建设粪便污水处理设施</w:t>
            </w:r>
          </w:p>
        </w:tc>
        <w:tc>
          <w:tcPr>
            <w:tcW w:w="2496"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项目为新建，生活、生产分区建设，日常养殖时生产废水进入污水处理系统处理后，</w:t>
            </w:r>
            <w:r>
              <w:rPr>
                <w:rFonts w:hint="default" w:ascii="Times New Roman" w:hAnsi="Times New Roman" w:cs="Times New Roman"/>
                <w:color w:val="000000"/>
              </w:rPr>
              <w:t>全部用作夹江县三洞镇周冲村村民的林地、</w:t>
            </w:r>
            <w:r>
              <w:rPr>
                <w:rFonts w:hint="default" w:ascii="Times New Roman" w:hAnsi="Times New Roman" w:cs="Times New Roman"/>
                <w:color w:val="000000"/>
                <w:lang w:eastAsia="zh-CN"/>
              </w:rPr>
              <w:t>农田</w:t>
            </w:r>
            <w:r>
              <w:rPr>
                <w:rFonts w:hint="default" w:ascii="Times New Roman" w:hAnsi="Times New Roman" w:cs="Times New Roman"/>
                <w:color w:val="000000"/>
              </w:rPr>
              <w:t>和耕地施肥。</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Merge w:val="continue"/>
            <w:vAlign w:val="center"/>
          </w:tcPr>
          <w:p>
            <w:pPr>
              <w:widowControl/>
              <w:jc w:val="center"/>
              <w:rPr>
                <w:rFonts w:hint="default" w:ascii="Times New Roman" w:hAnsi="Times New Roman" w:cs="Times New Roman"/>
                <w:color w:val="000000"/>
                <w:szCs w:val="21"/>
              </w:rPr>
            </w:pPr>
          </w:p>
        </w:tc>
        <w:tc>
          <w:tcPr>
            <w:tcW w:w="4544"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应设在养殖场的生产区、生活管理区的常年主导风向的下风向或侧风向处</w:t>
            </w:r>
          </w:p>
        </w:tc>
        <w:tc>
          <w:tcPr>
            <w:tcW w:w="2496"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位于主导风侧风向</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Merge w:val="continue"/>
            <w:vAlign w:val="center"/>
          </w:tcPr>
          <w:p>
            <w:pPr>
              <w:widowControl/>
              <w:jc w:val="center"/>
              <w:rPr>
                <w:rFonts w:hint="default" w:ascii="Times New Roman" w:hAnsi="Times New Roman" w:cs="Times New Roman"/>
                <w:color w:val="000000"/>
                <w:szCs w:val="21"/>
              </w:rPr>
            </w:pPr>
          </w:p>
        </w:tc>
        <w:tc>
          <w:tcPr>
            <w:tcW w:w="4544"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养殖场的排水系统应实行雨水和污水收集输送系统分离，在场区内外设置的污水收集输送系统，不得采取明沟布设</w:t>
            </w:r>
          </w:p>
        </w:tc>
        <w:tc>
          <w:tcPr>
            <w:tcW w:w="2496"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采取雨污分流措施，污水采取暗沟</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Merge w:val="continue"/>
            <w:vAlign w:val="center"/>
          </w:tcPr>
          <w:p>
            <w:pPr>
              <w:widowControl/>
              <w:jc w:val="center"/>
              <w:rPr>
                <w:rFonts w:hint="default" w:ascii="Times New Roman" w:hAnsi="Times New Roman" w:cs="Times New Roman"/>
                <w:color w:val="000000"/>
                <w:szCs w:val="21"/>
              </w:rPr>
            </w:pPr>
          </w:p>
        </w:tc>
        <w:tc>
          <w:tcPr>
            <w:tcW w:w="4544"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新建、改建、扩建的畜禽养殖场应采取干法清粪工艺，采取有效措施将粪及时、单独清出，不可与尿、污水混合排出，并将产生的粪渣及时运至贮存或处理场所，实现日产日清</w:t>
            </w:r>
          </w:p>
        </w:tc>
        <w:tc>
          <w:tcPr>
            <w:tcW w:w="2496" w:type="dxa"/>
            <w:vAlign w:val="center"/>
          </w:tcPr>
          <w:p>
            <w:pPr>
              <w:widowControl/>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猪粪干清，日常养殖时产生的生产废水进入污水处理系统处理后，</w:t>
            </w:r>
            <w:r>
              <w:rPr>
                <w:rFonts w:hint="default" w:ascii="Times New Roman" w:hAnsi="Times New Roman" w:cs="Times New Roman"/>
                <w:color w:val="000000"/>
              </w:rPr>
              <w:t>全部用作夹江县三洞镇周冲村村民的林地、</w:t>
            </w:r>
            <w:r>
              <w:rPr>
                <w:rFonts w:hint="default" w:ascii="Times New Roman" w:hAnsi="Times New Roman" w:cs="Times New Roman"/>
                <w:color w:val="000000"/>
                <w:lang w:eastAsia="zh-CN"/>
              </w:rPr>
              <w:t>农田</w:t>
            </w:r>
            <w:r>
              <w:rPr>
                <w:rFonts w:hint="default" w:ascii="Times New Roman" w:hAnsi="Times New Roman" w:cs="Times New Roman"/>
                <w:color w:val="000000"/>
              </w:rPr>
              <w:t>和耕地施肥。</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Merge w:val="continue"/>
            <w:vAlign w:val="center"/>
          </w:tcPr>
          <w:p>
            <w:pPr>
              <w:widowControl/>
              <w:jc w:val="center"/>
              <w:rPr>
                <w:rFonts w:hint="default" w:ascii="Times New Roman" w:hAnsi="Times New Roman" w:cs="Times New Roman"/>
                <w:color w:val="000000"/>
                <w:szCs w:val="21"/>
              </w:rPr>
            </w:pPr>
          </w:p>
        </w:tc>
        <w:tc>
          <w:tcPr>
            <w:tcW w:w="4544"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在畜禽养殖场与还田利用的农田之间应建立有效的污水输送网络，通过车载或管道形式将处理(置)后的污水输送至农田，要加强管理，严格控制污水输送沿途的弃、撒和跑、冒、滴、漏</w:t>
            </w:r>
          </w:p>
        </w:tc>
        <w:tc>
          <w:tcPr>
            <w:tcW w:w="2496"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猪舍采用干式清理，日常养殖时产生的废水进入污水处理系统处理后，</w:t>
            </w:r>
            <w:r>
              <w:rPr>
                <w:rFonts w:hint="default" w:ascii="Times New Roman" w:hAnsi="Times New Roman" w:cs="Times New Roman"/>
                <w:color w:val="000000"/>
              </w:rPr>
              <w:t>全部用作夹江县三洞镇周冲村村民的林地、</w:t>
            </w:r>
            <w:r>
              <w:rPr>
                <w:rFonts w:hint="default" w:ascii="Times New Roman" w:hAnsi="Times New Roman" w:cs="Times New Roman"/>
                <w:color w:val="000000"/>
                <w:lang w:eastAsia="zh-CN"/>
              </w:rPr>
              <w:t>农田</w:t>
            </w:r>
            <w:r>
              <w:rPr>
                <w:rFonts w:hint="default" w:ascii="Times New Roman" w:hAnsi="Times New Roman" w:cs="Times New Roman"/>
                <w:color w:val="000000"/>
              </w:rPr>
              <w:t>和耕地施肥。</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Merge w:val="continue"/>
            <w:vAlign w:val="center"/>
          </w:tcPr>
          <w:p>
            <w:pPr>
              <w:widowControl/>
              <w:jc w:val="center"/>
              <w:rPr>
                <w:rFonts w:hint="default" w:ascii="Times New Roman" w:hAnsi="Times New Roman" w:cs="Times New Roman"/>
                <w:color w:val="000000"/>
                <w:szCs w:val="21"/>
              </w:rPr>
            </w:pPr>
          </w:p>
        </w:tc>
        <w:tc>
          <w:tcPr>
            <w:tcW w:w="4544"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病死畜禽尸体要及时处理，严禁随意丢弃，严禁出售或作为饲料再利用</w:t>
            </w:r>
          </w:p>
        </w:tc>
        <w:tc>
          <w:tcPr>
            <w:tcW w:w="2496"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病死猪在农业部门指导下，按照《乐山市人民政府办公室关于建立病死畜禽无害化处理机制的通知》（乐府办函〔2016〕24号）要求，在乐山市集中无害化处理场建成之前，委托有资质的公司对病死猪进行收集并集中无害化处理。</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畜禽养殖场（小区）环境监察工作指南</w:t>
            </w:r>
          </w:p>
        </w:tc>
        <w:tc>
          <w:tcPr>
            <w:tcW w:w="4544"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养殖场环境需满足指南要求，并做好污染物处置</w:t>
            </w:r>
          </w:p>
        </w:tc>
        <w:tc>
          <w:tcPr>
            <w:tcW w:w="2496"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选址合理，废水、废气、固废均合理处置，不对外界环境造成较大影响</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Merge w:val="restart"/>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畜禽粪便无害化处理技术规范</w:t>
            </w:r>
          </w:p>
        </w:tc>
        <w:tc>
          <w:tcPr>
            <w:tcW w:w="4544"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畜禽粪便处理应坚持综合利用的原则，实现粪便的资源化</w:t>
            </w:r>
          </w:p>
        </w:tc>
        <w:tc>
          <w:tcPr>
            <w:tcW w:w="2496"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猪粪外售给夹江县果香四季家庭农场用作农肥</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20" w:hRule="atLeast"/>
          <w:jc w:val="center"/>
        </w:trPr>
        <w:tc>
          <w:tcPr>
            <w:tcW w:w="1482" w:type="dxa"/>
            <w:vMerge w:val="continue"/>
            <w:vAlign w:val="center"/>
          </w:tcPr>
          <w:p>
            <w:pPr>
              <w:widowControl/>
              <w:jc w:val="center"/>
              <w:rPr>
                <w:rFonts w:hint="default" w:ascii="Times New Roman" w:hAnsi="Times New Roman" w:cs="Times New Roman"/>
                <w:color w:val="000000"/>
                <w:szCs w:val="21"/>
              </w:rPr>
            </w:pPr>
          </w:p>
        </w:tc>
        <w:tc>
          <w:tcPr>
            <w:tcW w:w="4544"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畜禽粪便贮存设施必须进行防渗、防雨措施</w:t>
            </w:r>
          </w:p>
        </w:tc>
        <w:tc>
          <w:tcPr>
            <w:tcW w:w="2496"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项目粪便日产日清，不在项目地内堆存</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Ex>
        <w:trPr>
          <w:trHeight w:val="939" w:hRule="atLeast"/>
          <w:jc w:val="center"/>
        </w:trPr>
        <w:tc>
          <w:tcPr>
            <w:tcW w:w="1482" w:type="dxa"/>
            <w:vMerge w:val="continue"/>
            <w:vAlign w:val="center"/>
          </w:tcPr>
          <w:p>
            <w:pPr>
              <w:widowControl/>
              <w:jc w:val="center"/>
              <w:rPr>
                <w:rFonts w:hint="default" w:ascii="Times New Roman" w:hAnsi="Times New Roman" w:cs="Times New Roman"/>
                <w:color w:val="000000"/>
                <w:szCs w:val="21"/>
              </w:rPr>
            </w:pPr>
          </w:p>
        </w:tc>
        <w:tc>
          <w:tcPr>
            <w:tcW w:w="4544"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新建畜禽养殖场须配置畜禽粪便处理设施或畜禽粪便处理场</w:t>
            </w:r>
          </w:p>
        </w:tc>
        <w:tc>
          <w:tcPr>
            <w:tcW w:w="2496" w:type="dxa"/>
            <w:vAlign w:val="center"/>
          </w:tcPr>
          <w:p>
            <w:pPr>
              <w:widowControl/>
              <w:rPr>
                <w:rFonts w:hint="default" w:ascii="Times New Roman" w:hAnsi="Times New Roman" w:cs="Times New Roman"/>
                <w:color w:val="000000"/>
                <w:szCs w:val="21"/>
              </w:rPr>
            </w:pPr>
            <w:r>
              <w:rPr>
                <w:rFonts w:hint="default" w:ascii="Times New Roman" w:hAnsi="Times New Roman" w:cs="Times New Roman"/>
                <w:color w:val="000000"/>
                <w:szCs w:val="21"/>
              </w:rPr>
              <w:t>猪粪外售给夹江县果香四季家庭农场</w:t>
            </w:r>
            <w:r>
              <w:rPr>
                <w:rFonts w:hint="default" w:ascii="Times New Roman" w:hAnsi="Times New Roman" w:cs="Times New Roman"/>
                <w:color w:val="000000"/>
                <w:szCs w:val="21"/>
                <w:lang w:eastAsia="zh-CN"/>
              </w:rPr>
              <w:t>用于制作有机肥</w:t>
            </w:r>
            <w:r>
              <w:rPr>
                <w:rFonts w:hint="default" w:ascii="Times New Roman" w:hAnsi="Times New Roman" w:cs="Times New Roman"/>
                <w:color w:val="000000"/>
                <w:szCs w:val="21"/>
              </w:rPr>
              <w:t>，不在厂区储存。</w:t>
            </w:r>
          </w:p>
        </w:tc>
        <w:tc>
          <w:tcPr>
            <w:tcW w:w="1089" w:type="dxa"/>
            <w:vAlign w:val="center"/>
          </w:tcPr>
          <w:p>
            <w:pPr>
              <w:widowControl/>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bl>
    <w:p>
      <w:pPr>
        <w:widowControl/>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根据以上分析，该项目选址符合要求，选址合理。</w:t>
      </w:r>
    </w:p>
    <w:p>
      <w:pPr>
        <w:widowControl/>
        <w:spacing w:line="360" w:lineRule="auto"/>
        <w:ind w:firstLine="482" w:firstLineChars="200"/>
        <w:outlineLvl w:val="2"/>
        <w:rPr>
          <w:rFonts w:hint="default" w:ascii="Times New Roman" w:hAnsi="Times New Roman" w:cs="Times New Roman"/>
          <w:b/>
          <w:bCs/>
          <w:color w:val="000000"/>
          <w:sz w:val="24"/>
          <w:szCs w:val="24"/>
        </w:rPr>
      </w:pPr>
      <w:bookmarkStart w:id="71" w:name="_Toc489290362"/>
      <w:r>
        <w:rPr>
          <w:rFonts w:hint="default" w:ascii="Times New Roman" w:hAnsi="Times New Roman" w:cs="Times New Roman"/>
          <w:b/>
          <w:bCs/>
          <w:color w:val="000000"/>
          <w:sz w:val="24"/>
          <w:szCs w:val="24"/>
        </w:rPr>
        <w:t>1.6.4 工程建设条件分析</w:t>
      </w:r>
      <w:bookmarkEnd w:id="71"/>
    </w:p>
    <w:p>
      <w:pPr>
        <w:widowControl/>
        <w:spacing w:line="360" w:lineRule="auto"/>
        <w:ind w:firstLine="482" w:firstLineChars="20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 xml:space="preserve">（1）饲料供给条件 </w:t>
      </w:r>
    </w:p>
    <w:p>
      <w:pPr>
        <w:widowControl/>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本项目饲料均外购自饲料厂，饲料供给充足。项目不在厂区内进行饲料加工。</w:t>
      </w:r>
      <w:r>
        <w:rPr>
          <w:rFonts w:hint="default" w:ascii="Times New Roman" w:hAnsi="Times New Roman" w:cs="Times New Roman"/>
          <w:color w:val="000000"/>
          <w:sz w:val="24"/>
          <w:szCs w:val="24"/>
          <w:lang w:eastAsia="zh-CN"/>
        </w:rPr>
        <w:t>袋装</w:t>
      </w:r>
      <w:r>
        <w:rPr>
          <w:rFonts w:hint="default" w:ascii="Times New Roman" w:hAnsi="Times New Roman" w:cs="Times New Roman"/>
          <w:color w:val="000000"/>
          <w:sz w:val="24"/>
          <w:szCs w:val="24"/>
        </w:rPr>
        <w:t>颗粒状饲料拉运至厂区后，采用全自动配送上料系统和限位猪槽，机械化操作，定时定量供应饲料，保证生猪饮食需求。</w:t>
      </w:r>
    </w:p>
    <w:p>
      <w:pPr>
        <w:pStyle w:val="62"/>
        <w:ind w:firstLine="535" w:firstLineChars="222"/>
        <w:jc w:val="both"/>
        <w:rPr>
          <w:rFonts w:hint="default" w:ascii="Times New Roman" w:hAnsi="Times New Roman" w:cs="Times New Roman"/>
          <w:b/>
          <w:color w:val="000000"/>
          <w:szCs w:val="24"/>
        </w:rPr>
      </w:pPr>
      <w:r>
        <w:rPr>
          <w:rFonts w:hint="default" w:ascii="Times New Roman" w:hAnsi="Times New Roman" w:cs="Times New Roman"/>
          <w:b/>
          <w:color w:val="000000"/>
          <w:szCs w:val="24"/>
        </w:rPr>
        <w:t>（2）水电供应条件</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szCs w:val="24"/>
        </w:rPr>
        <w:t>本项目总用水量49197.5m</w:t>
      </w:r>
      <w:r>
        <w:rPr>
          <w:rFonts w:hint="default" w:ascii="Times New Roman" w:hAnsi="Times New Roman" w:cs="Times New Roman"/>
          <w:color w:val="000000"/>
          <w:szCs w:val="24"/>
          <w:vertAlign w:val="superscript"/>
        </w:rPr>
        <w:t>3</w:t>
      </w:r>
      <w:r>
        <w:rPr>
          <w:rFonts w:hint="default" w:ascii="Times New Roman" w:hAnsi="Times New Roman" w:cs="Times New Roman"/>
          <w:color w:val="000000"/>
          <w:szCs w:val="24"/>
        </w:rPr>
        <w:t>/a，水源取自场区自备的2口水井，水量满足养殖场用水需要。养殖场周边500m范围内无工业废水及医院污水的排放，其水源地水质未受工业活动的污染，符合《农产品安全质量无</w:t>
      </w:r>
      <w:r>
        <w:rPr>
          <w:rFonts w:hint="default" w:ascii="Times New Roman" w:hAnsi="Times New Roman" w:cs="Times New Roman"/>
          <w:color w:val="000000"/>
        </w:rPr>
        <w:t>公害畜禽肉产地环境要求》（GB/T18407）有关要求。</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本项目供电利用当地电网，可为本工程提供稳定的用电。</w:t>
      </w:r>
    </w:p>
    <w:p>
      <w:pPr>
        <w:pStyle w:val="62"/>
        <w:ind w:firstLine="482" w:firstLineChars="200"/>
        <w:jc w:val="both"/>
        <w:rPr>
          <w:rFonts w:hint="default" w:ascii="Times New Roman" w:hAnsi="Times New Roman" w:cs="Times New Roman"/>
          <w:b/>
          <w:color w:val="000000"/>
        </w:rPr>
      </w:pPr>
      <w:r>
        <w:rPr>
          <w:rFonts w:hint="default" w:ascii="Times New Roman" w:hAnsi="Times New Roman" w:cs="Times New Roman"/>
          <w:b/>
          <w:color w:val="000000"/>
        </w:rPr>
        <w:t xml:space="preserve">（3）交通条件 </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原辅材料、产品均采用汽车运输，项目修建一条长约50m，宽5m的进场道路，混凝土路面，与项目南侧的村道连接，交通较为便利。</w:t>
      </w:r>
    </w:p>
    <w:p>
      <w:pPr>
        <w:pStyle w:val="62"/>
        <w:ind w:firstLine="482" w:firstLineChars="200"/>
        <w:jc w:val="both"/>
        <w:rPr>
          <w:rFonts w:hint="default" w:ascii="Times New Roman" w:hAnsi="Times New Roman" w:cs="Times New Roman"/>
          <w:b/>
          <w:color w:val="000000"/>
        </w:rPr>
      </w:pPr>
      <w:r>
        <w:rPr>
          <w:rFonts w:hint="default" w:ascii="Times New Roman" w:hAnsi="Times New Roman" w:cs="Times New Roman"/>
          <w:b/>
          <w:color w:val="000000"/>
          <w:szCs w:val="24"/>
        </w:rPr>
        <w:t>（4）环境容量</w:t>
      </w:r>
    </w:p>
    <w:p>
      <w:pPr>
        <w:pStyle w:val="62"/>
        <w:ind w:firstLine="600" w:firstLineChars="250"/>
        <w:jc w:val="both"/>
        <w:rPr>
          <w:rFonts w:hint="default" w:ascii="Times New Roman" w:hAnsi="Times New Roman" w:cs="Times New Roman"/>
          <w:color w:val="000000"/>
        </w:rPr>
      </w:pPr>
      <w:r>
        <w:rPr>
          <w:rFonts w:hint="default" w:ascii="Times New Roman" w:hAnsi="Times New Roman" w:cs="Times New Roman"/>
          <w:color w:val="000000"/>
          <w:szCs w:val="24"/>
        </w:rPr>
        <w:t>根据乐山市环境保护局公布的《乐山市2017年环境质量公报》中的统计数据可知，项目所在区域二氧化硫（SO</w:t>
      </w:r>
      <w:r>
        <w:rPr>
          <w:rFonts w:hint="default" w:ascii="Times New Roman" w:hAnsi="Times New Roman" w:cs="Times New Roman"/>
          <w:color w:val="000000"/>
          <w:szCs w:val="24"/>
          <w:vertAlign w:val="subscript"/>
        </w:rPr>
        <w:t>2</w:t>
      </w:r>
      <w:r>
        <w:rPr>
          <w:rFonts w:hint="default" w:ascii="Times New Roman" w:hAnsi="Times New Roman" w:cs="Times New Roman"/>
          <w:color w:val="000000"/>
          <w:szCs w:val="24"/>
        </w:rPr>
        <w:t>）、二氧化氮（NO</w:t>
      </w:r>
      <w:r>
        <w:rPr>
          <w:rFonts w:hint="default" w:ascii="Times New Roman" w:hAnsi="Times New Roman" w:cs="Times New Roman"/>
          <w:color w:val="000000"/>
          <w:szCs w:val="24"/>
          <w:vertAlign w:val="subscript"/>
        </w:rPr>
        <w:t>2</w:t>
      </w:r>
      <w:r>
        <w:rPr>
          <w:rFonts w:hint="default" w:ascii="Times New Roman" w:hAnsi="Times New Roman" w:cs="Times New Roman"/>
          <w:color w:val="000000"/>
          <w:szCs w:val="24"/>
        </w:rPr>
        <w:t>）、一氧化碳（CO）、臭氧（O</w:t>
      </w:r>
      <w:r>
        <w:rPr>
          <w:rFonts w:hint="default" w:ascii="Times New Roman" w:hAnsi="Times New Roman" w:cs="Times New Roman"/>
          <w:color w:val="000000"/>
          <w:szCs w:val="24"/>
          <w:vertAlign w:val="subscript"/>
        </w:rPr>
        <w:t>3</w:t>
      </w:r>
      <w:r>
        <w:rPr>
          <w:rFonts w:hint="default" w:ascii="Times New Roman" w:hAnsi="Times New Roman" w:cs="Times New Roman"/>
          <w:color w:val="000000"/>
          <w:szCs w:val="24"/>
        </w:rPr>
        <w:t>）环境空气质量达到《环境空气质量标准》（GB 3095-2012）中的二级标准，可吸入颗粒物（PM</w:t>
      </w:r>
      <w:r>
        <w:rPr>
          <w:rFonts w:hint="default" w:ascii="Times New Roman" w:hAnsi="Times New Roman" w:cs="Times New Roman"/>
          <w:color w:val="000000"/>
          <w:szCs w:val="24"/>
          <w:vertAlign w:val="subscript"/>
        </w:rPr>
        <w:t>10</w:t>
      </w:r>
      <w:r>
        <w:rPr>
          <w:rFonts w:hint="default" w:ascii="Times New Roman" w:hAnsi="Times New Roman" w:cs="Times New Roman"/>
          <w:color w:val="000000"/>
          <w:szCs w:val="24"/>
        </w:rPr>
        <w:t>）、细颗粒物（PM</w:t>
      </w:r>
      <w:r>
        <w:rPr>
          <w:rFonts w:hint="default" w:ascii="Times New Roman" w:hAnsi="Times New Roman" w:cs="Times New Roman"/>
          <w:color w:val="000000"/>
          <w:szCs w:val="24"/>
          <w:vertAlign w:val="subscript"/>
        </w:rPr>
        <w:t>2.5</w:t>
      </w:r>
      <w:r>
        <w:rPr>
          <w:rFonts w:hint="default" w:ascii="Times New Roman" w:hAnsi="Times New Roman" w:cs="Times New Roman"/>
          <w:color w:val="000000"/>
          <w:szCs w:val="24"/>
        </w:rPr>
        <w:t>）环境空气质量现状未达到《环境空气质量标准》（GB 3095-2012）中的二级标准，超标倍数分别为0.20倍、0.58倍。因此，项目所在区域为不达标区，不达标因子为可吸入颗粒物(PM</w:t>
      </w:r>
      <w:r>
        <w:rPr>
          <w:rFonts w:hint="default" w:ascii="Times New Roman" w:hAnsi="Times New Roman" w:cs="Times New Roman"/>
          <w:color w:val="000000"/>
          <w:szCs w:val="24"/>
          <w:vertAlign w:val="subscript"/>
        </w:rPr>
        <w:t>10</w:t>
      </w:r>
      <w:r>
        <w:rPr>
          <w:rFonts w:hint="default" w:ascii="Times New Roman" w:hAnsi="Times New Roman" w:cs="Times New Roman"/>
          <w:color w:val="000000"/>
          <w:szCs w:val="24"/>
        </w:rPr>
        <w:t>)、细颗粒物(PM</w:t>
      </w:r>
      <w:r>
        <w:rPr>
          <w:rFonts w:hint="default" w:ascii="Times New Roman" w:hAnsi="Times New Roman" w:cs="Times New Roman"/>
          <w:color w:val="000000"/>
          <w:szCs w:val="24"/>
          <w:vertAlign w:val="subscript"/>
        </w:rPr>
        <w:t>2.5</w:t>
      </w:r>
      <w:r>
        <w:rPr>
          <w:rFonts w:hint="default" w:ascii="Times New Roman" w:hAnsi="Times New Roman" w:cs="Times New Roman"/>
          <w:color w:val="000000"/>
          <w:szCs w:val="24"/>
        </w:rPr>
        <w:t>)。根据环境现状监测，NH</w:t>
      </w:r>
      <w:r>
        <w:rPr>
          <w:rFonts w:hint="default" w:ascii="Times New Roman" w:hAnsi="Times New Roman" w:cs="Times New Roman"/>
          <w:color w:val="000000"/>
          <w:szCs w:val="24"/>
          <w:vertAlign w:val="subscript"/>
        </w:rPr>
        <w:t>3</w:t>
      </w:r>
      <w:r>
        <w:rPr>
          <w:rFonts w:hint="default" w:ascii="Times New Roman" w:hAnsi="Times New Roman" w:cs="Times New Roman"/>
          <w:color w:val="000000"/>
          <w:szCs w:val="24"/>
        </w:rPr>
        <w:t>、H</w:t>
      </w:r>
      <w:r>
        <w:rPr>
          <w:rFonts w:hint="default" w:ascii="Times New Roman" w:hAnsi="Times New Roman" w:cs="Times New Roman"/>
          <w:color w:val="000000"/>
          <w:szCs w:val="24"/>
          <w:vertAlign w:val="subscript"/>
        </w:rPr>
        <w:t>2</w:t>
      </w:r>
      <w:r>
        <w:rPr>
          <w:rFonts w:hint="default" w:ascii="Times New Roman" w:hAnsi="Times New Roman" w:cs="Times New Roman"/>
          <w:color w:val="000000"/>
          <w:szCs w:val="24"/>
        </w:rPr>
        <w:t>S满足</w:t>
      </w:r>
      <w:r>
        <w:rPr>
          <w:rFonts w:hint="default" w:ascii="Times New Roman" w:hAnsi="Times New Roman" w:cs="Times New Roman"/>
          <w:sz w:val="24"/>
          <w:szCs w:val="24"/>
        </w:rPr>
        <w:t>《环境影响评价技术导则—大气环境》（HJ2.2－2018）</w:t>
      </w:r>
      <w:r>
        <w:rPr>
          <w:rFonts w:hint="default" w:ascii="Times New Roman" w:hAnsi="Times New Roman" w:cs="Times New Roman"/>
          <w:sz w:val="24"/>
          <w:szCs w:val="24"/>
          <w:lang w:eastAsia="zh-CN"/>
        </w:rPr>
        <w:t>附录</w:t>
      </w:r>
      <w:r>
        <w:rPr>
          <w:rFonts w:hint="default" w:ascii="Times New Roman" w:hAnsi="Times New Roman" w:cs="Times New Roman"/>
          <w:sz w:val="24"/>
          <w:szCs w:val="24"/>
          <w:lang w:val="en-US" w:eastAsia="zh-CN"/>
        </w:rPr>
        <w:t>D中相关限值</w:t>
      </w:r>
      <w:r>
        <w:rPr>
          <w:rFonts w:hint="default" w:ascii="Times New Roman" w:hAnsi="Times New Roman" w:cs="Times New Roman"/>
          <w:color w:val="000000"/>
          <w:szCs w:val="24"/>
        </w:rPr>
        <w:t>；项目所在地地表水环境质量现状满足《地表水环境质量标准》（GB3838-2002）中的III类水域标准；项目所在地地下水质量现状满足《地下水质量标准》（GB/T14848-</w:t>
      </w:r>
      <w:r>
        <w:rPr>
          <w:rFonts w:hint="default" w:ascii="Times New Roman" w:hAnsi="Times New Roman" w:cs="Times New Roman"/>
          <w:color w:val="000000"/>
          <w:szCs w:val="24"/>
          <w:lang w:val="en-US" w:eastAsia="zh-CN"/>
        </w:rPr>
        <w:t>2017</w:t>
      </w:r>
      <w:r>
        <w:rPr>
          <w:rFonts w:hint="default" w:ascii="Times New Roman" w:hAnsi="Times New Roman" w:cs="Times New Roman"/>
          <w:color w:val="000000"/>
          <w:szCs w:val="24"/>
        </w:rPr>
        <w:t>）中Ⅲ类水质标准；项目厂界噪声及敏感点噪声均满足《声环境质量标准》（GB3096-2008）中的2类功能区标准。上述表明项目地环境质量良好。</w:t>
      </w:r>
    </w:p>
    <w:p>
      <w:pPr>
        <w:pStyle w:val="62"/>
        <w:ind w:firstLine="544" w:firstLineChars="227"/>
        <w:jc w:val="both"/>
        <w:rPr>
          <w:rFonts w:hint="default" w:ascii="Times New Roman" w:hAnsi="Times New Roman" w:cs="Times New Roman"/>
          <w:b/>
          <w:bCs/>
          <w:sz w:val="28"/>
          <w:szCs w:val="28"/>
        </w:rPr>
      </w:pPr>
      <w:r>
        <w:rPr>
          <w:rFonts w:hint="default" w:ascii="Times New Roman" w:hAnsi="Times New Roman" w:cs="Times New Roman"/>
          <w:color w:val="000000"/>
          <w:szCs w:val="24"/>
        </w:rPr>
        <w:t>综上所述，建设项目属国家鼓励发展的行业，选址符合相关规划要求，项目所在地大气、地表水、地下水及噪声环境质量满足相应环境质量标准，项目建设对环境的影响可以接受，拟选址合理。</w:t>
      </w:r>
    </w:p>
    <w:p>
      <w:pPr>
        <w:pStyle w:val="4"/>
        <w:spacing w:before="0" w:after="0" w:line="360" w:lineRule="auto"/>
        <w:rPr>
          <w:rFonts w:hint="default" w:ascii="Times New Roman" w:hAnsi="Times New Roman" w:cs="Times New Roman"/>
          <w:color w:val="000000"/>
          <w:sz w:val="28"/>
          <w:szCs w:val="28"/>
        </w:rPr>
      </w:pPr>
      <w:bookmarkStart w:id="72" w:name="_Toc500840300"/>
      <w:bookmarkStart w:id="73" w:name="_Toc29781"/>
      <w:r>
        <w:rPr>
          <w:rFonts w:hint="default" w:ascii="Times New Roman" w:hAnsi="Times New Roman" w:cs="Times New Roman"/>
          <w:color w:val="000000"/>
          <w:sz w:val="28"/>
          <w:szCs w:val="28"/>
        </w:rPr>
        <w:t>1.7 本项目建设与“三线一单”符合性分析</w:t>
      </w:r>
      <w:bookmarkEnd w:id="72"/>
      <w:bookmarkEnd w:id="73"/>
    </w:p>
    <w:p>
      <w:pPr>
        <w:pStyle w:val="62"/>
        <w:ind w:firstLine="600" w:firstLineChars="250"/>
        <w:jc w:val="both"/>
        <w:rPr>
          <w:rFonts w:hint="default" w:ascii="Times New Roman" w:hAnsi="Times New Roman" w:cs="Times New Roman"/>
          <w:color w:val="000000"/>
        </w:rPr>
      </w:pPr>
      <w:r>
        <w:rPr>
          <w:rFonts w:hint="default" w:ascii="Times New Roman" w:hAnsi="Times New Roman" w:cs="Times New Roman"/>
          <w:color w:val="000000"/>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pStyle w:val="9"/>
        <w:ind w:firstLine="480"/>
        <w:rPr>
          <w:rFonts w:hint="default" w:ascii="Times New Roman" w:hAnsi="Times New Roman" w:cs="Times New Roman"/>
          <w:b/>
          <w:color w:val="000000"/>
        </w:rPr>
      </w:pPr>
      <w:r>
        <w:rPr>
          <w:rFonts w:hint="default" w:ascii="Times New Roman" w:hAnsi="Times New Roman" w:cs="Times New Roman"/>
          <w:b/>
          <w:color w:val="000000"/>
        </w:rPr>
        <w:t>（1）与生态保护红线符合性分析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四川省人民政府《关于印发四川省生态保护红线方案的通知》（川府发〔2018〕24号）中指出：“四川省生态保护红线总面积14.80万平方公里，占全省幅员面积的30.45%，主要分布于川西高山高原、川西南山地和盆周山地，分布格局为“四轴九核”。“四轴”指大巴山、金沙江下游干热河谷、川东南山地以及盆中丘陵区，呈带状分布；“九核”指若尔盖湿地（黄河源）、雅砻江源、大渡河源以及大雪山、沙鲁里山、岷山、邛崃山、凉山—相岭、锦屏山，以水系、山系为骨架集中成片分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Style w:val="30"/>
          <w:rFonts w:hint="default" w:ascii="Times New Roman" w:hAnsi="Times New Roman" w:eastAsia="宋体" w:cs="Times New Roman"/>
          <w:i w:val="0"/>
          <w:caps w:val="0"/>
          <w:color w:val="auto"/>
          <w:spacing w:val="0"/>
          <w:sz w:val="24"/>
          <w:szCs w:val="24"/>
        </w:rPr>
      </w:pPr>
      <w:r>
        <w:rPr>
          <w:rFonts w:hint="default" w:ascii="Times New Roman" w:hAnsi="Times New Roman" w:cs="Times New Roman"/>
          <w:color w:val="auto"/>
          <w:sz w:val="24"/>
          <w:szCs w:val="24"/>
          <w:lang w:val="en-US" w:eastAsia="zh-CN"/>
        </w:rPr>
        <w:t>根据该《通知》：乐山市涉及“盆中城市饮用水源—水土保持生态保护红线”；</w:t>
      </w:r>
      <w:r>
        <w:rPr>
          <w:rStyle w:val="30"/>
          <w:rFonts w:hint="default" w:ascii="Times New Roman" w:hAnsi="Times New Roman" w:eastAsia="宋体" w:cs="Times New Roman"/>
          <w:i w:val="0"/>
          <w:caps w:val="0"/>
          <w:color w:val="auto"/>
          <w:spacing w:val="0"/>
          <w:sz w:val="24"/>
          <w:szCs w:val="24"/>
        </w:rPr>
        <w:t>乐山市沙湾区、乐山市金口河区、沐川县、峨边彝族自治县、马边彝族自治县</w:t>
      </w:r>
      <w:r>
        <w:rPr>
          <w:rFonts w:hint="default" w:ascii="Times New Roman" w:hAnsi="Times New Roman" w:cs="Times New Roman"/>
          <w:color w:val="auto"/>
          <w:sz w:val="24"/>
          <w:szCs w:val="24"/>
          <w:lang w:val="en-US" w:eastAsia="zh-CN"/>
        </w:rPr>
        <w:t>涉及“凉山—相岭生物多样性维护—水土保持生态红线”。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本项目位于</w:t>
      </w:r>
      <w:r>
        <w:rPr>
          <w:rFonts w:hint="default" w:ascii="Times New Roman" w:hAnsi="Times New Roman" w:cs="Times New Roman"/>
          <w:color w:val="000000"/>
          <w:sz w:val="24"/>
          <w:lang w:eastAsia="zh-CN"/>
        </w:rPr>
        <w:t>乐山市夹江县三洞镇周冲村</w:t>
      </w:r>
      <w:r>
        <w:rPr>
          <w:rFonts w:hint="default" w:ascii="Times New Roman" w:hAnsi="Times New Roman" w:cs="Times New Roman"/>
          <w:color w:val="auto"/>
          <w:sz w:val="24"/>
          <w:szCs w:val="24"/>
          <w:lang w:val="en-US" w:eastAsia="zh-CN"/>
        </w:rPr>
        <w:t>，结合上述《通知》及《四川省生态保护红线分布图》（见附图9）分析，项目用地不在生态保护红线范围内，选址与《四川省生态保护红线方案》是相协调的。</w:t>
      </w:r>
    </w:p>
    <w:p>
      <w:pPr>
        <w:pStyle w:val="9"/>
        <w:ind w:firstLine="480"/>
        <w:rPr>
          <w:rFonts w:hint="default" w:ascii="Times New Roman" w:hAnsi="Times New Roman" w:cs="Times New Roman"/>
          <w:b/>
          <w:color w:val="000000"/>
          <w:lang w:eastAsia="zh-CN"/>
        </w:rPr>
      </w:pPr>
      <w:r>
        <w:rPr>
          <w:rFonts w:hint="default" w:ascii="Times New Roman" w:hAnsi="Times New Roman" w:cs="Times New Roman"/>
          <w:lang w:eastAsia="zh-CN"/>
        </w:rPr>
        <w:t>综上，</w:t>
      </w:r>
      <w:r>
        <w:rPr>
          <w:rFonts w:hint="default" w:ascii="Times New Roman" w:hAnsi="Times New Roman" w:cs="Times New Roman"/>
        </w:rPr>
        <w:t>本项目不涉及四川省生态保护红线。</w:t>
      </w:r>
    </w:p>
    <w:p>
      <w:pPr>
        <w:pStyle w:val="62"/>
        <w:ind w:firstLine="426"/>
        <w:jc w:val="both"/>
        <w:rPr>
          <w:rFonts w:hint="default" w:ascii="Times New Roman" w:hAnsi="Times New Roman" w:cs="Times New Roman"/>
          <w:b/>
          <w:bCs/>
          <w:color w:val="000000"/>
        </w:rPr>
      </w:pPr>
      <w:r>
        <w:rPr>
          <w:rFonts w:hint="default" w:ascii="Times New Roman" w:hAnsi="Times New Roman" w:cs="Times New Roman"/>
          <w:b/>
          <w:bCs/>
          <w:color w:val="000000"/>
        </w:rPr>
        <w:t>（2）环境质量底线</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pStyle w:val="62"/>
        <w:ind w:firstLine="425"/>
        <w:jc w:val="both"/>
        <w:rPr>
          <w:rFonts w:hint="default" w:ascii="Times New Roman" w:hAnsi="Times New Roman" w:cs="Times New Roman"/>
          <w:bCs/>
          <w:color w:val="auto"/>
          <w:spacing w:val="8"/>
        </w:rPr>
      </w:pPr>
      <w:r>
        <w:rPr>
          <w:rFonts w:hint="default" w:ascii="Times New Roman" w:hAnsi="Times New Roman" w:cs="Times New Roman"/>
          <w:b w:val="0"/>
          <w:bCs/>
          <w:color w:val="auto"/>
          <w:lang w:eastAsia="zh-CN"/>
        </w:rPr>
        <w:t>根据</w:t>
      </w:r>
      <w:r>
        <w:rPr>
          <w:rFonts w:hint="default" w:ascii="Times New Roman" w:hAnsi="Times New Roman" w:cs="Times New Roman"/>
          <w:b w:val="0"/>
          <w:bCs/>
          <w:color w:val="auto"/>
        </w:rPr>
        <w:t>《2017 年</w:t>
      </w:r>
      <w:r>
        <w:rPr>
          <w:rFonts w:hint="default" w:ascii="Times New Roman" w:hAnsi="Times New Roman" w:cs="Times New Roman"/>
          <w:b w:val="0"/>
          <w:bCs/>
          <w:color w:val="auto"/>
          <w:lang w:eastAsia="zh-CN"/>
        </w:rPr>
        <w:t>乐山市</w:t>
      </w:r>
      <w:r>
        <w:rPr>
          <w:rFonts w:hint="default" w:ascii="Times New Roman" w:hAnsi="Times New Roman" w:cs="Times New Roman"/>
          <w:b w:val="0"/>
          <w:bCs/>
          <w:color w:val="auto"/>
        </w:rPr>
        <w:t>环境质量公报》</w:t>
      </w:r>
      <w:r>
        <w:rPr>
          <w:rFonts w:hint="default" w:ascii="Times New Roman" w:hAnsi="Times New Roman" w:cs="Times New Roman"/>
          <w:b w:val="0"/>
          <w:bCs/>
          <w:color w:val="auto"/>
          <w:lang w:eastAsia="zh-CN"/>
        </w:rPr>
        <w:t>，乐山市</w:t>
      </w:r>
      <w:r>
        <w:rPr>
          <w:rFonts w:hint="default" w:ascii="Times New Roman" w:hAnsi="Times New Roman" w:cs="Times New Roman"/>
          <w:b w:val="0"/>
          <w:bCs/>
          <w:color w:val="auto"/>
        </w:rPr>
        <w:t>为不达标区</w:t>
      </w:r>
      <w:r>
        <w:rPr>
          <w:rFonts w:hint="default" w:ascii="Times New Roman" w:hAnsi="Times New Roman" w:cs="Times New Roman"/>
          <w:b w:val="0"/>
          <w:bCs/>
          <w:color w:val="auto"/>
          <w:lang w:eastAsia="zh-CN"/>
        </w:rPr>
        <w:t>。</w:t>
      </w:r>
      <w:r>
        <w:rPr>
          <w:rFonts w:hint="default" w:ascii="Times New Roman" w:hAnsi="Times New Roman" w:cs="Times New Roman"/>
          <w:color w:val="auto"/>
        </w:rPr>
        <w:t>根据实地监测，项目所在地的</w:t>
      </w:r>
      <w:r>
        <w:rPr>
          <w:rFonts w:hint="default" w:ascii="Times New Roman" w:hAnsi="Times New Roman" w:cs="Times New Roman"/>
          <w:color w:val="auto"/>
          <w:lang w:eastAsia="zh-CN"/>
        </w:rPr>
        <w:t>特征监测因子</w:t>
      </w:r>
      <w:r>
        <w:rPr>
          <w:rFonts w:hint="default" w:ascii="Times New Roman" w:hAnsi="Times New Roman" w:cs="Times New Roman"/>
          <w:color w:val="auto"/>
          <w:szCs w:val="28"/>
        </w:rPr>
        <w:t>（</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szCs w:val="28"/>
        </w:rPr>
        <w:t>）均满足</w:t>
      </w:r>
      <w:r>
        <w:rPr>
          <w:rFonts w:hint="default" w:ascii="Times New Roman" w:hAnsi="Times New Roman" w:cs="Times New Roman"/>
          <w:color w:val="auto"/>
          <w:sz w:val="24"/>
          <w:szCs w:val="24"/>
        </w:rPr>
        <w:t>《环境影响评价技术导则 大气环境》（HJ2.2-2018）中附录D中的浓度限值（H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S:10</w:t>
      </w:r>
      <w:r>
        <w:rPr>
          <w:rFonts w:hint="default" w:ascii="Times New Roman" w:hAnsi="Times New Roman" w:cs="Times New Roman"/>
          <w:bCs/>
          <w:color w:val="auto"/>
          <w:sz w:val="24"/>
          <w:szCs w:val="24"/>
        </w:rPr>
        <w:t>μg/m</w:t>
      </w:r>
      <w:r>
        <w:rPr>
          <w:rFonts w:hint="default" w:ascii="Times New Roman" w:hAnsi="Times New Roman" w:cs="Times New Roman"/>
          <w:bCs/>
          <w:color w:val="auto"/>
          <w:sz w:val="24"/>
          <w:szCs w:val="24"/>
          <w:vertAlign w:val="superscript"/>
        </w:rPr>
        <w:t>3</w:t>
      </w:r>
      <w:r>
        <w:rPr>
          <w:rFonts w:hint="default" w:ascii="Times New Roman" w:hAnsi="Times New Roman" w:cs="Times New Roman"/>
          <w:color w:val="auto"/>
          <w:sz w:val="24"/>
          <w:szCs w:val="24"/>
        </w:rPr>
        <w:t>和NH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:200</w:t>
      </w:r>
      <w:r>
        <w:rPr>
          <w:rFonts w:hint="default" w:ascii="Times New Roman" w:hAnsi="Times New Roman" w:cs="Times New Roman"/>
          <w:bCs/>
          <w:color w:val="auto"/>
          <w:sz w:val="24"/>
          <w:szCs w:val="24"/>
        </w:rPr>
        <w:t>μg/m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，均为1h浓度限值</w:t>
      </w:r>
      <w:r>
        <w:rPr>
          <w:rFonts w:hint="default" w:ascii="Times New Roman" w:hAnsi="Times New Roman" w:cs="Times New Roman"/>
          <w:color w:val="auto"/>
          <w:sz w:val="24"/>
          <w:szCs w:val="24"/>
        </w:rPr>
        <w:t>）</w:t>
      </w:r>
      <w:r>
        <w:rPr>
          <w:rFonts w:hint="default" w:ascii="Times New Roman" w:hAnsi="Times New Roman" w:cs="Times New Roman"/>
          <w:color w:val="auto"/>
          <w:szCs w:val="28"/>
        </w:rPr>
        <w:t>；</w:t>
      </w:r>
      <w:r>
        <w:rPr>
          <w:rFonts w:hint="default" w:ascii="Times New Roman" w:hAnsi="Times New Roman" w:cs="Times New Roman"/>
          <w:color w:val="auto"/>
        </w:rPr>
        <w:t>场址四周声环境均可以满足《声环境质量标准》(GB3096-2008)2类标准要求</w:t>
      </w:r>
      <w:r>
        <w:rPr>
          <w:rFonts w:hint="default" w:ascii="Times New Roman" w:hAnsi="Times New Roman" w:cs="Times New Roman"/>
          <w:bCs/>
          <w:color w:val="auto"/>
          <w:spacing w:val="8"/>
        </w:rPr>
        <w:t>；本项目废水经处理后用于耕地等施肥，不排入地表水体。</w:t>
      </w:r>
    </w:p>
    <w:p>
      <w:pPr>
        <w:pStyle w:val="62"/>
        <w:ind w:firstLine="544" w:firstLineChars="227"/>
        <w:jc w:val="both"/>
        <w:rPr>
          <w:rFonts w:hint="default" w:ascii="Times New Roman" w:hAnsi="Times New Roman" w:cs="Times New Roman"/>
        </w:rPr>
      </w:pPr>
      <w:r>
        <w:rPr>
          <w:rFonts w:hint="default" w:ascii="Times New Roman" w:hAnsi="Times New Roman" w:cs="Times New Roman"/>
          <w:color w:val="000000"/>
        </w:rPr>
        <w:t>项目选址</w:t>
      </w:r>
      <w:r>
        <w:rPr>
          <w:rFonts w:hint="default" w:ascii="Times New Roman" w:hAnsi="Times New Roman" w:cs="Times New Roman"/>
        </w:rPr>
        <w:t>区域金牛河适用地表水环境质量为Ⅲ类的水域。根据金牛河水质监测数据可知，金牛河各水质监测因子均满足《地表水环境质量标准》（GB3838-2002）中的</w:t>
      </w:r>
      <w:r>
        <w:rPr>
          <w:rFonts w:hint="default" w:ascii="Times New Roman" w:hAnsi="Times New Roman" w:cs="Times New Roman"/>
        </w:rPr>
        <w:fldChar w:fldCharType="begin"/>
      </w:r>
      <w:r>
        <w:rPr>
          <w:rFonts w:hint="default" w:ascii="Times New Roman" w:hAnsi="Times New Roman" w:cs="Times New Roman"/>
        </w:rPr>
        <w:instrText xml:space="preserve"> = 3 \* ROMAN </w:instrText>
      </w:r>
      <w:r>
        <w:rPr>
          <w:rFonts w:hint="default" w:ascii="Times New Roman" w:hAnsi="Times New Roman" w:cs="Times New Roman"/>
        </w:rPr>
        <w:fldChar w:fldCharType="separate"/>
      </w:r>
      <w:r>
        <w:rPr>
          <w:rFonts w:hint="default" w:ascii="Times New Roman" w:hAnsi="Times New Roman" w:cs="Times New Roman"/>
        </w:rPr>
        <w:t>III</w:t>
      </w:r>
      <w:r>
        <w:rPr>
          <w:rFonts w:hint="default" w:ascii="Times New Roman" w:hAnsi="Times New Roman" w:cs="Times New Roman"/>
        </w:rPr>
        <w:fldChar w:fldCharType="end"/>
      </w:r>
      <w:r>
        <w:rPr>
          <w:rFonts w:hint="default" w:ascii="Times New Roman" w:hAnsi="Times New Roman" w:cs="Times New Roman"/>
        </w:rPr>
        <w:t>类水域标准，表明金牛河水环境质量良好。本项目施工期废水沉淀后回用，运营期无废水排放，不会增加区域水环境质量负荷。</w:t>
      </w:r>
    </w:p>
    <w:p>
      <w:pPr>
        <w:pStyle w:val="62"/>
        <w:ind w:firstLine="544" w:firstLineChars="227"/>
        <w:jc w:val="both"/>
        <w:rPr>
          <w:rFonts w:hint="default" w:ascii="Times New Roman" w:hAnsi="Times New Roman" w:cs="Times New Roman"/>
          <w:color w:val="000000"/>
        </w:rPr>
      </w:pPr>
      <w:r>
        <w:rPr>
          <w:rFonts w:hint="default" w:ascii="Times New Roman" w:hAnsi="Times New Roman" w:cs="Times New Roman"/>
        </w:rPr>
        <w:t>根据地下水现状监测结果，地下水监测因子的标准指数值均</w:t>
      </w:r>
      <w:r>
        <w:rPr>
          <w:rFonts w:hint="default" w:ascii="Times New Roman" w:hAnsi="Times New Roman" w:cs="Times New Roman"/>
          <w:bCs/>
        </w:rPr>
        <w:t>≤</w:t>
      </w:r>
      <w:r>
        <w:rPr>
          <w:rFonts w:hint="default" w:ascii="Times New Roman" w:hAnsi="Times New Roman" w:cs="Times New Roman"/>
        </w:rPr>
        <w:t>1，评价因子均满足《地下水质量标准》</w:t>
      </w:r>
      <w:r>
        <w:rPr>
          <w:rFonts w:hint="default" w:ascii="Times New Roman" w:hAnsi="Times New Roman" w:cs="Times New Roman"/>
          <w:highlight w:val="none"/>
        </w:rPr>
        <w:t>(GB/T14848-</w:t>
      </w:r>
      <w:r>
        <w:rPr>
          <w:rFonts w:hint="default" w:ascii="Times New Roman" w:hAnsi="Times New Roman" w:cs="Times New Roman"/>
          <w:highlight w:val="none"/>
          <w:lang w:val="en-US" w:eastAsia="zh-CN"/>
        </w:rPr>
        <w:t>2017</w:t>
      </w:r>
      <w:r>
        <w:rPr>
          <w:rFonts w:hint="default" w:ascii="Times New Roman" w:hAnsi="Times New Roman" w:cs="Times New Roman"/>
          <w:highlight w:val="none"/>
        </w:rPr>
        <w:t>)中</w:t>
      </w:r>
      <w:r>
        <w:rPr>
          <w:rFonts w:hint="default" w:ascii="Times New Roman" w:hAnsi="Times New Roman" w:cs="Times New Roman"/>
        </w:rPr>
        <w:t>的III类标准限值要求。本项目施工期废水沉淀后</w:t>
      </w:r>
      <w:r>
        <w:rPr>
          <w:rFonts w:hint="default" w:ascii="Times New Roman" w:hAnsi="Times New Roman" w:cs="Times New Roman"/>
          <w:color w:val="000000"/>
        </w:rPr>
        <w:t>回用，运营期无废水排放，各区域严格按照相关要求做分区防渗处理，项目运营不会对地下水环境产生大的影响。</w:t>
      </w:r>
    </w:p>
    <w:p>
      <w:pPr>
        <w:pStyle w:val="62"/>
        <w:ind w:firstLine="544" w:firstLineChars="227"/>
        <w:jc w:val="both"/>
        <w:rPr>
          <w:rFonts w:hint="default" w:ascii="Times New Roman" w:hAnsi="Times New Roman" w:cs="Times New Roman"/>
          <w:color w:val="000000"/>
        </w:rPr>
      </w:pPr>
      <w:r>
        <w:rPr>
          <w:rFonts w:hint="default" w:ascii="Times New Roman" w:hAnsi="Times New Roman" w:cs="Times New Roman"/>
          <w:color w:val="000000"/>
        </w:rPr>
        <w:t>项目所在区域为2类声环境功能区，根据环境噪声现状监测结果，项目区域</w:t>
      </w:r>
      <w:r>
        <w:rPr>
          <w:rFonts w:hint="default" w:ascii="Times New Roman" w:hAnsi="Times New Roman" w:cs="Times New Roman"/>
          <w:bCs/>
          <w:color w:val="000000"/>
        </w:rPr>
        <w:t>各点位噪声满足《声环境质量标准》（GB3096-2008）中2类标准，</w:t>
      </w:r>
      <w:r>
        <w:rPr>
          <w:rFonts w:hint="default" w:ascii="Times New Roman" w:hAnsi="Times New Roman" w:cs="Times New Roman"/>
          <w:color w:val="000000"/>
        </w:rPr>
        <w:t>表明项目所在地声环境质量良好。本项目运营期产噪小，可实现达标排放，不会改变项目所在区域的声环境功能。</w:t>
      </w:r>
    </w:p>
    <w:p>
      <w:pPr>
        <w:pStyle w:val="62"/>
        <w:ind w:firstLine="544" w:firstLineChars="227"/>
        <w:jc w:val="both"/>
        <w:rPr>
          <w:rFonts w:hint="default" w:ascii="Times New Roman" w:hAnsi="Times New Roman" w:cs="Times New Roman"/>
          <w:color w:val="000000"/>
        </w:rPr>
      </w:pPr>
      <w:r>
        <w:rPr>
          <w:rFonts w:hint="default" w:ascii="Times New Roman" w:hAnsi="Times New Roman" w:cs="Times New Roman"/>
          <w:color w:val="000000"/>
        </w:rPr>
        <w:t>综上，本项目建设符合环境质量底线要求。</w:t>
      </w:r>
    </w:p>
    <w:p>
      <w:pPr>
        <w:pStyle w:val="62"/>
        <w:ind w:firstLine="426"/>
        <w:jc w:val="both"/>
        <w:rPr>
          <w:rFonts w:hint="default" w:ascii="Times New Roman" w:hAnsi="Times New Roman" w:cs="Times New Roman"/>
          <w:b/>
          <w:bCs/>
          <w:color w:val="000000"/>
        </w:rPr>
      </w:pPr>
      <w:r>
        <w:rPr>
          <w:rFonts w:hint="default" w:ascii="Times New Roman" w:hAnsi="Times New Roman" w:cs="Times New Roman"/>
          <w:b/>
          <w:bCs/>
          <w:color w:val="000000"/>
        </w:rPr>
        <w:t>（3）资源利用上线</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资源是环境的载体，“资源利用上线”是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本项目施工期及运营期用电、用水量不会超过区域水、电负荷，且项目建设用地不涉及基本农田，土地资源消耗符合要求。因此，项目资源利用满足要求。</w:t>
      </w:r>
    </w:p>
    <w:p>
      <w:pPr>
        <w:pStyle w:val="62"/>
        <w:widowControl w:val="0"/>
        <w:ind w:firstLine="426"/>
        <w:jc w:val="both"/>
        <w:rPr>
          <w:rFonts w:hint="default" w:ascii="Times New Roman" w:hAnsi="Times New Roman" w:cs="Times New Roman"/>
          <w:b/>
          <w:bCs/>
          <w:color w:val="000000"/>
        </w:rPr>
      </w:pPr>
      <w:r>
        <w:rPr>
          <w:rFonts w:hint="default" w:ascii="Times New Roman" w:hAnsi="Times New Roman" w:cs="Times New Roman"/>
          <w:b/>
          <w:bCs/>
          <w:color w:val="000000"/>
        </w:rPr>
        <w:t>（4）环境准入负面清单</w:t>
      </w:r>
    </w:p>
    <w:p>
      <w:pPr>
        <w:pStyle w:val="62"/>
        <w:widowControl w:val="0"/>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根据《乐山市环境保护局关于印发&lt;乐山市建设项目环境准入负面清单（试行）&gt;的通知》（乐市环发[2017]</w:t>
      </w:r>
      <w:r>
        <w:rPr>
          <w:rFonts w:hint="default" w:ascii="Times New Roman" w:hAnsi="Times New Roman" w:cs="Times New Roman"/>
        </w:rPr>
        <w:t>59号，见附件13），本项</w:t>
      </w:r>
      <w:r>
        <w:rPr>
          <w:rFonts w:hint="default" w:ascii="Times New Roman" w:hAnsi="Times New Roman" w:cs="Times New Roman"/>
          <w:color w:val="000000"/>
        </w:rPr>
        <w:t>目不在其环境准入负面清单内，应属环境准入允许类别。</w:t>
      </w:r>
    </w:p>
    <w:bookmarkEnd w:id="68"/>
    <w:p>
      <w:pPr>
        <w:pStyle w:val="2"/>
        <w:spacing w:line="360" w:lineRule="auto"/>
        <w:outlineLvl w:val="1"/>
        <w:rPr>
          <w:rFonts w:hint="default" w:ascii="Times New Roman" w:hAnsi="Times New Roman" w:cs="Times New Roman"/>
          <w:b/>
          <w:bCs/>
          <w:sz w:val="28"/>
          <w:szCs w:val="28"/>
        </w:rPr>
      </w:pPr>
      <w:bookmarkStart w:id="74" w:name="_Toc17261"/>
      <w:r>
        <w:rPr>
          <w:rFonts w:hint="default" w:ascii="Times New Roman" w:hAnsi="Times New Roman" w:cs="Times New Roman"/>
          <w:b/>
          <w:bCs/>
          <w:sz w:val="28"/>
          <w:szCs w:val="28"/>
        </w:rPr>
        <w:t>1.8 主要保护目标</w:t>
      </w:r>
      <w:bookmarkEnd w:id="69"/>
      <w:bookmarkEnd w:id="74"/>
    </w:p>
    <w:p>
      <w:pPr>
        <w:spacing w:line="360" w:lineRule="auto"/>
        <w:ind w:firstLine="522" w:firstLineChars="200"/>
        <w:outlineLvl w:val="2"/>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1.8.1 外环境关系及项目周围环境特点</w:t>
      </w:r>
    </w:p>
    <w:p>
      <w:pPr>
        <w:pStyle w:val="62"/>
        <w:ind w:firstLine="480" w:firstLineChars="200"/>
        <w:jc w:val="both"/>
        <w:rPr>
          <w:rFonts w:hint="default" w:ascii="Times New Roman" w:hAnsi="Times New Roman" w:cs="Times New Roman"/>
          <w:bCs/>
          <w:szCs w:val="24"/>
        </w:rPr>
      </w:pPr>
      <w:r>
        <w:rPr>
          <w:rFonts w:hint="default" w:ascii="Times New Roman" w:hAnsi="Times New Roman" w:cs="Times New Roman"/>
          <w:bCs/>
          <w:szCs w:val="24"/>
        </w:rPr>
        <w:t>本项目位于夹江县三洞镇周冲村6社，处于农村环境，距三洞镇场镇直线距离2.1km，距夹江县县城直线距离10km，地处农村环境。项目红线内海拔为+460m~+471m，场址内地势西高东低南高北低。项目附近地表水体为金牛河，位于本项目东面850m处</w:t>
      </w:r>
      <w:r>
        <w:rPr>
          <w:rFonts w:hint="default" w:ascii="Times New Roman" w:hAnsi="Times New Roman" w:cs="Times New Roman"/>
          <w:color w:val="000000"/>
        </w:rPr>
        <w:t>，与项目高差-68m，金牛河河宽20m，水深约4m，水流速度0.5m/s，主要水体功能为灌溉和泄洪，项目地上游100m下游8.5km范围内无生活用水取水口。</w:t>
      </w:r>
      <w:r>
        <w:rPr>
          <w:rFonts w:hint="default" w:ascii="Times New Roman" w:hAnsi="Times New Roman" w:cs="Times New Roman"/>
          <w:bCs/>
          <w:szCs w:val="24"/>
        </w:rPr>
        <w:t>项目周边主要分布为一般耕地、山体林地、</w:t>
      </w:r>
      <w:r>
        <w:rPr>
          <w:rFonts w:hint="default" w:ascii="Times New Roman" w:hAnsi="Times New Roman" w:cs="Times New Roman"/>
          <w:bCs/>
          <w:szCs w:val="24"/>
          <w:lang w:eastAsia="zh-CN"/>
        </w:rPr>
        <w:t>农田</w:t>
      </w:r>
      <w:r>
        <w:rPr>
          <w:rFonts w:hint="default" w:ascii="Times New Roman" w:hAnsi="Times New Roman" w:cs="Times New Roman"/>
          <w:bCs/>
          <w:szCs w:val="24"/>
        </w:rPr>
        <w:t>、待开发地。养殖场东侧72m~345m范围内为乐山市亚庆农牧科技有限责任公司（养鸡场），与项目高差约-20m；东南面128m~200m分布有散户2户（约6人），与项目高差约-1m</w:t>
      </w:r>
      <w:r>
        <w:rPr>
          <w:rFonts w:hint="default" w:ascii="Times New Roman" w:hAnsi="Times New Roman" w:cs="Times New Roman"/>
          <w:bCs/>
          <w:szCs w:val="24"/>
          <w:lang w:eastAsia="zh-CN"/>
        </w:rPr>
        <w:t>；项目南侧</w:t>
      </w:r>
      <w:r>
        <w:rPr>
          <w:rFonts w:hint="default" w:ascii="Times New Roman" w:hAnsi="Times New Roman" w:cs="Times New Roman"/>
          <w:bCs/>
          <w:szCs w:val="24"/>
          <w:lang w:val="en-US" w:eastAsia="zh-CN"/>
        </w:rPr>
        <w:t>56m处为员工休息室（租赁房屋）</w:t>
      </w:r>
      <w:r>
        <w:rPr>
          <w:rFonts w:hint="default" w:ascii="Times New Roman" w:hAnsi="Times New Roman" w:cs="Times New Roman"/>
          <w:bCs/>
          <w:szCs w:val="24"/>
        </w:rPr>
        <w:t>；项目西侧139m~500m范围内分布有散户13户（约39人），与项目高差约+1m~+2m；项目东北侧253m~390m范围内分布有散户6户（约18人），与项目高差约-46m，相隔山体林地；其余均为林地及茶业种植地。项目周边住户饮用水主要为自来水</w:t>
      </w:r>
      <w:r>
        <w:rPr>
          <w:rFonts w:hint="default" w:ascii="Times New Roman" w:hAnsi="Times New Roman" w:cs="Times New Roman"/>
        </w:rPr>
        <w:t>（由村里集中供水，供水水井位于项目西面300m处）</w:t>
      </w:r>
      <w:r>
        <w:rPr>
          <w:rFonts w:hint="default" w:ascii="Times New Roman" w:hAnsi="Times New Roman" w:cs="Times New Roman"/>
          <w:bCs/>
          <w:szCs w:val="24"/>
        </w:rPr>
        <w:t>。</w:t>
      </w:r>
    </w:p>
    <w:p>
      <w:pPr>
        <w:spacing w:line="360" w:lineRule="auto"/>
        <w:ind w:firstLine="522" w:firstLineChars="200"/>
        <w:outlineLvl w:val="2"/>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1.8.2 主要保护目标</w:t>
      </w:r>
    </w:p>
    <w:p>
      <w:pPr>
        <w:adjustRightInd w:val="0"/>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sz w:val="24"/>
          <w:szCs w:val="24"/>
        </w:rPr>
        <w:t>地表水环境：</w:t>
      </w:r>
      <w:r>
        <w:rPr>
          <w:rFonts w:hint="default" w:ascii="Times New Roman" w:hAnsi="Times New Roman" w:cs="Times New Roman"/>
          <w:sz w:val="24"/>
          <w:szCs w:val="24"/>
        </w:rPr>
        <w:t>地表水水质和水体功能不因本项目的建设而发生变化，应使其符合《地表水环境质量标准》（GB3838-2002）Ⅲ类水域标准的要求。</w:t>
      </w:r>
    </w:p>
    <w:p>
      <w:pPr>
        <w:adjustRightInd w:val="0"/>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sz w:val="24"/>
          <w:szCs w:val="24"/>
        </w:rPr>
        <w:t>地下水环境：</w:t>
      </w:r>
      <w:r>
        <w:rPr>
          <w:rFonts w:hint="default" w:ascii="Times New Roman" w:hAnsi="Times New Roman" w:cs="Times New Roman"/>
          <w:sz w:val="24"/>
          <w:szCs w:val="24"/>
        </w:rPr>
        <w:t>确保项目区域地下水环境质量，应达到《地下水质量标准》（GB/T 14848-2017）中Ⅲ类标准要求。</w:t>
      </w:r>
    </w:p>
    <w:p>
      <w:pPr>
        <w:adjustRightInd w:val="0"/>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sz w:val="24"/>
          <w:szCs w:val="24"/>
        </w:rPr>
        <w:t>环境空气：</w:t>
      </w:r>
      <w:r>
        <w:rPr>
          <w:rFonts w:hint="default" w:ascii="Times New Roman" w:hAnsi="Times New Roman" w:cs="Times New Roman"/>
          <w:sz w:val="24"/>
          <w:szCs w:val="24"/>
        </w:rPr>
        <w:t>项目所在区域的环境空气质量，应达到《环境空气质量标准》（GB3095-2012）二级标准要求。</w:t>
      </w:r>
    </w:p>
    <w:p>
      <w:pPr>
        <w:adjustRightInd w:val="0"/>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sz w:val="24"/>
          <w:szCs w:val="24"/>
        </w:rPr>
        <w:t>声学环境：</w:t>
      </w:r>
      <w:r>
        <w:rPr>
          <w:rFonts w:hint="default" w:ascii="Times New Roman" w:hAnsi="Times New Roman" w:cs="Times New Roman"/>
          <w:sz w:val="24"/>
          <w:szCs w:val="24"/>
        </w:rPr>
        <w:t>项目四周200m范围内声学环境质量应达到《声环境质量标准》（GB3096-2008）规定的2类标准要求。</w:t>
      </w:r>
    </w:p>
    <w:p>
      <w:pPr>
        <w:pStyle w:val="2"/>
        <w:spacing w:line="360" w:lineRule="auto"/>
        <w:ind w:firstLine="480"/>
        <w:rPr>
          <w:rFonts w:hint="default" w:ascii="Times New Roman" w:hAnsi="Times New Roman" w:cs="Times New Roman"/>
        </w:rPr>
      </w:pPr>
      <w:r>
        <w:rPr>
          <w:rFonts w:hint="default" w:ascii="Times New Roman" w:hAnsi="Times New Roman" w:cs="Times New Roman"/>
          <w:b/>
        </w:rPr>
        <w:t>土壤：</w:t>
      </w:r>
      <w:r>
        <w:rPr>
          <w:rFonts w:hint="default" w:ascii="Times New Roman" w:hAnsi="Times New Roman" w:cs="Times New Roman"/>
        </w:rPr>
        <w:t>项目占地范围内及占地范围外0.05km内境质量应达到《土壤环境质量 农用地土壤污染风险管控标准（试行）》（GB15618-2018）规定的标准要求。</w:t>
      </w:r>
    </w:p>
    <w:p>
      <w:pPr>
        <w:adjustRightInd w:val="0"/>
        <w:snapToGrid w:val="0"/>
        <w:spacing w:line="360" w:lineRule="auto"/>
        <w:ind w:firstLine="482" w:firstLineChars="200"/>
        <w:rPr>
          <w:rFonts w:hint="default" w:ascii="Times New Roman" w:hAnsi="Times New Roman" w:cs="Times New Roman"/>
          <w:bCs/>
          <w:color w:val="000000"/>
          <w:sz w:val="24"/>
          <w:szCs w:val="24"/>
        </w:rPr>
      </w:pPr>
      <w:r>
        <w:rPr>
          <w:rFonts w:hint="default" w:ascii="Times New Roman" w:hAnsi="Times New Roman" w:cs="Times New Roman"/>
          <w:b/>
          <w:sz w:val="24"/>
          <w:szCs w:val="24"/>
        </w:rPr>
        <w:t>生态环境</w:t>
      </w:r>
      <w:r>
        <w:rPr>
          <w:rFonts w:hint="default" w:ascii="Times New Roman" w:hAnsi="Times New Roman" w:cs="Times New Roman"/>
          <w:sz w:val="24"/>
          <w:szCs w:val="24"/>
        </w:rPr>
        <w:t>：以不破坏区域内生态系统完整性为标准，控制和减轻由项目建设对地表植被和土壤的破坏而造成的水土流失，保护地表植被，保护生态环境。</w:t>
      </w:r>
    </w:p>
    <w:p>
      <w:pPr>
        <w:adjustRightInd w:val="0"/>
        <w:snapToGrid w:val="0"/>
        <w:spacing w:line="360" w:lineRule="auto"/>
        <w:ind w:firstLine="480" w:firstLineChars="20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项目周围环境保护目标见表1.8-1。</w:t>
      </w:r>
      <w:bookmarkStart w:id="75" w:name="_Toc363720533"/>
      <w:bookmarkStart w:id="76" w:name="_Toc345417240"/>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表1.8-1   养殖区环境保护目标一览表</w:t>
      </w:r>
    </w:p>
    <w:tbl>
      <w:tblPr>
        <w:tblStyle w:val="33"/>
        <w:tblW w:w="9830" w:type="dxa"/>
        <w:tblInd w:w="-1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563"/>
        <w:gridCol w:w="1086"/>
        <w:gridCol w:w="881"/>
        <w:gridCol w:w="875"/>
        <w:gridCol w:w="1445"/>
        <w:gridCol w:w="1079"/>
        <w:gridCol w:w="1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062"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kern w:val="0"/>
                <w:sz w:val="21"/>
                <w:szCs w:val="21"/>
              </w:rPr>
              <w:t>环境要素</w:t>
            </w:r>
          </w:p>
        </w:tc>
        <w:tc>
          <w:tcPr>
            <w:tcW w:w="1563" w:type="dxa"/>
            <w:vAlign w:val="center"/>
          </w:tcPr>
          <w:p>
            <w:pPr>
              <w:widowControl/>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环境保护</w:t>
            </w:r>
          </w:p>
          <w:p>
            <w:pPr>
              <w:widowControl/>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kern w:val="0"/>
                <w:sz w:val="21"/>
                <w:szCs w:val="21"/>
              </w:rPr>
              <w:t>对象名称</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kern w:val="0"/>
                <w:sz w:val="21"/>
                <w:szCs w:val="21"/>
              </w:rPr>
              <w:t>性质</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kern w:val="0"/>
                <w:sz w:val="21"/>
                <w:szCs w:val="21"/>
              </w:rPr>
              <w:t>概况(人)</w:t>
            </w:r>
          </w:p>
        </w:tc>
        <w:tc>
          <w:tcPr>
            <w:tcW w:w="87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kern w:val="0"/>
                <w:sz w:val="21"/>
                <w:szCs w:val="21"/>
              </w:rPr>
              <w:t>方位</w:t>
            </w:r>
          </w:p>
        </w:tc>
        <w:tc>
          <w:tcPr>
            <w:tcW w:w="1445" w:type="dxa"/>
            <w:vAlign w:val="center"/>
          </w:tcPr>
          <w:p>
            <w:pPr>
              <w:widowControl/>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kern w:val="0"/>
                <w:sz w:val="21"/>
                <w:szCs w:val="21"/>
              </w:rPr>
              <w:t>距离（m）</w:t>
            </w:r>
          </w:p>
        </w:tc>
        <w:tc>
          <w:tcPr>
            <w:tcW w:w="1079" w:type="dxa"/>
            <w:vAlign w:val="center"/>
          </w:tcPr>
          <w:p>
            <w:pPr>
              <w:widowControl/>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kern w:val="0"/>
                <w:sz w:val="21"/>
                <w:szCs w:val="21"/>
              </w:rPr>
              <w:t>与本项目高差</w:t>
            </w:r>
          </w:p>
        </w:tc>
        <w:tc>
          <w:tcPr>
            <w:tcW w:w="1839"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kern w:val="0"/>
                <w:sz w:val="21"/>
                <w:szCs w:val="21"/>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062" w:type="dxa"/>
            <w:vMerge w:val="restart"/>
            <w:vAlign w:val="center"/>
          </w:tcPr>
          <w:p>
            <w:pPr>
              <w:widowControl/>
              <w:jc w:val="center"/>
              <w:rPr>
                <w:rFonts w:hint="default" w:ascii="Times New Roman" w:hAnsi="Times New Roman" w:eastAsia="宋体" w:cs="Times New Roman"/>
                <w:color w:val="000000"/>
                <w:kern w:val="0"/>
                <w:sz w:val="21"/>
                <w:szCs w:val="21"/>
              </w:rPr>
            </w:pPr>
          </w:p>
          <w:p>
            <w:pPr>
              <w:widowControl/>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大气环境</w:t>
            </w:r>
          </w:p>
        </w:tc>
        <w:tc>
          <w:tcPr>
            <w:tcW w:w="1563" w:type="dxa"/>
            <w:vAlign w:val="center"/>
          </w:tcPr>
          <w:p>
            <w:pPr>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兴业村</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村落</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若干</w:t>
            </w:r>
          </w:p>
        </w:tc>
        <w:tc>
          <w:tcPr>
            <w:tcW w:w="87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东侧</w:t>
            </w:r>
          </w:p>
        </w:tc>
        <w:tc>
          <w:tcPr>
            <w:tcW w:w="144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890m~2500m</w:t>
            </w:r>
          </w:p>
        </w:tc>
        <w:tc>
          <w:tcPr>
            <w:tcW w:w="1079"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-63m</w:t>
            </w:r>
          </w:p>
        </w:tc>
        <w:tc>
          <w:tcPr>
            <w:tcW w:w="1839" w:type="dxa"/>
            <w:vMerge w:val="restart"/>
            <w:vAlign w:val="center"/>
          </w:tcPr>
          <w:p>
            <w:pPr>
              <w:widowControl/>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《环境空气质量标准》GB3095-2012二级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062" w:type="dxa"/>
            <w:vMerge w:val="continue"/>
            <w:vAlign w:val="center"/>
          </w:tcPr>
          <w:p>
            <w:pPr>
              <w:widowControl/>
              <w:rPr>
                <w:rFonts w:hint="default" w:ascii="Times New Roman" w:hAnsi="Times New Roman" w:eastAsia="宋体" w:cs="Times New Roman"/>
                <w:color w:val="000000"/>
                <w:kern w:val="0"/>
                <w:sz w:val="21"/>
                <w:szCs w:val="21"/>
              </w:rPr>
            </w:pPr>
          </w:p>
        </w:tc>
        <w:tc>
          <w:tcPr>
            <w:tcW w:w="1563"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农户2户</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散居住户</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w:t>
            </w:r>
          </w:p>
        </w:tc>
        <w:tc>
          <w:tcPr>
            <w:tcW w:w="875" w:type="dxa"/>
            <w:vAlign w:val="center"/>
          </w:tcPr>
          <w:p>
            <w:pPr>
              <w:widowControl/>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东南侧</w:t>
            </w:r>
          </w:p>
        </w:tc>
        <w:tc>
          <w:tcPr>
            <w:tcW w:w="144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128~200</w:t>
            </w:r>
          </w:p>
        </w:tc>
        <w:tc>
          <w:tcPr>
            <w:tcW w:w="1079"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-1m</w:t>
            </w:r>
          </w:p>
        </w:tc>
        <w:tc>
          <w:tcPr>
            <w:tcW w:w="1839" w:type="dxa"/>
            <w:vMerge w:val="continue"/>
            <w:vAlign w:val="center"/>
          </w:tcPr>
          <w:p>
            <w:pPr>
              <w:widowControl/>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062" w:type="dxa"/>
            <w:vMerge w:val="continue"/>
            <w:vAlign w:val="center"/>
          </w:tcPr>
          <w:p>
            <w:pPr>
              <w:widowControl/>
              <w:rPr>
                <w:rFonts w:hint="default" w:ascii="Times New Roman" w:hAnsi="Times New Roman" w:eastAsia="宋体" w:cs="Times New Roman"/>
                <w:color w:val="000000"/>
                <w:kern w:val="0"/>
                <w:sz w:val="21"/>
                <w:szCs w:val="21"/>
              </w:rPr>
            </w:pPr>
          </w:p>
        </w:tc>
        <w:tc>
          <w:tcPr>
            <w:tcW w:w="1563"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紫荆村</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村落</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若干</w:t>
            </w:r>
          </w:p>
        </w:tc>
        <w:tc>
          <w:tcPr>
            <w:tcW w:w="875" w:type="dxa"/>
            <w:vAlign w:val="center"/>
          </w:tcPr>
          <w:p>
            <w:pPr>
              <w:widowControl/>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南侧</w:t>
            </w:r>
          </w:p>
        </w:tc>
        <w:tc>
          <w:tcPr>
            <w:tcW w:w="144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860m~2500m</w:t>
            </w:r>
          </w:p>
        </w:tc>
        <w:tc>
          <w:tcPr>
            <w:tcW w:w="1079"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-3m</w:t>
            </w:r>
          </w:p>
        </w:tc>
        <w:tc>
          <w:tcPr>
            <w:tcW w:w="1839" w:type="dxa"/>
            <w:vMerge w:val="continue"/>
            <w:vAlign w:val="center"/>
          </w:tcPr>
          <w:p>
            <w:pPr>
              <w:widowControl/>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1062" w:type="dxa"/>
            <w:vMerge w:val="continue"/>
            <w:vAlign w:val="center"/>
          </w:tcPr>
          <w:p>
            <w:pPr>
              <w:widowControl/>
              <w:jc w:val="left"/>
              <w:rPr>
                <w:rFonts w:hint="default" w:ascii="Times New Roman" w:hAnsi="Times New Roman" w:eastAsia="宋体" w:cs="Times New Roman"/>
                <w:color w:val="000000"/>
                <w:kern w:val="0"/>
                <w:sz w:val="21"/>
                <w:szCs w:val="21"/>
              </w:rPr>
            </w:pPr>
          </w:p>
        </w:tc>
        <w:tc>
          <w:tcPr>
            <w:tcW w:w="1563"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农户13户</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散居住户</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39</w:t>
            </w:r>
          </w:p>
        </w:tc>
        <w:tc>
          <w:tcPr>
            <w:tcW w:w="87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西侧</w:t>
            </w:r>
          </w:p>
        </w:tc>
        <w:tc>
          <w:tcPr>
            <w:tcW w:w="144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139~500</w:t>
            </w:r>
          </w:p>
        </w:tc>
        <w:tc>
          <w:tcPr>
            <w:tcW w:w="1079"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1~2m</w:t>
            </w:r>
          </w:p>
        </w:tc>
        <w:tc>
          <w:tcPr>
            <w:tcW w:w="1839" w:type="dxa"/>
            <w:vMerge w:val="continue"/>
            <w:vAlign w:val="center"/>
          </w:tcPr>
          <w:p>
            <w:pPr>
              <w:widowControl/>
              <w:jc w:val="left"/>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062" w:type="dxa"/>
            <w:vMerge w:val="continue"/>
            <w:vAlign w:val="center"/>
          </w:tcPr>
          <w:p>
            <w:pPr>
              <w:widowControl/>
              <w:jc w:val="left"/>
              <w:rPr>
                <w:rFonts w:hint="default" w:ascii="Times New Roman" w:hAnsi="Times New Roman" w:eastAsia="宋体" w:cs="Times New Roman"/>
                <w:color w:val="000000"/>
                <w:kern w:val="0"/>
                <w:sz w:val="21"/>
                <w:szCs w:val="21"/>
              </w:rPr>
            </w:pPr>
          </w:p>
        </w:tc>
        <w:tc>
          <w:tcPr>
            <w:tcW w:w="1563"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齐心村</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村落</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若干</w:t>
            </w:r>
          </w:p>
        </w:tc>
        <w:tc>
          <w:tcPr>
            <w:tcW w:w="87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西侧</w:t>
            </w:r>
          </w:p>
        </w:tc>
        <w:tc>
          <w:tcPr>
            <w:tcW w:w="144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500~2500m</w:t>
            </w:r>
          </w:p>
        </w:tc>
        <w:tc>
          <w:tcPr>
            <w:tcW w:w="1079"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1~2m</w:t>
            </w:r>
          </w:p>
        </w:tc>
        <w:tc>
          <w:tcPr>
            <w:tcW w:w="1839" w:type="dxa"/>
            <w:vMerge w:val="continue"/>
            <w:vAlign w:val="center"/>
          </w:tcPr>
          <w:p>
            <w:pPr>
              <w:widowControl/>
              <w:jc w:val="left"/>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062" w:type="dxa"/>
            <w:vMerge w:val="continue"/>
            <w:vAlign w:val="center"/>
          </w:tcPr>
          <w:p>
            <w:pPr>
              <w:widowControl/>
              <w:jc w:val="left"/>
              <w:rPr>
                <w:rFonts w:hint="default" w:ascii="Times New Roman" w:hAnsi="Times New Roman" w:eastAsia="宋体" w:cs="Times New Roman"/>
                <w:color w:val="000000"/>
                <w:kern w:val="0"/>
                <w:sz w:val="21"/>
                <w:szCs w:val="21"/>
              </w:rPr>
            </w:pPr>
          </w:p>
        </w:tc>
        <w:tc>
          <w:tcPr>
            <w:tcW w:w="1563"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农户6户</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散居住户</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18</w:t>
            </w:r>
          </w:p>
        </w:tc>
        <w:tc>
          <w:tcPr>
            <w:tcW w:w="87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东北侧</w:t>
            </w:r>
          </w:p>
        </w:tc>
        <w:tc>
          <w:tcPr>
            <w:tcW w:w="144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253~390</w:t>
            </w:r>
          </w:p>
        </w:tc>
        <w:tc>
          <w:tcPr>
            <w:tcW w:w="1079"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-46m</w:t>
            </w:r>
          </w:p>
        </w:tc>
        <w:tc>
          <w:tcPr>
            <w:tcW w:w="1839" w:type="dxa"/>
            <w:vMerge w:val="continue"/>
            <w:vAlign w:val="center"/>
          </w:tcPr>
          <w:p>
            <w:pPr>
              <w:widowControl/>
              <w:jc w:val="left"/>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1062" w:type="dxa"/>
            <w:vMerge w:val="continue"/>
            <w:vAlign w:val="center"/>
          </w:tcPr>
          <w:p>
            <w:pPr>
              <w:widowControl/>
              <w:jc w:val="left"/>
              <w:rPr>
                <w:rFonts w:hint="default" w:ascii="Times New Roman" w:hAnsi="Times New Roman" w:eastAsia="宋体" w:cs="Times New Roman"/>
                <w:color w:val="000000"/>
                <w:kern w:val="0"/>
                <w:sz w:val="21"/>
                <w:szCs w:val="21"/>
              </w:rPr>
            </w:pPr>
          </w:p>
        </w:tc>
        <w:tc>
          <w:tcPr>
            <w:tcW w:w="1563"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汪家村</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村落</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若干</w:t>
            </w:r>
          </w:p>
        </w:tc>
        <w:tc>
          <w:tcPr>
            <w:tcW w:w="87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北侧</w:t>
            </w:r>
          </w:p>
        </w:tc>
        <w:tc>
          <w:tcPr>
            <w:tcW w:w="144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1400~2500m</w:t>
            </w:r>
          </w:p>
        </w:tc>
        <w:tc>
          <w:tcPr>
            <w:tcW w:w="1079"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-61m</w:t>
            </w:r>
          </w:p>
        </w:tc>
        <w:tc>
          <w:tcPr>
            <w:tcW w:w="1839" w:type="dxa"/>
            <w:vMerge w:val="continue"/>
            <w:vAlign w:val="center"/>
          </w:tcPr>
          <w:p>
            <w:pPr>
              <w:widowControl/>
              <w:jc w:val="left"/>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062" w:type="dxa"/>
            <w:vMerge w:val="restart"/>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声环境</w:t>
            </w:r>
          </w:p>
        </w:tc>
        <w:tc>
          <w:tcPr>
            <w:tcW w:w="1563"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农户2户</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散居住户</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w:t>
            </w:r>
          </w:p>
        </w:tc>
        <w:tc>
          <w:tcPr>
            <w:tcW w:w="87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东南侧</w:t>
            </w:r>
          </w:p>
        </w:tc>
        <w:tc>
          <w:tcPr>
            <w:tcW w:w="144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128~200</w:t>
            </w:r>
          </w:p>
        </w:tc>
        <w:tc>
          <w:tcPr>
            <w:tcW w:w="1079"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-1m</w:t>
            </w:r>
          </w:p>
        </w:tc>
        <w:tc>
          <w:tcPr>
            <w:tcW w:w="1839" w:type="dxa"/>
            <w:vMerge w:val="restart"/>
            <w:vAlign w:val="center"/>
          </w:tcPr>
          <w:p>
            <w:pPr>
              <w:widowControl/>
              <w:jc w:val="left"/>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《声环境质量标准（GB3096－2008）2类标准》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062" w:type="dxa"/>
            <w:vMerge w:val="continue"/>
            <w:vAlign w:val="center"/>
          </w:tcPr>
          <w:p>
            <w:pPr>
              <w:widowControl/>
              <w:jc w:val="left"/>
              <w:rPr>
                <w:rFonts w:hint="default" w:ascii="Times New Roman" w:hAnsi="Times New Roman" w:eastAsia="宋体" w:cs="Times New Roman"/>
                <w:color w:val="FF0000"/>
                <w:kern w:val="0"/>
                <w:sz w:val="21"/>
                <w:szCs w:val="21"/>
              </w:rPr>
            </w:pPr>
          </w:p>
        </w:tc>
        <w:tc>
          <w:tcPr>
            <w:tcW w:w="1563"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农户13户</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散居住户</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39</w:t>
            </w:r>
          </w:p>
        </w:tc>
        <w:tc>
          <w:tcPr>
            <w:tcW w:w="87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西侧</w:t>
            </w:r>
          </w:p>
        </w:tc>
        <w:tc>
          <w:tcPr>
            <w:tcW w:w="144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139~500</w:t>
            </w:r>
          </w:p>
        </w:tc>
        <w:tc>
          <w:tcPr>
            <w:tcW w:w="1079"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1~2m</w:t>
            </w:r>
          </w:p>
        </w:tc>
        <w:tc>
          <w:tcPr>
            <w:tcW w:w="1839" w:type="dxa"/>
            <w:vMerge w:val="continue"/>
            <w:vAlign w:val="center"/>
          </w:tcPr>
          <w:p>
            <w:pPr>
              <w:widowControl/>
              <w:jc w:val="left"/>
              <w:rPr>
                <w:rFonts w:hint="default" w:ascii="Times New Roman" w:hAnsi="Times New Roman" w:eastAsia="宋体"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062" w:type="dxa"/>
            <w:vMerge w:val="continue"/>
            <w:vAlign w:val="center"/>
          </w:tcPr>
          <w:p>
            <w:pPr>
              <w:widowControl/>
              <w:jc w:val="left"/>
              <w:rPr>
                <w:rFonts w:hint="default" w:ascii="Times New Roman" w:hAnsi="Times New Roman" w:eastAsia="宋体" w:cs="Times New Roman"/>
                <w:color w:val="FF0000"/>
                <w:kern w:val="0"/>
                <w:sz w:val="21"/>
                <w:szCs w:val="21"/>
              </w:rPr>
            </w:pPr>
          </w:p>
        </w:tc>
        <w:tc>
          <w:tcPr>
            <w:tcW w:w="1563"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农户6户</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散居住户</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18</w:t>
            </w:r>
          </w:p>
        </w:tc>
        <w:tc>
          <w:tcPr>
            <w:tcW w:w="87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东北侧</w:t>
            </w:r>
          </w:p>
        </w:tc>
        <w:tc>
          <w:tcPr>
            <w:tcW w:w="1445"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253~390</w:t>
            </w:r>
          </w:p>
        </w:tc>
        <w:tc>
          <w:tcPr>
            <w:tcW w:w="1079" w:type="dxa"/>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-46m</w:t>
            </w:r>
          </w:p>
        </w:tc>
        <w:tc>
          <w:tcPr>
            <w:tcW w:w="1839" w:type="dxa"/>
            <w:vMerge w:val="continue"/>
            <w:vAlign w:val="center"/>
          </w:tcPr>
          <w:p>
            <w:pPr>
              <w:widowControl/>
              <w:jc w:val="left"/>
              <w:rPr>
                <w:rFonts w:hint="default" w:ascii="Times New Roman" w:hAnsi="Times New Roman" w:eastAsia="宋体" w:cs="Times New Roman"/>
                <w:color w:val="FF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062" w:type="dxa"/>
            <w:vMerge w:val="restart"/>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地表水环境</w:t>
            </w:r>
          </w:p>
        </w:tc>
        <w:tc>
          <w:tcPr>
            <w:tcW w:w="1563" w:type="dxa"/>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金牛河</w:t>
            </w:r>
          </w:p>
        </w:tc>
        <w:tc>
          <w:tcPr>
            <w:tcW w:w="1086" w:type="dxa"/>
            <w:vMerge w:val="restart"/>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附近地表水</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87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东侧</w:t>
            </w:r>
          </w:p>
        </w:tc>
        <w:tc>
          <w:tcPr>
            <w:tcW w:w="144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850m</w:t>
            </w:r>
          </w:p>
        </w:tc>
        <w:tc>
          <w:tcPr>
            <w:tcW w:w="1079"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-68m</w:t>
            </w:r>
          </w:p>
        </w:tc>
        <w:tc>
          <w:tcPr>
            <w:tcW w:w="1839" w:type="dxa"/>
            <w:vMerge w:val="restart"/>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《地表水环境质量标准》GB3838-2002 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062" w:type="dxa"/>
            <w:vMerge w:val="continue"/>
            <w:vAlign w:val="center"/>
          </w:tcPr>
          <w:p>
            <w:pPr>
              <w:widowControl/>
              <w:jc w:val="center"/>
              <w:rPr>
                <w:rFonts w:hint="default" w:ascii="Times New Roman" w:hAnsi="Times New Roman" w:eastAsia="宋体" w:cs="Times New Roman"/>
                <w:color w:val="000000"/>
                <w:kern w:val="0"/>
                <w:sz w:val="21"/>
                <w:szCs w:val="21"/>
              </w:rPr>
            </w:pPr>
          </w:p>
        </w:tc>
        <w:tc>
          <w:tcPr>
            <w:tcW w:w="1563" w:type="dxa"/>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江山水库</w:t>
            </w:r>
          </w:p>
        </w:tc>
        <w:tc>
          <w:tcPr>
            <w:tcW w:w="1086" w:type="dxa"/>
            <w:vMerge w:val="continue"/>
            <w:vAlign w:val="center"/>
          </w:tcPr>
          <w:p>
            <w:pPr>
              <w:widowControl/>
              <w:jc w:val="center"/>
              <w:rPr>
                <w:rFonts w:hint="default" w:ascii="Times New Roman" w:hAnsi="Times New Roman" w:eastAsia="宋体" w:cs="Times New Roman"/>
                <w:color w:val="000000"/>
                <w:kern w:val="0"/>
                <w:sz w:val="21"/>
                <w:szCs w:val="21"/>
              </w:rPr>
            </w:pP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87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东南侧</w:t>
            </w:r>
          </w:p>
        </w:tc>
        <w:tc>
          <w:tcPr>
            <w:tcW w:w="144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530m</w:t>
            </w:r>
          </w:p>
        </w:tc>
        <w:tc>
          <w:tcPr>
            <w:tcW w:w="1079"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-35m</w:t>
            </w:r>
          </w:p>
        </w:tc>
        <w:tc>
          <w:tcPr>
            <w:tcW w:w="1839" w:type="dxa"/>
            <w:vMerge w:val="continue"/>
            <w:vAlign w:val="center"/>
          </w:tcPr>
          <w:p>
            <w:pPr>
              <w:widowControl/>
              <w:jc w:val="center"/>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062" w:type="dxa"/>
            <w:vMerge w:val="continue"/>
            <w:vAlign w:val="center"/>
          </w:tcPr>
          <w:p>
            <w:pPr>
              <w:widowControl/>
              <w:jc w:val="center"/>
              <w:rPr>
                <w:rFonts w:hint="default" w:ascii="Times New Roman" w:hAnsi="Times New Roman" w:eastAsia="宋体" w:cs="Times New Roman"/>
                <w:color w:val="000000"/>
                <w:kern w:val="0"/>
                <w:sz w:val="21"/>
                <w:szCs w:val="21"/>
              </w:rPr>
            </w:pPr>
          </w:p>
        </w:tc>
        <w:tc>
          <w:tcPr>
            <w:tcW w:w="1563" w:type="dxa"/>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齐红水库</w:t>
            </w:r>
          </w:p>
        </w:tc>
        <w:tc>
          <w:tcPr>
            <w:tcW w:w="1086" w:type="dxa"/>
            <w:vMerge w:val="continue"/>
            <w:vAlign w:val="center"/>
          </w:tcPr>
          <w:p>
            <w:pPr>
              <w:widowControl/>
              <w:jc w:val="center"/>
              <w:rPr>
                <w:rFonts w:hint="default" w:ascii="Times New Roman" w:hAnsi="Times New Roman" w:eastAsia="宋体" w:cs="Times New Roman"/>
                <w:color w:val="000000"/>
                <w:kern w:val="0"/>
                <w:sz w:val="21"/>
                <w:szCs w:val="21"/>
              </w:rPr>
            </w:pP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87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西侧</w:t>
            </w:r>
          </w:p>
        </w:tc>
        <w:tc>
          <w:tcPr>
            <w:tcW w:w="144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1440m</w:t>
            </w:r>
          </w:p>
        </w:tc>
        <w:tc>
          <w:tcPr>
            <w:tcW w:w="1079"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-10m</w:t>
            </w:r>
          </w:p>
        </w:tc>
        <w:tc>
          <w:tcPr>
            <w:tcW w:w="1839" w:type="dxa"/>
            <w:vMerge w:val="continue"/>
            <w:vAlign w:val="center"/>
          </w:tcPr>
          <w:p>
            <w:pPr>
              <w:widowControl/>
              <w:jc w:val="center"/>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53" w:hRule="atLeast"/>
        </w:trPr>
        <w:tc>
          <w:tcPr>
            <w:tcW w:w="1062" w:type="dxa"/>
            <w:vAlign w:val="center"/>
          </w:tcPr>
          <w:p>
            <w:pPr>
              <w:spacing w:line="320" w:lineRule="exact"/>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地下水环境</w:t>
            </w:r>
          </w:p>
        </w:tc>
        <w:tc>
          <w:tcPr>
            <w:tcW w:w="1563" w:type="dxa"/>
            <w:vAlign w:val="center"/>
          </w:tcPr>
          <w:p>
            <w:pPr>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场区下游村庄地下水、配套农田附近村庄地下水</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87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144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1079" w:type="dxa"/>
            <w:vAlign w:val="center"/>
          </w:tcPr>
          <w:p>
            <w:pPr>
              <w:spacing w:line="320" w:lineRule="exact"/>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1839" w:type="dxa"/>
            <w:vAlign w:val="center"/>
          </w:tcPr>
          <w:p>
            <w:pPr>
              <w:spacing w:line="320" w:lineRule="exact"/>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《地下水质量标准》（GB/T14848-2017）Ⅲ类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53" w:hRule="atLeast"/>
        </w:trPr>
        <w:tc>
          <w:tcPr>
            <w:tcW w:w="1062" w:type="dxa"/>
            <w:vAlign w:val="center"/>
          </w:tcPr>
          <w:p>
            <w:pPr>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生态影响</w:t>
            </w:r>
          </w:p>
        </w:tc>
        <w:tc>
          <w:tcPr>
            <w:tcW w:w="1563" w:type="dxa"/>
            <w:vAlign w:val="center"/>
          </w:tcPr>
          <w:p>
            <w:pPr>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植被</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87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144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1079" w:type="dxa"/>
            <w:vAlign w:val="center"/>
          </w:tcPr>
          <w:p>
            <w:pPr>
              <w:spacing w:line="320" w:lineRule="exact"/>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kern w:val="0"/>
                <w:sz w:val="21"/>
                <w:szCs w:val="21"/>
              </w:rPr>
              <w:t>---</w:t>
            </w:r>
          </w:p>
        </w:tc>
        <w:tc>
          <w:tcPr>
            <w:tcW w:w="1839" w:type="dxa"/>
            <w:vAlign w:val="center"/>
          </w:tcPr>
          <w:p>
            <w:pPr>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53" w:hRule="atLeast"/>
        </w:trPr>
        <w:tc>
          <w:tcPr>
            <w:tcW w:w="1062" w:type="dxa"/>
            <w:vAlign w:val="center"/>
          </w:tcPr>
          <w:p>
            <w:pPr>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土壤</w:t>
            </w:r>
          </w:p>
        </w:tc>
        <w:tc>
          <w:tcPr>
            <w:tcW w:w="1563" w:type="dxa"/>
            <w:vAlign w:val="center"/>
          </w:tcPr>
          <w:p>
            <w:pPr>
              <w:spacing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林地、耕地、荒地</w:t>
            </w:r>
          </w:p>
        </w:tc>
        <w:tc>
          <w:tcPr>
            <w:tcW w:w="1086"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耕地、林地</w:t>
            </w:r>
          </w:p>
        </w:tc>
        <w:tc>
          <w:tcPr>
            <w:tcW w:w="881"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87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项目占地及占地范围外0.05km内</w:t>
            </w:r>
          </w:p>
        </w:tc>
        <w:tc>
          <w:tcPr>
            <w:tcW w:w="1445" w:type="dxa"/>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w:t>
            </w:r>
          </w:p>
        </w:tc>
        <w:tc>
          <w:tcPr>
            <w:tcW w:w="1079" w:type="dxa"/>
            <w:vAlign w:val="center"/>
          </w:tcPr>
          <w:p>
            <w:pPr>
              <w:spacing w:line="32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w:t>
            </w:r>
          </w:p>
        </w:tc>
        <w:tc>
          <w:tcPr>
            <w:tcW w:w="1839" w:type="dxa"/>
            <w:vAlign w:val="center"/>
          </w:tcPr>
          <w:p>
            <w:pPr>
              <w:spacing w:line="320" w:lineRule="exact"/>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《土壤环境质量 农用地土壤污染风险管控标准（试行）》（GB15618-2018）</w:t>
            </w:r>
          </w:p>
        </w:tc>
      </w:tr>
      <w:bookmarkEnd w:id="75"/>
      <w:bookmarkEnd w:id="76"/>
    </w:tbl>
    <w:p>
      <w:pPr>
        <w:pStyle w:val="62"/>
        <w:ind w:firstLine="480" w:firstLineChars="200"/>
        <w:jc w:val="both"/>
        <w:rPr>
          <w:rFonts w:hint="default" w:ascii="Times New Roman" w:hAnsi="Times New Roman" w:cs="Times New Roman"/>
          <w:color w:val="000000"/>
        </w:rPr>
      </w:pPr>
    </w:p>
    <w:bookmarkEnd w:id="40"/>
    <w:bookmarkEnd w:id="41"/>
    <w:p>
      <w:pPr>
        <w:rPr>
          <w:rFonts w:hint="default" w:ascii="Times New Roman" w:hAnsi="Times New Roman" w:cs="Times New Roman"/>
        </w:rPr>
      </w:pPr>
    </w:p>
    <w:p>
      <w:pPr>
        <w:pStyle w:val="68"/>
        <w:keepNext w:val="0"/>
        <w:keepLines w:val="0"/>
        <w:pageBreakBefore w:val="0"/>
        <w:widowControl w:val="0"/>
        <w:kinsoku/>
        <w:wordWrap/>
        <w:overflowPunct w:val="0"/>
        <w:topLinePunct w:val="0"/>
        <w:autoSpaceDE/>
        <w:autoSpaceDN/>
        <w:bidi w:val="0"/>
        <w:adjustRightInd/>
        <w:snapToGrid/>
        <w:spacing w:before="0" w:beforeLines="100" w:line="360" w:lineRule="auto"/>
        <w:jc w:val="center"/>
        <w:textAlignment w:val="auto"/>
        <w:outlineLvl w:val="0"/>
        <w:rPr>
          <w:rFonts w:hint="default" w:ascii="Times New Roman" w:hAnsi="Times New Roman" w:eastAsia="宋体" w:cs="Times New Roman"/>
          <w:color w:val="000000"/>
          <w:sz w:val="32"/>
          <w:szCs w:val="32"/>
        </w:rPr>
      </w:pPr>
      <w:r>
        <w:rPr>
          <w:rFonts w:hint="default" w:ascii="Times New Roman" w:hAnsi="Times New Roman" w:eastAsia="宋体" w:cs="Times New Roman"/>
        </w:rPr>
        <w:br w:type="page"/>
      </w:r>
      <w:bookmarkStart w:id="77" w:name="_Toc931"/>
      <w:r>
        <w:rPr>
          <w:rFonts w:hint="default" w:ascii="Times New Roman" w:hAnsi="Times New Roman" w:eastAsia="宋体" w:cs="Times New Roman"/>
          <w:color w:val="000000"/>
          <w:sz w:val="44"/>
          <w:szCs w:val="44"/>
        </w:rPr>
        <w:t>第二章</w:t>
      </w:r>
      <w:r>
        <w:rPr>
          <w:rFonts w:hint="default" w:ascii="Times New Roman" w:hAnsi="Times New Roman" w:eastAsia="宋体" w:cs="Times New Roman"/>
          <w:color w:val="000000"/>
          <w:spacing w:val="68"/>
          <w:sz w:val="44"/>
          <w:szCs w:val="44"/>
        </w:rPr>
        <w:t xml:space="preserve"> </w:t>
      </w:r>
      <w:r>
        <w:rPr>
          <w:rFonts w:hint="default" w:ascii="Times New Roman" w:hAnsi="Times New Roman" w:eastAsia="宋体" w:cs="Times New Roman"/>
          <w:color w:val="000000"/>
          <w:spacing w:val="2"/>
          <w:sz w:val="44"/>
          <w:szCs w:val="44"/>
        </w:rPr>
        <w:t>建</w:t>
      </w:r>
      <w:r>
        <w:rPr>
          <w:rFonts w:hint="default" w:ascii="Times New Roman" w:hAnsi="Times New Roman" w:eastAsia="宋体" w:cs="Times New Roman"/>
          <w:color w:val="000000"/>
          <w:sz w:val="44"/>
          <w:szCs w:val="44"/>
        </w:rPr>
        <w:t>设</w:t>
      </w:r>
      <w:r>
        <w:rPr>
          <w:rFonts w:hint="default" w:ascii="Times New Roman" w:hAnsi="Times New Roman" w:eastAsia="宋体" w:cs="Times New Roman"/>
          <w:color w:val="000000"/>
          <w:spacing w:val="2"/>
          <w:sz w:val="44"/>
          <w:szCs w:val="44"/>
        </w:rPr>
        <w:t>项</w:t>
      </w:r>
      <w:r>
        <w:rPr>
          <w:rFonts w:hint="default" w:ascii="Times New Roman" w:hAnsi="Times New Roman" w:eastAsia="宋体" w:cs="Times New Roman"/>
          <w:color w:val="000000"/>
          <w:sz w:val="44"/>
          <w:szCs w:val="44"/>
        </w:rPr>
        <w:t>目</w:t>
      </w:r>
      <w:r>
        <w:rPr>
          <w:rFonts w:hint="default" w:ascii="Times New Roman" w:hAnsi="Times New Roman" w:eastAsia="宋体" w:cs="Times New Roman"/>
          <w:color w:val="000000"/>
          <w:spacing w:val="2"/>
          <w:sz w:val="44"/>
          <w:szCs w:val="44"/>
        </w:rPr>
        <w:t>概</w:t>
      </w:r>
      <w:r>
        <w:rPr>
          <w:rFonts w:hint="default" w:ascii="Times New Roman" w:hAnsi="Times New Roman" w:eastAsia="宋体" w:cs="Times New Roman"/>
          <w:color w:val="000000"/>
          <w:sz w:val="44"/>
          <w:szCs w:val="44"/>
        </w:rPr>
        <w:t>况</w:t>
      </w:r>
      <w:bookmarkEnd w:id="77"/>
    </w:p>
    <w:p>
      <w:pPr>
        <w:pStyle w:val="68"/>
        <w:overflowPunct w:val="0"/>
        <w:spacing w:line="360" w:lineRule="auto"/>
        <w:outlineLvl w:val="1"/>
        <w:rPr>
          <w:rFonts w:hint="default" w:ascii="Times New Roman" w:hAnsi="Times New Roman" w:eastAsia="宋体" w:cs="Times New Roman"/>
          <w:color w:val="000000"/>
          <w:sz w:val="28"/>
          <w:szCs w:val="28"/>
        </w:rPr>
      </w:pPr>
      <w:bookmarkStart w:id="78" w:name="_Toc25652"/>
      <w:r>
        <w:rPr>
          <w:rFonts w:hint="default" w:ascii="Times New Roman" w:hAnsi="Times New Roman" w:eastAsia="宋体" w:cs="Times New Roman"/>
          <w:color w:val="000000"/>
          <w:sz w:val="28"/>
          <w:szCs w:val="28"/>
        </w:rPr>
        <w:t>2.1 项目概况</w:t>
      </w:r>
      <w:bookmarkEnd w:id="78"/>
    </w:p>
    <w:p>
      <w:pPr>
        <w:pStyle w:val="68"/>
        <w:overflowPunct w:val="0"/>
        <w:spacing w:line="360" w:lineRule="auto"/>
        <w:ind w:firstLine="482" w:firstLineChars="200"/>
        <w:outlineLvl w:val="2"/>
        <w:rPr>
          <w:rFonts w:hint="default" w:ascii="Times New Roman" w:hAnsi="Times New Roman" w:eastAsia="宋体" w:cs="Times New Roman"/>
          <w:sz w:val="24"/>
          <w:szCs w:val="24"/>
        </w:rPr>
      </w:pPr>
      <w:bookmarkStart w:id="79" w:name="_Toc8661"/>
      <w:bookmarkStart w:id="80" w:name="_Toc9616"/>
      <w:r>
        <w:rPr>
          <w:rFonts w:hint="default" w:ascii="Times New Roman" w:hAnsi="Times New Roman" w:eastAsia="宋体" w:cs="Times New Roman"/>
          <w:sz w:val="24"/>
          <w:szCs w:val="24"/>
        </w:rPr>
        <w:t>2.1.1 基本情况</w:t>
      </w:r>
      <w:bookmarkEnd w:id="79"/>
      <w:bookmarkEnd w:id="80"/>
    </w:p>
    <w:p>
      <w:pPr>
        <w:pStyle w:val="68"/>
        <w:overflowPunct w:val="0"/>
        <w:spacing w:line="360" w:lineRule="auto"/>
        <w:ind w:firstLine="482" w:firstLineChars="200"/>
        <w:outlineLvl w:val="9"/>
        <w:rPr>
          <w:rFonts w:hint="default" w:ascii="Times New Roman" w:hAnsi="Times New Roman" w:eastAsia="宋体" w:cs="Times New Roman"/>
          <w:b w:val="0"/>
          <w:bCs w:val="0"/>
          <w:sz w:val="24"/>
          <w:szCs w:val="24"/>
        </w:rPr>
      </w:pPr>
      <w:bookmarkStart w:id="81" w:name="_Toc16932"/>
      <w:bookmarkStart w:id="82" w:name="_Toc23008"/>
      <w:r>
        <w:rPr>
          <w:rFonts w:hint="default" w:ascii="Times New Roman" w:hAnsi="Times New Roman" w:eastAsia="宋体" w:cs="Times New Roman"/>
          <w:sz w:val="24"/>
          <w:szCs w:val="24"/>
        </w:rPr>
        <w:t>项目名称：</w:t>
      </w:r>
      <w:r>
        <w:rPr>
          <w:rFonts w:hint="default" w:ascii="Times New Roman" w:hAnsi="Times New Roman" w:eastAsia="宋体" w:cs="Times New Roman"/>
          <w:b w:val="0"/>
          <w:bCs w:val="0"/>
          <w:sz w:val="24"/>
          <w:szCs w:val="24"/>
        </w:rPr>
        <w:t>新建年出栏14000头生猪养殖场；</w:t>
      </w:r>
      <w:bookmarkEnd w:id="81"/>
      <w:bookmarkEnd w:id="82"/>
    </w:p>
    <w:p>
      <w:pPr>
        <w:pStyle w:val="68"/>
        <w:overflowPunct w:val="0"/>
        <w:spacing w:line="360" w:lineRule="auto"/>
        <w:ind w:firstLine="482" w:firstLineChars="200"/>
        <w:outlineLvl w:val="9"/>
        <w:rPr>
          <w:rFonts w:hint="default" w:ascii="Times New Roman" w:hAnsi="Times New Roman" w:eastAsia="宋体" w:cs="Times New Roman"/>
          <w:b w:val="0"/>
          <w:bCs w:val="0"/>
          <w:sz w:val="24"/>
          <w:szCs w:val="24"/>
        </w:rPr>
      </w:pPr>
      <w:bookmarkStart w:id="83" w:name="_Toc15626"/>
      <w:bookmarkStart w:id="84" w:name="_Toc12300"/>
      <w:r>
        <w:rPr>
          <w:rFonts w:hint="default" w:ascii="Times New Roman" w:hAnsi="Times New Roman" w:eastAsia="宋体" w:cs="Times New Roman"/>
          <w:sz w:val="24"/>
          <w:szCs w:val="24"/>
        </w:rPr>
        <w:t>建设单位：</w:t>
      </w:r>
      <w:r>
        <w:rPr>
          <w:rFonts w:hint="default" w:ascii="Times New Roman" w:hAnsi="Times New Roman" w:eastAsia="宋体" w:cs="Times New Roman"/>
          <w:b w:val="0"/>
          <w:bCs w:val="0"/>
          <w:sz w:val="24"/>
          <w:szCs w:val="24"/>
        </w:rPr>
        <w:t>夹江县旺鑫农牧科技有限公司；</w:t>
      </w:r>
      <w:bookmarkEnd w:id="83"/>
      <w:bookmarkEnd w:id="84"/>
    </w:p>
    <w:p>
      <w:pPr>
        <w:pStyle w:val="68"/>
        <w:overflowPunct w:val="0"/>
        <w:spacing w:line="360" w:lineRule="auto"/>
        <w:ind w:firstLine="482" w:firstLineChars="200"/>
        <w:outlineLvl w:val="9"/>
        <w:rPr>
          <w:rFonts w:hint="default" w:ascii="Times New Roman" w:hAnsi="Times New Roman" w:eastAsia="宋体" w:cs="Times New Roman"/>
          <w:b w:val="0"/>
          <w:bCs w:val="0"/>
          <w:sz w:val="24"/>
          <w:szCs w:val="24"/>
        </w:rPr>
      </w:pPr>
      <w:bookmarkStart w:id="85" w:name="_Toc10888"/>
      <w:bookmarkStart w:id="86" w:name="_Toc4139"/>
      <w:r>
        <w:rPr>
          <w:rFonts w:hint="default" w:ascii="Times New Roman" w:hAnsi="Times New Roman" w:eastAsia="宋体" w:cs="Times New Roman"/>
          <w:sz w:val="24"/>
          <w:szCs w:val="24"/>
        </w:rPr>
        <w:t>建设性质：</w:t>
      </w:r>
      <w:r>
        <w:rPr>
          <w:rFonts w:hint="default" w:ascii="Times New Roman" w:hAnsi="Times New Roman" w:eastAsia="宋体" w:cs="Times New Roman"/>
          <w:b w:val="0"/>
          <w:bCs w:val="0"/>
          <w:sz w:val="24"/>
          <w:szCs w:val="24"/>
        </w:rPr>
        <w:t>新建；</w:t>
      </w:r>
      <w:bookmarkEnd w:id="85"/>
      <w:bookmarkEnd w:id="86"/>
    </w:p>
    <w:p>
      <w:pPr>
        <w:pStyle w:val="68"/>
        <w:overflowPunct w:val="0"/>
        <w:spacing w:line="360" w:lineRule="auto"/>
        <w:ind w:firstLine="482" w:firstLineChars="200"/>
        <w:outlineLvl w:val="9"/>
        <w:rPr>
          <w:rFonts w:hint="default" w:ascii="Times New Roman" w:hAnsi="Times New Roman" w:eastAsia="宋体" w:cs="Times New Roman"/>
          <w:b w:val="0"/>
          <w:bCs w:val="0"/>
          <w:sz w:val="24"/>
          <w:szCs w:val="24"/>
        </w:rPr>
      </w:pPr>
      <w:bookmarkStart w:id="87" w:name="_Toc7276"/>
      <w:bookmarkStart w:id="88" w:name="_Toc27160"/>
      <w:r>
        <w:rPr>
          <w:rFonts w:hint="default" w:ascii="Times New Roman" w:hAnsi="Times New Roman" w:eastAsia="宋体" w:cs="Times New Roman"/>
          <w:sz w:val="24"/>
          <w:szCs w:val="24"/>
        </w:rPr>
        <w:t>建设地点</w:t>
      </w:r>
      <w:r>
        <w:rPr>
          <w:rFonts w:hint="default" w:ascii="Times New Roman" w:hAnsi="Times New Roman" w:eastAsia="宋体" w:cs="Times New Roman"/>
          <w:b w:val="0"/>
          <w:bCs w:val="0"/>
          <w:sz w:val="24"/>
          <w:szCs w:val="24"/>
        </w:rPr>
        <w:t>：夹江县三洞镇周冲村6社，中心坐标为E103.672383857，N29.846508210。项目地理位置详见附图1；</w:t>
      </w:r>
      <w:bookmarkEnd w:id="87"/>
      <w:bookmarkEnd w:id="88"/>
    </w:p>
    <w:p>
      <w:pPr>
        <w:pStyle w:val="68"/>
        <w:overflowPunct w:val="0"/>
        <w:spacing w:line="360" w:lineRule="auto"/>
        <w:ind w:firstLine="482" w:firstLineChars="200"/>
        <w:outlineLvl w:val="9"/>
        <w:rPr>
          <w:rFonts w:hint="default" w:ascii="Times New Roman" w:hAnsi="Times New Roman" w:eastAsia="宋体" w:cs="Times New Roman"/>
          <w:b w:val="0"/>
          <w:bCs w:val="0"/>
          <w:color w:val="FF0000"/>
          <w:sz w:val="24"/>
          <w:szCs w:val="24"/>
        </w:rPr>
      </w:pPr>
      <w:bookmarkStart w:id="89" w:name="_Toc22761"/>
      <w:bookmarkStart w:id="90" w:name="_Toc18134"/>
      <w:r>
        <w:rPr>
          <w:rFonts w:hint="default" w:ascii="Times New Roman" w:hAnsi="Times New Roman" w:eastAsia="宋体" w:cs="Times New Roman"/>
          <w:sz w:val="24"/>
          <w:szCs w:val="24"/>
        </w:rPr>
        <w:t>项目投资</w:t>
      </w:r>
      <w:r>
        <w:rPr>
          <w:rFonts w:hint="default" w:ascii="Times New Roman" w:hAnsi="Times New Roman" w:eastAsia="宋体" w:cs="Times New Roman"/>
          <w:b w:val="0"/>
          <w:bCs w:val="0"/>
          <w:sz w:val="24"/>
          <w:szCs w:val="24"/>
        </w:rPr>
        <w:t>：本项目总投资为4800万元；</w:t>
      </w:r>
      <w:bookmarkEnd w:id="89"/>
      <w:bookmarkEnd w:id="90"/>
    </w:p>
    <w:p>
      <w:pPr>
        <w:pStyle w:val="68"/>
        <w:overflowPunct w:val="0"/>
        <w:spacing w:line="360" w:lineRule="auto"/>
        <w:ind w:firstLine="482" w:firstLineChars="200"/>
        <w:outlineLvl w:val="9"/>
        <w:rPr>
          <w:rFonts w:hint="default" w:ascii="Times New Roman" w:hAnsi="Times New Roman" w:eastAsia="宋体" w:cs="Times New Roman"/>
          <w:sz w:val="24"/>
          <w:szCs w:val="24"/>
        </w:rPr>
      </w:pPr>
      <w:bookmarkStart w:id="91" w:name="_Toc2664"/>
      <w:bookmarkStart w:id="92" w:name="_Toc958"/>
      <w:r>
        <w:rPr>
          <w:rFonts w:hint="default" w:ascii="Times New Roman" w:hAnsi="Times New Roman" w:eastAsia="宋体" w:cs="Times New Roman"/>
          <w:sz w:val="24"/>
          <w:szCs w:val="24"/>
        </w:rPr>
        <w:t>用地面积：</w:t>
      </w:r>
      <w:r>
        <w:rPr>
          <w:rFonts w:hint="default" w:ascii="Times New Roman" w:hAnsi="Times New Roman" w:eastAsia="宋体" w:cs="Times New Roman"/>
          <w:b w:val="0"/>
          <w:bCs w:val="0"/>
          <w:sz w:val="24"/>
          <w:szCs w:val="24"/>
        </w:rPr>
        <w:t>19650平方米；</w:t>
      </w:r>
      <w:bookmarkEnd w:id="91"/>
      <w:bookmarkEnd w:id="92"/>
    </w:p>
    <w:p>
      <w:pPr>
        <w:pStyle w:val="68"/>
        <w:overflowPunct w:val="0"/>
        <w:spacing w:line="360" w:lineRule="auto"/>
        <w:ind w:firstLine="482" w:firstLineChars="200"/>
        <w:outlineLvl w:val="9"/>
        <w:rPr>
          <w:rFonts w:hint="default" w:ascii="Times New Roman" w:hAnsi="Times New Roman" w:eastAsia="宋体" w:cs="Times New Roman"/>
          <w:sz w:val="24"/>
          <w:szCs w:val="24"/>
        </w:rPr>
      </w:pPr>
      <w:bookmarkStart w:id="93" w:name="_Toc10424"/>
      <w:bookmarkStart w:id="94" w:name="_Toc23440"/>
      <w:r>
        <w:rPr>
          <w:rFonts w:hint="default" w:ascii="Times New Roman" w:hAnsi="Times New Roman" w:eastAsia="宋体" w:cs="Times New Roman"/>
          <w:sz w:val="24"/>
          <w:szCs w:val="24"/>
        </w:rPr>
        <w:t>建设规模：</w:t>
      </w:r>
      <w:r>
        <w:rPr>
          <w:rFonts w:hint="default" w:ascii="Times New Roman" w:hAnsi="Times New Roman" w:eastAsia="宋体" w:cs="Times New Roman"/>
          <w:b w:val="0"/>
          <w:bCs w:val="0"/>
          <w:sz w:val="24"/>
          <w:szCs w:val="24"/>
        </w:rPr>
        <w:t>年存栏量生猪7000头，年出栏量生猪14000头；</w:t>
      </w:r>
      <w:bookmarkEnd w:id="93"/>
      <w:bookmarkEnd w:id="94"/>
    </w:p>
    <w:p>
      <w:pPr>
        <w:pStyle w:val="68"/>
        <w:overflowPunct w:val="0"/>
        <w:spacing w:line="360" w:lineRule="auto"/>
        <w:ind w:firstLine="482" w:firstLineChars="200"/>
        <w:outlineLvl w:val="9"/>
        <w:rPr>
          <w:rFonts w:hint="default" w:ascii="Times New Roman" w:hAnsi="Times New Roman" w:eastAsia="宋体" w:cs="Times New Roman"/>
          <w:b w:val="0"/>
          <w:bCs w:val="0"/>
          <w:sz w:val="24"/>
          <w:szCs w:val="24"/>
        </w:rPr>
      </w:pPr>
      <w:bookmarkStart w:id="95" w:name="_Toc15950"/>
      <w:bookmarkStart w:id="96" w:name="_Toc20645"/>
      <w:r>
        <w:rPr>
          <w:rFonts w:hint="default" w:ascii="Times New Roman" w:hAnsi="Times New Roman" w:eastAsia="宋体" w:cs="Times New Roman"/>
          <w:sz w:val="24"/>
          <w:szCs w:val="24"/>
        </w:rPr>
        <w:t>劳动定员及工作制度：</w:t>
      </w:r>
      <w:r>
        <w:rPr>
          <w:rFonts w:hint="default" w:ascii="Times New Roman" w:hAnsi="Times New Roman" w:eastAsia="宋体" w:cs="Times New Roman"/>
          <w:b w:val="0"/>
          <w:bCs w:val="0"/>
          <w:sz w:val="24"/>
          <w:szCs w:val="24"/>
        </w:rPr>
        <w:t>项目建成后，劳动定员20人，均在厂区内就餐，其中10人在厂区内住宿。项目年工作日为365天，每天两班，每班工作8小时。</w:t>
      </w:r>
      <w:bookmarkEnd w:id="95"/>
      <w:bookmarkEnd w:id="96"/>
    </w:p>
    <w:p>
      <w:pPr>
        <w:pStyle w:val="68"/>
        <w:overflowPunct w:val="0"/>
        <w:spacing w:line="360" w:lineRule="auto"/>
        <w:ind w:firstLine="482" w:firstLineChars="200"/>
        <w:outlineLvl w:val="2"/>
        <w:rPr>
          <w:rFonts w:hint="default" w:ascii="Times New Roman" w:hAnsi="Times New Roman" w:eastAsia="宋体" w:cs="Times New Roman"/>
          <w:sz w:val="24"/>
          <w:szCs w:val="24"/>
        </w:rPr>
      </w:pPr>
      <w:bookmarkStart w:id="97" w:name="_Toc20774"/>
      <w:bookmarkStart w:id="98" w:name="_Toc17205"/>
      <w:r>
        <w:rPr>
          <w:rFonts w:hint="default" w:ascii="Times New Roman" w:hAnsi="Times New Roman" w:eastAsia="宋体" w:cs="Times New Roman"/>
          <w:sz w:val="24"/>
          <w:szCs w:val="24"/>
        </w:rPr>
        <w:t>2.1.2 工程建设内容</w:t>
      </w:r>
      <w:bookmarkEnd w:id="97"/>
      <w:bookmarkEnd w:id="98"/>
      <w:r>
        <w:rPr>
          <w:rFonts w:hint="default" w:ascii="Times New Roman" w:hAnsi="Times New Roman" w:eastAsia="宋体" w:cs="Times New Roman"/>
          <w:sz w:val="24"/>
          <w:szCs w:val="24"/>
        </w:rPr>
        <w:t xml:space="preserve"> </w:t>
      </w:r>
    </w:p>
    <w:p>
      <w:pPr>
        <w:pStyle w:val="68"/>
        <w:overflowPunct w:val="0"/>
        <w:spacing w:line="360" w:lineRule="auto"/>
        <w:ind w:firstLine="480" w:firstLineChars="200"/>
        <w:outlineLvl w:val="9"/>
        <w:rPr>
          <w:rFonts w:hint="default" w:ascii="Times New Roman" w:hAnsi="Times New Roman" w:eastAsia="宋体" w:cs="Times New Roman"/>
          <w:b w:val="0"/>
          <w:bCs w:val="0"/>
          <w:sz w:val="24"/>
          <w:szCs w:val="24"/>
        </w:rPr>
      </w:pPr>
      <w:bookmarkStart w:id="99" w:name="_Toc28228"/>
      <w:bookmarkStart w:id="100" w:name="_Toc24521"/>
      <w:r>
        <w:rPr>
          <w:rFonts w:hint="default" w:ascii="Times New Roman" w:hAnsi="Times New Roman" w:eastAsia="宋体" w:cs="Times New Roman"/>
          <w:b w:val="0"/>
          <w:bCs w:val="0"/>
          <w:sz w:val="24"/>
          <w:szCs w:val="24"/>
        </w:rPr>
        <w:t>夹江县旺鑫农牧科技有限公司拟建新建年出栏14000头生猪养殖场项目位于夹江县三洞镇周冲村6社，项目占地面积19650平方米，新建育肥舍9栋，建筑面积共计</w:t>
      </w:r>
      <w:r>
        <w:rPr>
          <w:rFonts w:hint="default" w:ascii="Times New Roman" w:hAnsi="Times New Roman" w:eastAsia="宋体" w:cs="Times New Roman"/>
          <w:b w:val="0"/>
          <w:bCs w:val="0"/>
          <w:sz w:val="24"/>
          <w:szCs w:val="24"/>
          <w:lang w:eastAsia="zh-CN"/>
        </w:rPr>
        <w:t>9950</w:t>
      </w:r>
      <w:r>
        <w:rPr>
          <w:rFonts w:hint="default" w:ascii="Times New Roman" w:hAnsi="Times New Roman" w:eastAsia="宋体" w:cs="Times New Roman"/>
          <w:b w:val="0"/>
          <w:bCs w:val="0"/>
          <w:sz w:val="24"/>
          <w:szCs w:val="24"/>
        </w:rPr>
        <w:t>平方米，治疗舍1间300平方米，饲料房1间350平方米，新建办公生活用房1栋370平方米，猪粪暂存间50平方米。配套入场道路、场区围墙、排水、供电、粪污处理、绿化设施等。工程饲料来源外购，本项目不生产饲料。项目总投资为4800万元。</w:t>
      </w:r>
      <w:bookmarkEnd w:id="99"/>
      <w:bookmarkEnd w:id="100"/>
    </w:p>
    <w:p>
      <w:pPr>
        <w:pStyle w:val="68"/>
        <w:overflowPunct w:val="0"/>
        <w:spacing w:line="360" w:lineRule="auto"/>
        <w:ind w:firstLine="482" w:firstLineChars="200"/>
        <w:outlineLvl w:val="2"/>
        <w:rPr>
          <w:rFonts w:hint="default" w:ascii="Times New Roman" w:hAnsi="Times New Roman" w:eastAsia="宋体" w:cs="Times New Roman"/>
          <w:sz w:val="24"/>
          <w:szCs w:val="24"/>
        </w:rPr>
      </w:pPr>
      <w:bookmarkStart w:id="101" w:name="_Toc25774"/>
      <w:bookmarkStart w:id="102" w:name="_Toc12337"/>
      <w:r>
        <w:rPr>
          <w:rFonts w:hint="default" w:ascii="Times New Roman" w:hAnsi="Times New Roman" w:eastAsia="宋体" w:cs="Times New Roman"/>
          <w:sz w:val="24"/>
          <w:szCs w:val="24"/>
        </w:rPr>
        <w:t>2.1.3 养殖规模</w:t>
      </w:r>
      <w:bookmarkEnd w:id="101"/>
      <w:bookmarkEnd w:id="102"/>
    </w:p>
    <w:p>
      <w:pPr>
        <w:pStyle w:val="68"/>
        <w:overflowPunct w:val="0"/>
        <w:spacing w:line="360" w:lineRule="auto"/>
        <w:ind w:firstLine="480" w:firstLineChars="200"/>
        <w:outlineLvl w:val="9"/>
        <w:rPr>
          <w:rFonts w:hint="default" w:ascii="Times New Roman" w:hAnsi="Times New Roman" w:eastAsia="宋体" w:cs="Times New Roman"/>
          <w:b w:val="0"/>
          <w:bCs w:val="0"/>
          <w:sz w:val="24"/>
          <w:szCs w:val="24"/>
        </w:rPr>
      </w:pPr>
      <w:bookmarkStart w:id="103" w:name="_Toc27665"/>
      <w:bookmarkStart w:id="104" w:name="_Toc959"/>
      <w:r>
        <w:rPr>
          <w:rFonts w:hint="default" w:ascii="Times New Roman" w:hAnsi="Times New Roman" w:eastAsia="宋体" w:cs="Times New Roman"/>
          <w:b w:val="0"/>
          <w:bCs w:val="0"/>
          <w:sz w:val="24"/>
          <w:szCs w:val="24"/>
        </w:rPr>
        <w:t>项目为生猪养殖，公司采取托养方式养殖生猪，流转土地19650平方米，建设完成后计划年存栏量生猪7000头，年出栏量生猪14000头，不在场内养殖母猪，仅外购猪仔育肥，根据建设单位介绍，外购仔猪来自新希望集团或正大集团。仔猪10~20kg进场，场内养殖周期为150天，不超过180天，出栏重量控制在150kg~170kg，每年出栏两批次，间隔时间用于圈舍空置消毒。</w:t>
      </w:r>
      <w:bookmarkEnd w:id="103"/>
      <w:bookmarkEnd w:id="104"/>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表2.1-1   本项目产品方案</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31"/>
        <w:gridCol w:w="1247"/>
        <w:gridCol w:w="3273"/>
        <w:gridCol w:w="27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31" w:type="dxa"/>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产品名称</w:t>
            </w:r>
          </w:p>
        </w:tc>
        <w:tc>
          <w:tcPr>
            <w:tcW w:w="1247" w:type="dxa"/>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单位</w:t>
            </w:r>
          </w:p>
        </w:tc>
        <w:tc>
          <w:tcPr>
            <w:tcW w:w="3273" w:type="dxa"/>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存栏量</w:t>
            </w:r>
          </w:p>
        </w:tc>
        <w:tc>
          <w:tcPr>
            <w:tcW w:w="2762" w:type="dxa"/>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出栏量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3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育肥猪</w:t>
            </w:r>
          </w:p>
        </w:tc>
        <w:tc>
          <w:tcPr>
            <w:tcW w:w="1247"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头/a</w:t>
            </w:r>
          </w:p>
        </w:tc>
        <w:tc>
          <w:tcPr>
            <w:tcW w:w="3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7000</w:t>
            </w:r>
          </w:p>
        </w:tc>
        <w:tc>
          <w:tcPr>
            <w:tcW w:w="276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14000</w:t>
            </w:r>
          </w:p>
        </w:tc>
      </w:tr>
    </w:tbl>
    <w:p>
      <w:pPr>
        <w:pStyle w:val="68"/>
        <w:overflowPunct w:val="0"/>
        <w:spacing w:line="360" w:lineRule="auto"/>
        <w:ind w:firstLine="482" w:firstLineChars="200"/>
        <w:outlineLvl w:val="2"/>
        <w:rPr>
          <w:rFonts w:hint="default" w:ascii="Times New Roman" w:hAnsi="Times New Roman" w:eastAsia="宋体" w:cs="Times New Roman"/>
          <w:sz w:val="24"/>
          <w:szCs w:val="24"/>
        </w:rPr>
      </w:pPr>
      <w:bookmarkStart w:id="105" w:name="_Toc29676"/>
      <w:bookmarkStart w:id="106" w:name="_Toc23087"/>
      <w:bookmarkStart w:id="107" w:name="_Toc21817"/>
      <w:r>
        <w:rPr>
          <w:rFonts w:hint="default" w:ascii="Times New Roman" w:hAnsi="Times New Roman" w:eastAsia="宋体" w:cs="Times New Roman"/>
          <w:sz w:val="24"/>
          <w:szCs w:val="24"/>
        </w:rPr>
        <w:t xml:space="preserve">2.1.4 </w:t>
      </w:r>
      <w:bookmarkEnd w:id="105"/>
      <w:r>
        <w:rPr>
          <w:rFonts w:hint="default" w:ascii="Times New Roman" w:hAnsi="Times New Roman" w:eastAsia="宋体" w:cs="Times New Roman"/>
          <w:sz w:val="24"/>
          <w:szCs w:val="24"/>
        </w:rPr>
        <w:t>项目组成及主要环境问题</w:t>
      </w:r>
      <w:bookmarkEnd w:id="106"/>
      <w:bookmarkEnd w:id="107"/>
    </w:p>
    <w:p>
      <w:pPr>
        <w:pStyle w:val="68"/>
        <w:overflowPunct w:val="0"/>
        <w:spacing w:line="360" w:lineRule="auto"/>
        <w:ind w:firstLine="480" w:firstLineChars="200"/>
        <w:outlineLvl w:val="9"/>
        <w:rPr>
          <w:rFonts w:hint="default" w:ascii="Times New Roman" w:hAnsi="Times New Roman" w:eastAsia="宋体" w:cs="Times New Roman"/>
          <w:b w:val="0"/>
          <w:bCs w:val="0"/>
          <w:sz w:val="24"/>
          <w:szCs w:val="24"/>
        </w:rPr>
      </w:pPr>
      <w:bookmarkStart w:id="108" w:name="_Toc27917"/>
      <w:bookmarkStart w:id="109" w:name="_Toc30323"/>
      <w:r>
        <w:rPr>
          <w:rFonts w:hint="default" w:ascii="Times New Roman" w:hAnsi="Times New Roman" w:eastAsia="宋体" w:cs="Times New Roman"/>
          <w:b w:val="0"/>
          <w:bCs w:val="0"/>
          <w:sz w:val="24"/>
          <w:szCs w:val="24"/>
        </w:rPr>
        <w:t>本项目主要进行猪舍、粪污处理区、办公生活区的建设。具体项目建设内容如下表示：</w:t>
      </w:r>
      <w:bookmarkEnd w:id="108"/>
      <w:bookmarkEnd w:id="109"/>
    </w:p>
    <w:p>
      <w:pPr>
        <w:spacing w:line="360" w:lineRule="auto"/>
        <w:jc w:val="center"/>
        <w:rPr>
          <w:rFonts w:hint="default" w:ascii="Times New Roman" w:hAnsi="Times New Roman" w:eastAsia="黑体" w:cs="Times New Roman"/>
          <w:sz w:val="24"/>
          <w:szCs w:val="24"/>
        </w:rPr>
      </w:pP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表2.1-2   项目组成表</w:t>
      </w:r>
    </w:p>
    <w:tbl>
      <w:tblPr>
        <w:tblStyle w:val="33"/>
        <w:tblW w:w="981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8"/>
        <w:gridCol w:w="532"/>
        <w:gridCol w:w="157"/>
        <w:gridCol w:w="689"/>
        <w:gridCol w:w="2309"/>
        <w:gridCol w:w="3216"/>
        <w:gridCol w:w="887"/>
        <w:gridCol w:w="12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9" w:hRule="atLeast"/>
          <w:tblHeader/>
          <w:jc w:val="center"/>
        </w:trPr>
        <w:tc>
          <w:tcPr>
            <w:tcW w:w="758" w:type="dxa"/>
            <w:vMerge w:val="restar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工程分类</w:t>
            </w:r>
          </w:p>
        </w:tc>
        <w:tc>
          <w:tcPr>
            <w:tcW w:w="1378" w:type="dxa"/>
            <w:gridSpan w:val="3"/>
            <w:vMerge w:val="restar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项目名称</w:t>
            </w:r>
          </w:p>
        </w:tc>
        <w:tc>
          <w:tcPr>
            <w:tcW w:w="5525" w:type="dxa"/>
            <w:gridSpan w:val="2"/>
            <w:vMerge w:val="restar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建设内容及规模</w:t>
            </w:r>
          </w:p>
        </w:tc>
        <w:tc>
          <w:tcPr>
            <w:tcW w:w="2150" w:type="dxa"/>
            <w:gridSpan w:val="2"/>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可能产生的环境问题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66" w:hRule="atLeast"/>
          <w:tblHeader/>
          <w:jc w:val="center"/>
        </w:trPr>
        <w:tc>
          <w:tcPr>
            <w:tcW w:w="758" w:type="dxa"/>
            <w:vMerge w:val="continue"/>
            <w:tcBorders>
              <w:bottom w:val="single" w:color="auto" w:sz="4" w:space="0"/>
            </w:tcBorders>
            <w:vAlign w:val="center"/>
          </w:tcPr>
          <w:p>
            <w:pPr>
              <w:jc w:val="center"/>
              <w:rPr>
                <w:rFonts w:hint="default" w:ascii="Times New Roman" w:hAnsi="Times New Roman" w:cs="Times New Roman"/>
                <w:b/>
                <w:bCs/>
                <w:szCs w:val="21"/>
              </w:rPr>
            </w:pPr>
          </w:p>
        </w:tc>
        <w:tc>
          <w:tcPr>
            <w:tcW w:w="1378" w:type="dxa"/>
            <w:gridSpan w:val="3"/>
            <w:vMerge w:val="continue"/>
            <w:tcBorders>
              <w:bottom w:val="single" w:color="auto" w:sz="4" w:space="0"/>
            </w:tcBorders>
            <w:vAlign w:val="center"/>
          </w:tcPr>
          <w:p>
            <w:pPr>
              <w:jc w:val="center"/>
              <w:rPr>
                <w:rFonts w:hint="default" w:ascii="Times New Roman" w:hAnsi="Times New Roman" w:cs="Times New Roman"/>
                <w:b/>
                <w:bCs/>
                <w:szCs w:val="21"/>
              </w:rPr>
            </w:pPr>
          </w:p>
        </w:tc>
        <w:tc>
          <w:tcPr>
            <w:tcW w:w="5525" w:type="dxa"/>
            <w:gridSpan w:val="2"/>
            <w:vMerge w:val="continue"/>
            <w:vAlign w:val="center"/>
          </w:tcPr>
          <w:p>
            <w:pPr>
              <w:jc w:val="center"/>
              <w:rPr>
                <w:rFonts w:hint="default" w:ascii="Times New Roman" w:hAnsi="Times New Roman" w:cs="Times New Roman"/>
                <w:b/>
                <w:bCs/>
                <w:szCs w:val="21"/>
              </w:rPr>
            </w:pPr>
          </w:p>
        </w:tc>
        <w:tc>
          <w:tcPr>
            <w:tcW w:w="887"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施工期</w:t>
            </w:r>
          </w:p>
        </w:tc>
        <w:tc>
          <w:tcPr>
            <w:tcW w:w="1263"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营运期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43" w:hRule="atLeast"/>
          <w:jc w:val="center"/>
        </w:trPr>
        <w:tc>
          <w:tcPr>
            <w:tcW w:w="758" w:type="dxa"/>
            <w:tcBorders>
              <w:top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主体工程</w:t>
            </w:r>
          </w:p>
        </w:tc>
        <w:tc>
          <w:tcPr>
            <w:tcW w:w="1378" w:type="dxa"/>
            <w:gridSpan w:val="3"/>
            <w:tcBorders>
              <w:top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猪舍</w:t>
            </w:r>
          </w:p>
        </w:tc>
        <w:tc>
          <w:tcPr>
            <w:tcW w:w="5525" w:type="dxa"/>
            <w:gridSpan w:val="2"/>
            <w:vAlign w:val="center"/>
          </w:tcPr>
          <w:p>
            <w:pPr>
              <w:rPr>
                <w:rFonts w:hint="default" w:ascii="Times New Roman" w:hAnsi="Times New Roman" w:cs="Times New Roman"/>
                <w:szCs w:val="21"/>
              </w:rPr>
            </w:pPr>
            <w:r>
              <w:rPr>
                <w:rFonts w:hint="default" w:ascii="Times New Roman" w:hAnsi="Times New Roman" w:cs="Times New Roman"/>
                <w:szCs w:val="21"/>
              </w:rPr>
              <w:t>9栋，总建筑面积</w:t>
            </w:r>
            <w:r>
              <w:rPr>
                <w:rFonts w:hint="default" w:ascii="Times New Roman" w:hAnsi="Times New Roman" w:cs="Times New Roman"/>
                <w:szCs w:val="21"/>
                <w:lang w:eastAsia="zh-CN"/>
              </w:rPr>
              <w:t>9950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，每栋猪舍</w:t>
            </w:r>
            <w:r>
              <w:rPr>
                <w:rFonts w:hint="default" w:ascii="Times New Roman" w:hAnsi="Times New Roman" w:cs="Times New Roman"/>
                <w:szCs w:val="21"/>
                <w:lang w:val="en-US" w:eastAsia="zh-CN"/>
              </w:rPr>
              <w:t>1105</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，砖混结构，混凝土硬化地坪。</w:t>
            </w:r>
          </w:p>
        </w:tc>
        <w:tc>
          <w:tcPr>
            <w:tcW w:w="887" w:type="dxa"/>
            <w:vMerge w:val="restart"/>
            <w:vAlign w:val="center"/>
          </w:tcPr>
          <w:p>
            <w:pPr>
              <w:pStyle w:val="77"/>
              <w:rPr>
                <w:rFonts w:hint="default" w:ascii="Times New Roman" w:hAnsi="Times New Roman" w:cs="Times New Roman"/>
                <w:b w:val="0"/>
              </w:rPr>
            </w:pPr>
          </w:p>
          <w:p>
            <w:pPr>
              <w:pStyle w:val="77"/>
              <w:rPr>
                <w:rFonts w:hint="default" w:ascii="Times New Roman" w:hAnsi="Times New Roman" w:cs="Times New Roman"/>
                <w:b w:val="0"/>
              </w:rPr>
            </w:pPr>
          </w:p>
          <w:p>
            <w:pPr>
              <w:pStyle w:val="77"/>
              <w:rPr>
                <w:rFonts w:hint="default" w:ascii="Times New Roman" w:hAnsi="Times New Roman" w:cs="Times New Roman"/>
                <w:b w:val="0"/>
              </w:rPr>
            </w:pPr>
          </w:p>
          <w:p>
            <w:pPr>
              <w:pStyle w:val="77"/>
              <w:rPr>
                <w:rFonts w:hint="default" w:ascii="Times New Roman" w:hAnsi="Times New Roman" w:cs="Times New Roman"/>
                <w:b w:val="0"/>
              </w:rPr>
            </w:pPr>
          </w:p>
          <w:p>
            <w:pPr>
              <w:pStyle w:val="77"/>
              <w:rPr>
                <w:rFonts w:hint="default" w:ascii="Times New Roman" w:hAnsi="Times New Roman" w:cs="Times New Roman"/>
                <w:b w:val="0"/>
              </w:rPr>
            </w:pPr>
            <w:r>
              <w:rPr>
                <w:rFonts w:hint="default" w:ascii="Times New Roman" w:hAnsi="Times New Roman" w:cs="Times New Roman"/>
                <w:b w:val="0"/>
              </w:rPr>
              <w:t>施工扬尘、施工噪声、施工废水、施工固废、水土流失、植被破坏</w:t>
            </w:r>
          </w:p>
          <w:p>
            <w:pPr>
              <w:pStyle w:val="12"/>
              <w:jc w:val="center"/>
              <w:rPr>
                <w:rFonts w:hint="default" w:ascii="Times New Roman" w:hAnsi="Times New Roman" w:cs="Times New Roman"/>
                <w:szCs w:val="21"/>
              </w:rPr>
            </w:pPr>
          </w:p>
        </w:tc>
        <w:tc>
          <w:tcPr>
            <w:tcW w:w="126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恶臭、废水、固废、噪声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36" w:hRule="atLeast"/>
          <w:jc w:val="center"/>
        </w:trPr>
        <w:tc>
          <w:tcPr>
            <w:tcW w:w="758"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辅助工程</w:t>
            </w:r>
          </w:p>
        </w:tc>
        <w:tc>
          <w:tcPr>
            <w:tcW w:w="1378" w:type="dxa"/>
            <w:gridSpan w:val="3"/>
            <w:vAlign w:val="center"/>
          </w:tcPr>
          <w:p>
            <w:pPr>
              <w:jc w:val="center"/>
              <w:rPr>
                <w:rFonts w:hint="default" w:ascii="Times New Roman" w:hAnsi="Times New Roman" w:cs="Times New Roman"/>
                <w:szCs w:val="21"/>
              </w:rPr>
            </w:pPr>
            <w:r>
              <w:rPr>
                <w:rFonts w:hint="default" w:ascii="Times New Roman" w:hAnsi="Times New Roman" w:cs="Times New Roman"/>
                <w:szCs w:val="21"/>
              </w:rPr>
              <w:t>隔离区</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不单独设置集中隔离区，在每栋圈舍内按规范设置隔离喂养区，用于患病猪只的隔离饲养、治疗</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恶臭、废水、固废、噪声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1" w:hRule="atLeast"/>
          <w:jc w:val="center"/>
        </w:trPr>
        <w:tc>
          <w:tcPr>
            <w:tcW w:w="758" w:type="dxa"/>
            <w:vMerge w:val="continue"/>
            <w:vAlign w:val="center"/>
          </w:tcPr>
          <w:p>
            <w:pPr>
              <w:jc w:val="center"/>
              <w:rPr>
                <w:rFonts w:hint="default" w:ascii="Times New Roman" w:hAnsi="Times New Roman" w:cs="Times New Roman"/>
                <w:szCs w:val="21"/>
              </w:rPr>
            </w:pPr>
          </w:p>
        </w:tc>
        <w:tc>
          <w:tcPr>
            <w:tcW w:w="1378" w:type="dxa"/>
            <w:gridSpan w:val="3"/>
            <w:vAlign w:val="center"/>
          </w:tcPr>
          <w:p>
            <w:pPr>
              <w:jc w:val="center"/>
              <w:rPr>
                <w:rFonts w:hint="default" w:ascii="Times New Roman" w:hAnsi="Times New Roman" w:cs="Times New Roman"/>
                <w:szCs w:val="21"/>
              </w:rPr>
            </w:pPr>
            <w:r>
              <w:rPr>
                <w:rFonts w:hint="default" w:ascii="Times New Roman" w:hAnsi="Times New Roman" w:cs="Times New Roman"/>
                <w:szCs w:val="21"/>
              </w:rPr>
              <w:t>消毒室</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2间，建筑面积均为10m</w:t>
            </w:r>
            <w:r>
              <w:rPr>
                <w:rFonts w:hint="default" w:ascii="Times New Roman" w:hAnsi="Times New Roman" w:cs="Times New Roman"/>
                <w:szCs w:val="21"/>
                <w:vertAlign w:val="superscript"/>
              </w:rPr>
              <w:t>2</w:t>
            </w:r>
            <w:r>
              <w:rPr>
                <w:rFonts w:hint="default" w:ascii="Times New Roman" w:hAnsi="Times New Roman" w:cs="Times New Roman"/>
                <w:szCs w:val="21"/>
              </w:rPr>
              <w:t>，砖混结构，位于项目出入口旁</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36" w:hRule="atLeast"/>
          <w:jc w:val="center"/>
        </w:trPr>
        <w:tc>
          <w:tcPr>
            <w:tcW w:w="758" w:type="dxa"/>
            <w:vMerge w:val="continue"/>
            <w:vAlign w:val="center"/>
          </w:tcPr>
          <w:p>
            <w:pPr>
              <w:jc w:val="center"/>
              <w:rPr>
                <w:rFonts w:hint="default" w:ascii="Times New Roman" w:hAnsi="Times New Roman" w:cs="Times New Roman"/>
                <w:szCs w:val="21"/>
              </w:rPr>
            </w:pPr>
          </w:p>
        </w:tc>
        <w:tc>
          <w:tcPr>
            <w:tcW w:w="1378" w:type="dxa"/>
            <w:gridSpan w:val="3"/>
            <w:vAlign w:val="center"/>
          </w:tcPr>
          <w:p>
            <w:pPr>
              <w:jc w:val="center"/>
              <w:rPr>
                <w:rFonts w:hint="default" w:ascii="Times New Roman" w:hAnsi="Times New Roman" w:cs="Times New Roman"/>
                <w:szCs w:val="21"/>
              </w:rPr>
            </w:pPr>
            <w:r>
              <w:rPr>
                <w:rFonts w:hint="default" w:ascii="Times New Roman" w:hAnsi="Times New Roman" w:cs="Times New Roman"/>
                <w:szCs w:val="21"/>
              </w:rPr>
              <w:t>停车场</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项目内人员较少，不设置集中停车场，在场内空坝处停车</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汽车尾气、噪声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2" w:hRule="atLeast"/>
          <w:jc w:val="center"/>
        </w:trPr>
        <w:tc>
          <w:tcPr>
            <w:tcW w:w="758"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公用工程</w:t>
            </w:r>
          </w:p>
        </w:tc>
        <w:tc>
          <w:tcPr>
            <w:tcW w:w="1378" w:type="dxa"/>
            <w:gridSpan w:val="3"/>
            <w:vAlign w:val="center"/>
          </w:tcPr>
          <w:p>
            <w:pPr>
              <w:jc w:val="center"/>
              <w:rPr>
                <w:rFonts w:hint="default" w:ascii="Times New Roman" w:hAnsi="Times New Roman" w:cs="Times New Roman"/>
                <w:szCs w:val="21"/>
              </w:rPr>
            </w:pPr>
            <w:r>
              <w:rPr>
                <w:rFonts w:hint="default" w:ascii="Times New Roman" w:hAnsi="Times New Roman" w:cs="Times New Roman"/>
                <w:szCs w:val="21"/>
              </w:rPr>
              <w:t>配电房</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1处，供电电源由市政电网供给，位于生活办公区内</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设备噪声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continue"/>
            <w:vAlign w:val="center"/>
          </w:tcPr>
          <w:p>
            <w:pPr>
              <w:jc w:val="center"/>
              <w:rPr>
                <w:rFonts w:hint="default" w:ascii="Times New Roman" w:hAnsi="Times New Roman" w:cs="Times New Roman"/>
                <w:szCs w:val="21"/>
              </w:rPr>
            </w:pPr>
          </w:p>
        </w:tc>
        <w:tc>
          <w:tcPr>
            <w:tcW w:w="1378" w:type="dxa"/>
            <w:gridSpan w:val="3"/>
            <w:vAlign w:val="center"/>
          </w:tcPr>
          <w:p>
            <w:pPr>
              <w:jc w:val="center"/>
              <w:rPr>
                <w:rFonts w:hint="default" w:ascii="Times New Roman" w:hAnsi="Times New Roman" w:cs="Times New Roman"/>
                <w:szCs w:val="21"/>
              </w:rPr>
            </w:pPr>
            <w:r>
              <w:rPr>
                <w:rFonts w:hint="default" w:ascii="Times New Roman" w:hAnsi="Times New Roman" w:cs="Times New Roman"/>
                <w:szCs w:val="21"/>
              </w:rPr>
              <w:t>发电机房</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1间，设置备用发电机1台，16kw·h，位于生活办公区内</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发电机烟气、噪声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1" w:hRule="atLeast"/>
          <w:jc w:val="center"/>
        </w:trPr>
        <w:tc>
          <w:tcPr>
            <w:tcW w:w="758" w:type="dxa"/>
            <w:vMerge w:val="continue"/>
            <w:vAlign w:val="center"/>
          </w:tcPr>
          <w:p>
            <w:pPr>
              <w:jc w:val="center"/>
              <w:rPr>
                <w:rFonts w:hint="default" w:ascii="Times New Roman" w:hAnsi="Times New Roman" w:cs="Times New Roman"/>
                <w:szCs w:val="21"/>
              </w:rPr>
            </w:pPr>
          </w:p>
        </w:tc>
        <w:tc>
          <w:tcPr>
            <w:tcW w:w="1378" w:type="dxa"/>
            <w:gridSpan w:val="3"/>
            <w:vAlign w:val="center"/>
          </w:tcPr>
          <w:p>
            <w:pPr>
              <w:jc w:val="center"/>
              <w:rPr>
                <w:rFonts w:hint="default" w:ascii="Times New Roman" w:hAnsi="Times New Roman" w:cs="Times New Roman"/>
                <w:szCs w:val="21"/>
              </w:rPr>
            </w:pPr>
            <w:r>
              <w:rPr>
                <w:rFonts w:hint="default" w:ascii="Times New Roman" w:hAnsi="Times New Roman" w:cs="Times New Roman"/>
                <w:szCs w:val="21"/>
              </w:rPr>
              <w:t>给水</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采用打井取水，水井位于场地内，深50m</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758"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办公生活设施</w:t>
            </w:r>
          </w:p>
        </w:tc>
        <w:tc>
          <w:tcPr>
            <w:tcW w:w="1378" w:type="dxa"/>
            <w:gridSpan w:val="3"/>
            <w:vAlign w:val="center"/>
          </w:tcPr>
          <w:p>
            <w:pPr>
              <w:jc w:val="center"/>
              <w:rPr>
                <w:rFonts w:hint="default" w:ascii="Times New Roman" w:hAnsi="Times New Roman" w:cs="Times New Roman"/>
                <w:szCs w:val="21"/>
              </w:rPr>
            </w:pPr>
            <w:r>
              <w:rPr>
                <w:rFonts w:hint="default" w:ascii="Times New Roman" w:hAnsi="Times New Roman" w:cs="Times New Roman"/>
                <w:szCs w:val="21"/>
              </w:rPr>
              <w:t>办公生活用房</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1F，建筑面积370m</w:t>
            </w:r>
            <w:r>
              <w:rPr>
                <w:rFonts w:hint="default" w:ascii="Times New Roman" w:hAnsi="Times New Roman" w:cs="Times New Roman"/>
                <w:szCs w:val="21"/>
                <w:vertAlign w:val="superscript"/>
              </w:rPr>
              <w:t>2</w:t>
            </w:r>
            <w:r>
              <w:rPr>
                <w:rFonts w:hint="default" w:ascii="Times New Roman" w:hAnsi="Times New Roman" w:cs="Times New Roman"/>
                <w:szCs w:val="21"/>
              </w:rPr>
              <w:t>，砖混结构，用于员工休息、办公</w:t>
            </w:r>
          </w:p>
        </w:tc>
        <w:tc>
          <w:tcPr>
            <w:tcW w:w="887" w:type="dxa"/>
            <w:vMerge w:val="continue"/>
            <w:vAlign w:val="center"/>
          </w:tcPr>
          <w:p>
            <w:pPr>
              <w:pStyle w:val="12"/>
              <w:jc w:val="center"/>
              <w:rPr>
                <w:rFonts w:hint="default" w:ascii="Times New Roman" w:hAnsi="Times New Roman" w:cs="Times New Roman"/>
                <w:szCs w:val="21"/>
              </w:rPr>
            </w:pPr>
          </w:p>
        </w:tc>
        <w:tc>
          <w:tcPr>
            <w:tcW w:w="1263"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生活垃圾、生活污水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758" w:type="dxa"/>
            <w:vMerge w:val="continue"/>
            <w:vAlign w:val="center"/>
          </w:tcPr>
          <w:p>
            <w:pPr>
              <w:jc w:val="center"/>
              <w:rPr>
                <w:rFonts w:hint="default" w:ascii="Times New Roman" w:hAnsi="Times New Roman" w:cs="Times New Roman"/>
                <w:szCs w:val="21"/>
              </w:rPr>
            </w:pPr>
          </w:p>
        </w:tc>
        <w:tc>
          <w:tcPr>
            <w:tcW w:w="1378" w:type="dxa"/>
            <w:gridSpan w:val="3"/>
            <w:vAlign w:val="center"/>
          </w:tcPr>
          <w:p>
            <w:pPr>
              <w:jc w:val="center"/>
              <w:rPr>
                <w:rFonts w:hint="default" w:ascii="Times New Roman" w:hAnsi="Times New Roman" w:cs="Times New Roman"/>
                <w:szCs w:val="21"/>
              </w:rPr>
            </w:pPr>
            <w:r>
              <w:rPr>
                <w:rFonts w:hint="default" w:ascii="Times New Roman" w:hAnsi="Times New Roman" w:cs="Times New Roman"/>
                <w:szCs w:val="21"/>
              </w:rPr>
              <w:t>食堂</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位于办公生活区东面。</w:t>
            </w:r>
          </w:p>
        </w:tc>
        <w:tc>
          <w:tcPr>
            <w:tcW w:w="887" w:type="dxa"/>
            <w:vMerge w:val="continue"/>
            <w:vAlign w:val="center"/>
          </w:tcPr>
          <w:p>
            <w:pPr>
              <w:pStyle w:val="12"/>
              <w:jc w:val="center"/>
              <w:rPr>
                <w:rFonts w:hint="default" w:ascii="Times New Roman" w:hAnsi="Times New Roman" w:cs="Times New Roman"/>
                <w:szCs w:val="21"/>
              </w:rPr>
            </w:pPr>
          </w:p>
        </w:tc>
        <w:tc>
          <w:tcPr>
            <w:tcW w:w="1263"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31" w:hRule="atLeast"/>
          <w:jc w:val="center"/>
        </w:trPr>
        <w:tc>
          <w:tcPr>
            <w:tcW w:w="758" w:type="dxa"/>
            <w:vMerge w:val="continue"/>
            <w:vAlign w:val="center"/>
          </w:tcPr>
          <w:p>
            <w:pPr>
              <w:jc w:val="center"/>
              <w:rPr>
                <w:rFonts w:hint="default" w:ascii="Times New Roman" w:hAnsi="Times New Roman" w:cs="Times New Roman"/>
                <w:szCs w:val="21"/>
              </w:rPr>
            </w:pPr>
          </w:p>
        </w:tc>
        <w:tc>
          <w:tcPr>
            <w:tcW w:w="1378" w:type="dxa"/>
            <w:gridSpan w:val="3"/>
            <w:vAlign w:val="center"/>
          </w:tcPr>
          <w:p>
            <w:pPr>
              <w:jc w:val="center"/>
              <w:rPr>
                <w:rFonts w:hint="default" w:ascii="Times New Roman" w:hAnsi="Times New Roman" w:cs="Times New Roman"/>
                <w:szCs w:val="21"/>
              </w:rPr>
            </w:pPr>
            <w:r>
              <w:rPr>
                <w:rFonts w:hint="default" w:ascii="Times New Roman" w:hAnsi="Times New Roman" w:cs="Times New Roman"/>
                <w:szCs w:val="21"/>
              </w:rPr>
              <w:t>员工休息、材料库房</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租用项目南侧56m处1户住户用房，房屋用于项目员工休息</w:t>
            </w:r>
          </w:p>
        </w:tc>
        <w:tc>
          <w:tcPr>
            <w:tcW w:w="887" w:type="dxa"/>
            <w:vMerge w:val="continue"/>
            <w:vAlign w:val="center"/>
          </w:tcPr>
          <w:p>
            <w:pPr>
              <w:pStyle w:val="12"/>
              <w:jc w:val="center"/>
              <w:rPr>
                <w:rFonts w:hint="default" w:ascii="Times New Roman" w:hAnsi="Times New Roman" w:cs="Times New Roman"/>
                <w:szCs w:val="21"/>
              </w:rPr>
            </w:pPr>
          </w:p>
        </w:tc>
        <w:tc>
          <w:tcPr>
            <w:tcW w:w="1263"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1" w:hRule="atLeast"/>
          <w:jc w:val="center"/>
        </w:trPr>
        <w:tc>
          <w:tcPr>
            <w:tcW w:w="7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仓储设施</w:t>
            </w:r>
          </w:p>
        </w:tc>
        <w:tc>
          <w:tcPr>
            <w:tcW w:w="1378" w:type="dxa"/>
            <w:gridSpan w:val="3"/>
            <w:vAlign w:val="center"/>
          </w:tcPr>
          <w:p>
            <w:pPr>
              <w:jc w:val="center"/>
              <w:rPr>
                <w:rFonts w:hint="default" w:ascii="Times New Roman" w:hAnsi="Times New Roman" w:cs="Times New Roman"/>
                <w:szCs w:val="21"/>
              </w:rPr>
            </w:pPr>
            <w:r>
              <w:rPr>
                <w:rFonts w:hint="default" w:ascii="Times New Roman" w:hAnsi="Times New Roman" w:cs="Times New Roman"/>
                <w:bCs/>
                <w:szCs w:val="21"/>
              </w:rPr>
              <w:t>饲料房</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1间，砖混结构，容量为20t，用于饲料储存</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异味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环保工程</w:t>
            </w:r>
          </w:p>
        </w:tc>
        <w:tc>
          <w:tcPr>
            <w:tcW w:w="689" w:type="dxa"/>
            <w:gridSpan w:val="2"/>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排水系统</w:t>
            </w:r>
          </w:p>
        </w:tc>
        <w:tc>
          <w:tcPr>
            <w:tcW w:w="68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雨水</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明沟+暗管形式，水泥砂浆抹面，围绕整个养殖区周边建设，将截洪沟截流雨水引至附近沟渠排放</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08" w:hRule="atLeast"/>
          <w:jc w:val="center"/>
        </w:trPr>
        <w:tc>
          <w:tcPr>
            <w:tcW w:w="758" w:type="dxa"/>
            <w:vMerge w:val="continue"/>
            <w:vAlign w:val="center"/>
          </w:tcPr>
          <w:p>
            <w:pPr>
              <w:jc w:val="center"/>
              <w:rPr>
                <w:rFonts w:hint="default" w:ascii="Times New Roman" w:hAnsi="Times New Roman" w:cs="Times New Roman"/>
                <w:szCs w:val="21"/>
              </w:rPr>
            </w:pPr>
          </w:p>
        </w:tc>
        <w:tc>
          <w:tcPr>
            <w:tcW w:w="689" w:type="dxa"/>
            <w:gridSpan w:val="2"/>
            <w:vMerge w:val="continue"/>
            <w:vAlign w:val="center"/>
          </w:tcPr>
          <w:p>
            <w:pPr>
              <w:jc w:val="center"/>
              <w:rPr>
                <w:rFonts w:hint="default" w:ascii="Times New Roman" w:hAnsi="Times New Roman" w:cs="Times New Roman"/>
                <w:szCs w:val="21"/>
              </w:rPr>
            </w:pPr>
          </w:p>
        </w:tc>
        <w:tc>
          <w:tcPr>
            <w:tcW w:w="68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污水</w:t>
            </w:r>
          </w:p>
        </w:tc>
        <w:tc>
          <w:tcPr>
            <w:tcW w:w="5525" w:type="dxa"/>
            <w:gridSpan w:val="2"/>
            <w:vAlign w:val="center"/>
          </w:tcPr>
          <w:p>
            <w:pPr>
              <w:jc w:val="center"/>
              <w:rPr>
                <w:rFonts w:hint="default" w:ascii="Times New Roman" w:hAnsi="Times New Roman" w:cs="Times New Roman"/>
                <w:bCs/>
                <w:szCs w:val="21"/>
              </w:rPr>
            </w:pPr>
            <w:r>
              <w:rPr>
                <w:rFonts w:hint="default" w:ascii="Times New Roman" w:hAnsi="Times New Roman" w:cs="Times New Roman"/>
              </w:rPr>
              <w:t>养殖废水和生活污水经场区污水站处理后，</w:t>
            </w:r>
            <w:r>
              <w:rPr>
                <w:rFonts w:hint="default" w:ascii="Times New Roman" w:hAnsi="Times New Roman" w:cs="Times New Roman"/>
                <w:bCs/>
                <w:color w:val="auto"/>
                <w:sz w:val="21"/>
                <w:szCs w:val="21"/>
                <w:lang w:eastAsia="zh-CN"/>
              </w:rPr>
              <w:t>部分通过水泵抽至田间池（</w:t>
            </w:r>
            <w:r>
              <w:rPr>
                <w:rFonts w:hint="default" w:ascii="Times New Roman" w:hAnsi="Times New Roman" w:cs="Times New Roman"/>
                <w:bCs/>
                <w:color w:val="auto"/>
                <w:sz w:val="21"/>
                <w:szCs w:val="21"/>
                <w:lang w:val="en-US" w:eastAsia="zh-CN"/>
              </w:rPr>
              <w:t>3个，总有效容积150m</w:t>
            </w:r>
            <w:r>
              <w:rPr>
                <w:rFonts w:hint="default" w:ascii="Times New Roman" w:hAnsi="Times New Roman" w:cs="Times New Roman"/>
                <w:bCs/>
                <w:color w:val="auto"/>
                <w:sz w:val="21"/>
                <w:szCs w:val="21"/>
                <w:vertAlign w:val="superscript"/>
                <w:lang w:val="en-US" w:eastAsia="zh-CN"/>
              </w:rPr>
              <w:t>3</w:t>
            </w:r>
            <w:r>
              <w:rPr>
                <w:rFonts w:hint="default" w:ascii="Times New Roman" w:hAnsi="Times New Roman" w:cs="Times New Roman"/>
                <w:bCs/>
                <w:color w:val="auto"/>
                <w:sz w:val="21"/>
                <w:szCs w:val="21"/>
                <w:lang w:eastAsia="zh-CN"/>
              </w:rPr>
              <w:t>）用于农田施肥</w:t>
            </w:r>
            <w:r>
              <w:rPr>
                <w:rFonts w:hint="default" w:ascii="Times New Roman" w:hAnsi="Times New Roman" w:cs="Times New Roman"/>
              </w:rPr>
              <w:t>；部分废水通过罐车拉运至夹江县果香四季家庭农场的田间池中暂存，用于耕地施肥</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雨水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1" w:hRule="atLeast"/>
          <w:jc w:val="center"/>
        </w:trPr>
        <w:tc>
          <w:tcPr>
            <w:tcW w:w="758" w:type="dxa"/>
            <w:vMerge w:val="continue"/>
            <w:vAlign w:val="center"/>
          </w:tcPr>
          <w:p>
            <w:pPr>
              <w:jc w:val="center"/>
              <w:rPr>
                <w:rFonts w:hint="default" w:ascii="Times New Roman" w:hAnsi="Times New Roman" w:cs="Times New Roman"/>
                <w:szCs w:val="21"/>
              </w:rPr>
            </w:pPr>
          </w:p>
        </w:tc>
        <w:tc>
          <w:tcPr>
            <w:tcW w:w="1378" w:type="dxa"/>
            <w:gridSpan w:val="3"/>
            <w:vAlign w:val="center"/>
          </w:tcPr>
          <w:p>
            <w:pPr>
              <w:jc w:val="center"/>
              <w:rPr>
                <w:rFonts w:hint="default" w:ascii="Times New Roman" w:hAnsi="Times New Roman" w:cs="Times New Roman"/>
                <w:szCs w:val="21"/>
              </w:rPr>
            </w:pPr>
            <w:r>
              <w:rPr>
                <w:rFonts w:hint="default" w:ascii="Times New Roman" w:hAnsi="Times New Roman" w:cs="Times New Roman"/>
                <w:szCs w:val="21"/>
              </w:rPr>
              <w:t>绿化</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绿化面积2000m</w:t>
            </w:r>
            <w:r>
              <w:rPr>
                <w:rFonts w:hint="default" w:ascii="Times New Roman" w:hAnsi="Times New Roman" w:cs="Times New Roman"/>
                <w:szCs w:val="21"/>
                <w:vertAlign w:val="superscript"/>
              </w:rPr>
              <w:t>2</w:t>
            </w:r>
            <w:r>
              <w:rPr>
                <w:rFonts w:hint="default" w:ascii="Times New Roman" w:hAnsi="Times New Roman" w:cs="Times New Roman"/>
                <w:szCs w:val="21"/>
              </w:rPr>
              <w:t xml:space="preserve"> ，用于隔离养殖及办公区，同时绿化厂区环境</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vMerge w:val="restart"/>
            <w:tcBorders>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废水</w:t>
            </w:r>
          </w:p>
          <w:p>
            <w:pPr>
              <w:adjustRightInd w:val="0"/>
              <w:snapToGrid w:val="0"/>
              <w:jc w:val="center"/>
              <w:rPr>
                <w:rFonts w:hint="default" w:ascii="Times New Roman" w:hAnsi="Times New Roman" w:cs="Times New Roman"/>
                <w:szCs w:val="21"/>
              </w:rPr>
            </w:pPr>
          </w:p>
        </w:tc>
        <w:tc>
          <w:tcPr>
            <w:tcW w:w="846" w:type="dxa"/>
            <w:gridSpan w:val="2"/>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餐饮废水</w:t>
            </w:r>
          </w:p>
        </w:tc>
        <w:tc>
          <w:tcPr>
            <w:tcW w:w="2309"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隔油池1座，0.5m³</w:t>
            </w:r>
          </w:p>
        </w:tc>
        <w:tc>
          <w:tcPr>
            <w:tcW w:w="3216" w:type="dxa"/>
            <w:vMerge w:val="restart"/>
            <w:tcBorders>
              <w:lef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场内污水管网收集后排入污水处理设施处理</w:t>
            </w:r>
          </w:p>
        </w:tc>
        <w:tc>
          <w:tcPr>
            <w:tcW w:w="887" w:type="dxa"/>
            <w:vMerge w:val="continue"/>
            <w:vAlign w:val="center"/>
          </w:tcPr>
          <w:p>
            <w:pPr>
              <w:rPr>
                <w:rFonts w:hint="default" w:ascii="Times New Roman" w:hAnsi="Times New Roman" w:cs="Times New Roman"/>
                <w:b/>
              </w:rPr>
            </w:pPr>
          </w:p>
        </w:tc>
        <w:tc>
          <w:tcPr>
            <w:tcW w:w="1263"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恶臭、固废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vMerge w:val="continue"/>
            <w:tcBorders>
              <w:right w:val="single" w:color="auto" w:sz="4" w:space="0"/>
            </w:tcBorders>
            <w:vAlign w:val="center"/>
          </w:tcPr>
          <w:p>
            <w:pPr>
              <w:adjustRightInd w:val="0"/>
              <w:snapToGrid w:val="0"/>
              <w:jc w:val="center"/>
              <w:rPr>
                <w:rFonts w:hint="default" w:ascii="Times New Roman" w:hAnsi="Times New Roman" w:cs="Times New Roman"/>
                <w:szCs w:val="21"/>
              </w:rPr>
            </w:pPr>
          </w:p>
        </w:tc>
        <w:tc>
          <w:tcPr>
            <w:tcW w:w="846" w:type="dxa"/>
            <w:gridSpan w:val="2"/>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生活污水</w:t>
            </w:r>
          </w:p>
        </w:tc>
        <w:tc>
          <w:tcPr>
            <w:tcW w:w="2309"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3216" w:type="dxa"/>
            <w:vMerge w:val="continue"/>
            <w:tcBorders>
              <w:left w:val="single" w:color="auto" w:sz="4" w:space="0"/>
            </w:tcBorders>
            <w:vAlign w:val="center"/>
          </w:tcPr>
          <w:p>
            <w:pPr>
              <w:adjustRightInd w:val="0"/>
              <w:snapToGrid w:val="0"/>
              <w:jc w:val="center"/>
              <w:rPr>
                <w:rFonts w:hint="default" w:ascii="Times New Roman" w:hAnsi="Times New Roman" w:cs="Times New Roman"/>
                <w:szCs w:val="21"/>
              </w:rPr>
            </w:pPr>
          </w:p>
        </w:tc>
        <w:tc>
          <w:tcPr>
            <w:tcW w:w="887" w:type="dxa"/>
            <w:vMerge w:val="continue"/>
            <w:vAlign w:val="center"/>
          </w:tcPr>
          <w:p>
            <w:pPr>
              <w:rPr>
                <w:rFonts w:hint="default" w:ascii="Times New Roman" w:hAnsi="Times New Roman" w:cs="Times New Roman"/>
                <w:b/>
              </w:rPr>
            </w:pPr>
          </w:p>
        </w:tc>
        <w:tc>
          <w:tcPr>
            <w:tcW w:w="1263"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vMerge w:val="continue"/>
            <w:tcBorders>
              <w:right w:val="single" w:color="auto" w:sz="4" w:space="0"/>
            </w:tcBorders>
            <w:vAlign w:val="center"/>
          </w:tcPr>
          <w:p>
            <w:pPr>
              <w:adjustRightInd w:val="0"/>
              <w:snapToGrid w:val="0"/>
              <w:jc w:val="center"/>
              <w:rPr>
                <w:rFonts w:hint="default" w:ascii="Times New Roman" w:hAnsi="Times New Roman" w:cs="Times New Roman"/>
                <w:szCs w:val="21"/>
              </w:rPr>
            </w:pPr>
          </w:p>
        </w:tc>
        <w:tc>
          <w:tcPr>
            <w:tcW w:w="846" w:type="dxa"/>
            <w:gridSpan w:val="2"/>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养殖废水</w:t>
            </w:r>
          </w:p>
        </w:tc>
        <w:tc>
          <w:tcPr>
            <w:tcW w:w="5525" w:type="dxa"/>
            <w:gridSpan w:val="2"/>
            <w:vAlign w:val="center"/>
          </w:tcPr>
          <w:p>
            <w:pPr>
              <w:rPr>
                <w:rFonts w:hint="default" w:ascii="Times New Roman" w:hAnsi="Times New Roman" w:cs="Times New Roman"/>
                <w:szCs w:val="21"/>
              </w:rPr>
            </w:pPr>
            <w:r>
              <w:rPr>
                <w:rFonts w:hint="default" w:ascii="Times New Roman" w:hAnsi="Times New Roman" w:cs="Times New Roman"/>
                <w:szCs w:val="21"/>
              </w:rPr>
              <w:t>废水经过厂区修建的废水处理系统（粪污收集池+集水池+固液分离+调节酸化池+沼气池+好氧池+沉淀池+消毒+沼液暂存池（兼事故应急池））处理后，部分废水通过管网输送系统输送至三洞镇周冲村村民耕地使用，其余</w:t>
            </w:r>
            <w:r>
              <w:rPr>
                <w:rFonts w:hint="default" w:ascii="Times New Roman" w:hAnsi="Times New Roman" w:cs="Times New Roman"/>
                <w:bCs/>
                <w:szCs w:val="21"/>
              </w:rPr>
              <w:t>部分废水通过罐车拉运至夹江县果香四季家庭农场的田间池中暂存，用于耕地施肥，</w:t>
            </w:r>
            <w:r>
              <w:rPr>
                <w:rFonts w:hint="default" w:ascii="Times New Roman" w:hAnsi="Times New Roman" w:cs="Times New Roman"/>
                <w:szCs w:val="21"/>
              </w:rPr>
              <w:t>不外排。废水处理系统占地面积约500平方米，处理能力为90m</w:t>
            </w:r>
            <w:r>
              <w:rPr>
                <w:rFonts w:hint="default" w:ascii="Times New Roman" w:hAnsi="Times New Roman" w:cs="Times New Roman"/>
                <w:szCs w:val="21"/>
                <w:vertAlign w:val="superscript"/>
              </w:rPr>
              <w:t>3</w:t>
            </w:r>
            <w:r>
              <w:rPr>
                <w:rFonts w:hint="default" w:ascii="Times New Roman" w:hAnsi="Times New Roman" w:cs="Times New Roman"/>
                <w:szCs w:val="21"/>
              </w:rPr>
              <w:t>/d。</w:t>
            </w:r>
          </w:p>
        </w:tc>
        <w:tc>
          <w:tcPr>
            <w:tcW w:w="887" w:type="dxa"/>
            <w:vMerge w:val="continue"/>
            <w:vAlign w:val="center"/>
          </w:tcPr>
          <w:p>
            <w:pPr>
              <w:pStyle w:val="12"/>
              <w:jc w:val="center"/>
              <w:rPr>
                <w:rFonts w:hint="default" w:ascii="Times New Roman" w:hAnsi="Times New Roman" w:cs="Times New Roman"/>
                <w:szCs w:val="21"/>
              </w:rPr>
            </w:pPr>
          </w:p>
        </w:tc>
        <w:tc>
          <w:tcPr>
            <w:tcW w:w="1263"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vMerge w:val="continue"/>
            <w:tcBorders>
              <w:right w:val="single" w:color="auto" w:sz="4" w:space="0"/>
            </w:tcBorders>
            <w:vAlign w:val="center"/>
          </w:tcPr>
          <w:p>
            <w:pPr>
              <w:adjustRightInd w:val="0"/>
              <w:snapToGrid w:val="0"/>
              <w:jc w:val="center"/>
              <w:rPr>
                <w:rFonts w:hint="default" w:ascii="Times New Roman" w:hAnsi="Times New Roman" w:cs="Times New Roman"/>
                <w:szCs w:val="21"/>
              </w:rPr>
            </w:pPr>
          </w:p>
        </w:tc>
        <w:tc>
          <w:tcPr>
            <w:tcW w:w="846" w:type="dxa"/>
            <w:gridSpan w:val="2"/>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水帘降温系统冷却水</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建设循环水池9个，位于各圈舍门口旁地下，容积4.5m</w:t>
            </w:r>
            <w:r>
              <w:rPr>
                <w:rFonts w:hint="default" w:ascii="Times New Roman" w:hAnsi="Times New Roman" w:cs="Times New Roman"/>
                <w:szCs w:val="21"/>
                <w:vertAlign w:val="superscript"/>
              </w:rPr>
              <w:t>3</w:t>
            </w:r>
            <w:r>
              <w:rPr>
                <w:rFonts w:hint="default" w:ascii="Times New Roman" w:hAnsi="Times New Roman" w:cs="Times New Roman"/>
                <w:szCs w:val="21"/>
              </w:rPr>
              <w:t>，冷却水循环使用不外排</w:t>
            </w:r>
          </w:p>
        </w:tc>
        <w:tc>
          <w:tcPr>
            <w:tcW w:w="887" w:type="dxa"/>
            <w:vMerge w:val="continue"/>
            <w:vAlign w:val="center"/>
          </w:tcPr>
          <w:p>
            <w:pPr>
              <w:pStyle w:val="12"/>
              <w:jc w:val="center"/>
              <w:rPr>
                <w:rFonts w:hint="default" w:ascii="Times New Roman" w:hAnsi="Times New Roman" w:cs="Times New Roman"/>
                <w:szCs w:val="21"/>
              </w:rPr>
            </w:pPr>
          </w:p>
        </w:tc>
        <w:tc>
          <w:tcPr>
            <w:tcW w:w="1263"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噪</w:t>
            </w:r>
          </w:p>
          <w:p>
            <w:pPr>
              <w:jc w:val="center"/>
              <w:rPr>
                <w:rFonts w:hint="default" w:ascii="Times New Roman" w:hAnsi="Times New Roman" w:cs="Times New Roman"/>
                <w:szCs w:val="21"/>
              </w:rPr>
            </w:pPr>
            <w:r>
              <w:rPr>
                <w:rFonts w:hint="default" w:ascii="Times New Roman" w:hAnsi="Times New Roman" w:cs="Times New Roman"/>
                <w:szCs w:val="21"/>
              </w:rPr>
              <w:t>声</w:t>
            </w:r>
          </w:p>
        </w:tc>
        <w:tc>
          <w:tcPr>
            <w:tcW w:w="846" w:type="dxa"/>
            <w:gridSpan w:val="2"/>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设备噪声</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加强管理，合理布局，采用低噪声设备，采取相应降噪、减震措施</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pStyle w:val="12"/>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5"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vMerge w:val="restart"/>
            <w:tcBorders>
              <w:right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废气</w:t>
            </w:r>
          </w:p>
        </w:tc>
        <w:tc>
          <w:tcPr>
            <w:tcW w:w="846" w:type="dxa"/>
            <w:gridSpan w:val="2"/>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恶臭</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bCs/>
                <w:color w:val="auto"/>
                <w:sz w:val="21"/>
                <w:szCs w:val="21"/>
                <w:lang w:eastAsia="zh-CN"/>
              </w:rPr>
              <w:t>猪粪暂存间、污水处理站密闭，产生的臭气经负压抽风通入生物除臭系统处理后通过</w:t>
            </w:r>
            <w:r>
              <w:rPr>
                <w:rFonts w:hint="default" w:ascii="Times New Roman" w:hAnsi="Times New Roman" w:cs="Times New Roman"/>
                <w:bCs/>
                <w:color w:val="auto"/>
                <w:sz w:val="21"/>
                <w:szCs w:val="21"/>
                <w:lang w:val="en-US" w:eastAsia="zh-CN"/>
              </w:rPr>
              <w:t>15m高</w:t>
            </w:r>
            <w:r>
              <w:rPr>
                <w:rFonts w:hint="default" w:ascii="Times New Roman" w:hAnsi="Times New Roman" w:cs="Times New Roman"/>
                <w:bCs/>
                <w:color w:val="auto"/>
                <w:sz w:val="21"/>
                <w:szCs w:val="21"/>
                <w:lang w:eastAsia="zh-CN"/>
              </w:rPr>
              <w:t>排气筒排放，</w:t>
            </w:r>
            <w:r>
              <w:rPr>
                <w:rFonts w:hint="default" w:ascii="Times New Roman" w:hAnsi="Times New Roman" w:cs="Times New Roman"/>
                <w:bCs/>
                <w:szCs w:val="21"/>
              </w:rPr>
              <w:t>厌氧反应产生沼气经净化处理后送入沼气罐暂存，便于后续使用。</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pStyle w:val="12"/>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vMerge w:val="continue"/>
            <w:tcBorders>
              <w:right w:val="single" w:color="auto" w:sz="4" w:space="0"/>
            </w:tcBorders>
            <w:vAlign w:val="center"/>
          </w:tcPr>
          <w:p>
            <w:pPr>
              <w:adjustRightInd w:val="0"/>
              <w:snapToGrid w:val="0"/>
              <w:jc w:val="center"/>
              <w:rPr>
                <w:rFonts w:hint="default" w:ascii="Times New Roman" w:hAnsi="Times New Roman" w:cs="Times New Roman"/>
                <w:szCs w:val="21"/>
              </w:rPr>
            </w:pPr>
          </w:p>
        </w:tc>
        <w:tc>
          <w:tcPr>
            <w:tcW w:w="846" w:type="dxa"/>
            <w:gridSpan w:val="2"/>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备用发电机烟气</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自带净化器，采用清洁能源，废气产生频次低，产生量小，无组织间歇定排放</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pStyle w:val="12"/>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vMerge w:val="continue"/>
            <w:tcBorders>
              <w:right w:val="single" w:color="auto" w:sz="4" w:space="0"/>
            </w:tcBorders>
            <w:vAlign w:val="center"/>
          </w:tcPr>
          <w:p>
            <w:pPr>
              <w:adjustRightInd w:val="0"/>
              <w:snapToGrid w:val="0"/>
              <w:jc w:val="center"/>
              <w:rPr>
                <w:rFonts w:hint="default" w:ascii="Times New Roman" w:hAnsi="Times New Roman" w:cs="Times New Roman"/>
                <w:szCs w:val="21"/>
              </w:rPr>
            </w:pPr>
          </w:p>
        </w:tc>
        <w:tc>
          <w:tcPr>
            <w:tcW w:w="846" w:type="dxa"/>
            <w:gridSpan w:val="2"/>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餐饮油烟</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抽油烟机1台+引致屋顶排气筒</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pStyle w:val="12"/>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vMerge w:val="continue"/>
            <w:tcBorders>
              <w:right w:val="single" w:color="auto" w:sz="4" w:space="0"/>
            </w:tcBorders>
            <w:vAlign w:val="center"/>
          </w:tcPr>
          <w:p>
            <w:pPr>
              <w:adjustRightInd w:val="0"/>
              <w:snapToGrid w:val="0"/>
              <w:jc w:val="center"/>
              <w:rPr>
                <w:rFonts w:hint="default" w:ascii="Times New Roman" w:hAnsi="Times New Roman" w:cs="Times New Roman"/>
                <w:szCs w:val="21"/>
              </w:rPr>
            </w:pPr>
          </w:p>
        </w:tc>
        <w:tc>
          <w:tcPr>
            <w:tcW w:w="846" w:type="dxa"/>
            <w:gridSpan w:val="2"/>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厨房燃料燃烧废气</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清洁能源，产生量较小，间歇定无组织排放</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pStyle w:val="12"/>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vMerge w:val="restart"/>
            <w:tcBorders>
              <w:right w:val="single" w:color="auto" w:sz="4" w:space="0"/>
            </w:tcBorders>
            <w:vAlign w:val="center"/>
          </w:tcPr>
          <w:p>
            <w:pPr>
              <w:pStyle w:val="12"/>
              <w:jc w:val="center"/>
              <w:rPr>
                <w:rFonts w:hint="default" w:ascii="Times New Roman" w:hAnsi="Times New Roman" w:cs="Times New Roman"/>
                <w:szCs w:val="21"/>
              </w:rPr>
            </w:pPr>
            <w:r>
              <w:rPr>
                <w:rFonts w:hint="default" w:ascii="Times New Roman" w:hAnsi="Times New Roman" w:cs="Times New Roman"/>
                <w:szCs w:val="21"/>
              </w:rPr>
              <w:t>固废</w:t>
            </w:r>
          </w:p>
        </w:tc>
        <w:tc>
          <w:tcPr>
            <w:tcW w:w="846" w:type="dxa"/>
            <w:gridSpan w:val="2"/>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猪粪</w:t>
            </w:r>
          </w:p>
        </w:tc>
        <w:tc>
          <w:tcPr>
            <w:tcW w:w="5525" w:type="dxa"/>
            <w:gridSpan w:val="2"/>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rPr>
              <w:t>暂存于猪粪暂存间，外售给夹江县果香四季家庭农场</w:t>
            </w:r>
            <w:r>
              <w:rPr>
                <w:rFonts w:hint="default" w:ascii="Times New Roman" w:hAnsi="Times New Roman" w:cs="Times New Roman"/>
                <w:szCs w:val="21"/>
                <w:lang w:eastAsia="zh-CN"/>
              </w:rPr>
              <w:t>制作有机肥使用</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pStyle w:val="12"/>
              <w:jc w:val="center"/>
              <w:rPr>
                <w:rFonts w:hint="default" w:ascii="Times New Roman" w:hAnsi="Times New Roman" w:cs="Times New Roman"/>
                <w:szCs w:val="21"/>
              </w:rPr>
            </w:pPr>
            <w:r>
              <w:rPr>
                <w:rFonts w:hint="default" w:ascii="Times New Roman" w:hAnsi="Times New Roman" w:cs="Times New Roman"/>
                <w:szCs w:val="21"/>
              </w:rPr>
              <w:t>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vMerge w:val="continue"/>
            <w:tcBorders>
              <w:right w:val="single" w:color="auto" w:sz="4" w:space="0"/>
            </w:tcBorders>
            <w:vAlign w:val="center"/>
          </w:tcPr>
          <w:p>
            <w:pPr>
              <w:pStyle w:val="12"/>
              <w:jc w:val="center"/>
              <w:rPr>
                <w:rFonts w:hint="default" w:ascii="Times New Roman" w:hAnsi="Times New Roman" w:cs="Times New Roman"/>
                <w:szCs w:val="21"/>
              </w:rPr>
            </w:pPr>
          </w:p>
        </w:tc>
        <w:tc>
          <w:tcPr>
            <w:tcW w:w="846" w:type="dxa"/>
            <w:gridSpan w:val="2"/>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病死猪</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病死猪交由成都市科农动物无害化处置有限公司处理</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pStyle w:val="12"/>
              <w:jc w:val="center"/>
              <w:rPr>
                <w:rFonts w:hint="default" w:ascii="Times New Roman" w:hAnsi="Times New Roman" w:cs="Times New Roman"/>
                <w:szCs w:val="21"/>
              </w:rPr>
            </w:pPr>
            <w:r>
              <w:rPr>
                <w:rFonts w:hint="default" w:ascii="Times New Roman" w:hAnsi="Times New Roman" w:cs="Times New Roman"/>
                <w:szCs w:val="21"/>
              </w:rPr>
              <w:t>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vMerge w:val="continue"/>
            <w:tcBorders>
              <w:right w:val="single" w:color="auto" w:sz="4" w:space="0"/>
            </w:tcBorders>
            <w:vAlign w:val="center"/>
          </w:tcPr>
          <w:p>
            <w:pPr>
              <w:pStyle w:val="12"/>
              <w:jc w:val="center"/>
              <w:rPr>
                <w:rFonts w:hint="default" w:ascii="Times New Roman" w:hAnsi="Times New Roman" w:cs="Times New Roman"/>
                <w:szCs w:val="21"/>
              </w:rPr>
            </w:pPr>
          </w:p>
        </w:tc>
        <w:tc>
          <w:tcPr>
            <w:tcW w:w="846" w:type="dxa"/>
            <w:gridSpan w:val="2"/>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生活垃圾</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垃圾桶收集，送至</w:t>
            </w:r>
            <w:r>
              <w:rPr>
                <w:rFonts w:hint="default" w:ascii="Times New Roman" w:hAnsi="Times New Roman" w:cs="Times New Roman"/>
                <w:kern w:val="0"/>
                <w:szCs w:val="21"/>
              </w:rPr>
              <w:t>乡镇垃圾收集点，交由当地环卫部门统一清运处理</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pStyle w:val="12"/>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vMerge w:val="continue"/>
            <w:tcBorders>
              <w:right w:val="single" w:color="auto" w:sz="4" w:space="0"/>
            </w:tcBorders>
            <w:vAlign w:val="center"/>
          </w:tcPr>
          <w:p>
            <w:pPr>
              <w:pStyle w:val="12"/>
              <w:jc w:val="center"/>
              <w:rPr>
                <w:rFonts w:hint="default" w:ascii="Times New Roman" w:hAnsi="Times New Roman" w:cs="Times New Roman"/>
                <w:szCs w:val="21"/>
              </w:rPr>
            </w:pPr>
          </w:p>
        </w:tc>
        <w:tc>
          <w:tcPr>
            <w:tcW w:w="846" w:type="dxa"/>
            <w:gridSpan w:val="2"/>
            <w:tcBorders>
              <w:left w:val="single" w:color="auto" w:sz="4" w:space="0"/>
            </w:tcBorders>
            <w:vAlign w:val="center"/>
          </w:tcPr>
          <w:p>
            <w:pPr>
              <w:pStyle w:val="2"/>
              <w:jc w:val="center"/>
              <w:rPr>
                <w:rFonts w:hint="default" w:ascii="Times New Roman" w:hAnsi="Times New Roman" w:cs="Times New Roman"/>
                <w:color w:val="auto"/>
              </w:rPr>
            </w:pPr>
            <w:r>
              <w:rPr>
                <w:rFonts w:hint="default" w:ascii="Times New Roman" w:hAnsi="Times New Roman" w:cs="Times New Roman"/>
                <w:color w:val="auto"/>
                <w:sz w:val="21"/>
                <w:szCs w:val="21"/>
              </w:rPr>
              <w:t>废饲料袋</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用于盛装粪污</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pStyle w:val="12"/>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50" w:hRule="atLeast"/>
          <w:jc w:val="center"/>
        </w:trPr>
        <w:tc>
          <w:tcPr>
            <w:tcW w:w="758" w:type="dxa"/>
            <w:vMerge w:val="continue"/>
            <w:vAlign w:val="center"/>
          </w:tcPr>
          <w:p>
            <w:pPr>
              <w:jc w:val="center"/>
              <w:rPr>
                <w:rFonts w:hint="default" w:ascii="Times New Roman" w:hAnsi="Times New Roman" w:cs="Times New Roman"/>
                <w:szCs w:val="21"/>
                <w:highlight w:val="yellow"/>
              </w:rPr>
            </w:pPr>
          </w:p>
        </w:tc>
        <w:tc>
          <w:tcPr>
            <w:tcW w:w="532" w:type="dxa"/>
            <w:vMerge w:val="continue"/>
            <w:tcBorders>
              <w:right w:val="single" w:color="auto" w:sz="4" w:space="0"/>
            </w:tcBorders>
            <w:vAlign w:val="center"/>
          </w:tcPr>
          <w:p>
            <w:pPr>
              <w:pStyle w:val="12"/>
              <w:jc w:val="center"/>
              <w:rPr>
                <w:rFonts w:hint="default" w:ascii="Times New Roman" w:hAnsi="Times New Roman" w:cs="Times New Roman"/>
                <w:szCs w:val="21"/>
              </w:rPr>
            </w:pPr>
          </w:p>
        </w:tc>
        <w:tc>
          <w:tcPr>
            <w:tcW w:w="846" w:type="dxa"/>
            <w:gridSpan w:val="2"/>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医疗废物</w:t>
            </w:r>
          </w:p>
        </w:tc>
        <w:tc>
          <w:tcPr>
            <w:tcW w:w="552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单独收集，设置危废暂存间1间5m</w:t>
            </w:r>
            <w:r>
              <w:rPr>
                <w:rFonts w:hint="default" w:ascii="Times New Roman" w:hAnsi="Times New Roman" w:cs="Times New Roman"/>
                <w:szCs w:val="21"/>
                <w:vertAlign w:val="superscript"/>
              </w:rPr>
              <w:t>2</w:t>
            </w:r>
            <w:r>
              <w:rPr>
                <w:rFonts w:hint="default" w:ascii="Times New Roman" w:hAnsi="Times New Roman" w:cs="Times New Roman"/>
                <w:szCs w:val="21"/>
              </w:rPr>
              <w:t>，位于办公生活区内，收集暂存医疗废物定期交资质单位处理，签订协议并设立台账</w:t>
            </w:r>
          </w:p>
        </w:tc>
        <w:tc>
          <w:tcPr>
            <w:tcW w:w="887" w:type="dxa"/>
            <w:vMerge w:val="continue"/>
            <w:vAlign w:val="center"/>
          </w:tcPr>
          <w:p>
            <w:pPr>
              <w:pStyle w:val="12"/>
              <w:jc w:val="center"/>
              <w:rPr>
                <w:rFonts w:hint="default" w:ascii="Times New Roman" w:hAnsi="Times New Roman" w:cs="Times New Roman"/>
                <w:szCs w:val="21"/>
              </w:rPr>
            </w:pPr>
          </w:p>
        </w:tc>
        <w:tc>
          <w:tcPr>
            <w:tcW w:w="1263" w:type="dxa"/>
            <w:vAlign w:val="center"/>
          </w:tcPr>
          <w:p>
            <w:pPr>
              <w:pStyle w:val="12"/>
              <w:jc w:val="center"/>
              <w:rPr>
                <w:rFonts w:hint="default" w:ascii="Times New Roman" w:hAnsi="Times New Roman" w:cs="Times New Roman"/>
                <w:szCs w:val="21"/>
              </w:rPr>
            </w:pPr>
            <w:r>
              <w:rPr>
                <w:rFonts w:hint="default" w:ascii="Times New Roman" w:hAnsi="Times New Roman" w:cs="Times New Roman"/>
                <w:szCs w:val="21"/>
              </w:rPr>
              <w:t>/</w:t>
            </w:r>
          </w:p>
        </w:tc>
      </w:tr>
    </w:tbl>
    <w:p>
      <w:pPr>
        <w:pStyle w:val="68"/>
        <w:overflowPunct w:val="0"/>
        <w:spacing w:line="360" w:lineRule="auto"/>
        <w:outlineLvl w:val="1"/>
        <w:rPr>
          <w:rFonts w:hint="default" w:ascii="Times New Roman" w:hAnsi="Times New Roman" w:eastAsia="宋体" w:cs="Times New Roman"/>
          <w:color w:val="000000"/>
          <w:sz w:val="28"/>
          <w:szCs w:val="28"/>
        </w:rPr>
      </w:pPr>
      <w:bookmarkStart w:id="110" w:name="_Toc21374"/>
      <w:r>
        <w:rPr>
          <w:rFonts w:hint="default" w:ascii="Times New Roman" w:hAnsi="Times New Roman" w:eastAsia="宋体" w:cs="Times New Roman"/>
          <w:color w:val="000000"/>
          <w:sz w:val="28"/>
          <w:szCs w:val="28"/>
        </w:rPr>
        <w:t>2.2 主要设备清单</w:t>
      </w:r>
      <w:bookmarkEnd w:id="110"/>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项目运营期所有设备如下表示：</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表2.2-1  项目主要设备清单</w:t>
      </w:r>
    </w:p>
    <w:tbl>
      <w:tblPr>
        <w:tblStyle w:val="33"/>
        <w:tblW w:w="9713"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028"/>
        <w:gridCol w:w="2058"/>
        <w:gridCol w:w="3200"/>
        <w:gridCol w:w="925"/>
        <w:gridCol w:w="250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30"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序号</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名称</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规格型号</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单位</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数量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1"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地磅秤</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5T</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台</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w:t>
            </w:r>
          </w:p>
        </w:tc>
        <w:tc>
          <w:tcPr>
            <w:tcW w:w="2058" w:type="dxa"/>
            <w:vMerge w:val="restart"/>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兽医器械</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金属注射器20ml</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只</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1"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3</w:t>
            </w:r>
          </w:p>
        </w:tc>
        <w:tc>
          <w:tcPr>
            <w:tcW w:w="2058" w:type="dxa"/>
            <w:vMerge w:val="continue"/>
            <w:vAlign w:val="center"/>
          </w:tcPr>
          <w:p>
            <w:pPr>
              <w:jc w:val="center"/>
              <w:rPr>
                <w:rFonts w:hint="default" w:ascii="Times New Roman" w:hAnsi="Times New Roman" w:cs="Times New Roman"/>
                <w:bCs/>
                <w:szCs w:val="21"/>
              </w:rPr>
            </w:pP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针头9*15 12*20 14*20</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盒</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4</w:t>
            </w:r>
          </w:p>
        </w:tc>
        <w:tc>
          <w:tcPr>
            <w:tcW w:w="2058" w:type="dxa"/>
            <w:vMerge w:val="continue"/>
            <w:vAlign w:val="center"/>
          </w:tcPr>
          <w:p>
            <w:pPr>
              <w:jc w:val="center"/>
              <w:rPr>
                <w:rFonts w:hint="default" w:ascii="Times New Roman" w:hAnsi="Times New Roman" w:cs="Times New Roman"/>
                <w:bCs/>
                <w:szCs w:val="21"/>
              </w:rPr>
            </w:pP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绑定器</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个</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94"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5</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配电柜</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个</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95"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6</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备用发电机</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台</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7</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水帘降温系统</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套</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1"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8</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水泵</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WKY600</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台</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9</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翻耕机</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15KW</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台</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10</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喷淋设施</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套</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9713" w:type="dxa"/>
            <w:gridSpan w:val="5"/>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污水处理系统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11</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污水提升泵</w:t>
            </w:r>
          </w:p>
        </w:tc>
        <w:tc>
          <w:tcPr>
            <w:tcW w:w="3200" w:type="dxa"/>
            <w:vAlign w:val="center"/>
          </w:tcPr>
          <w:p>
            <w:pPr>
              <w:jc w:val="center"/>
              <w:rPr>
                <w:rFonts w:hint="default" w:ascii="Times New Roman" w:hAnsi="Times New Roman" w:cs="Times New Roman"/>
              </w:rPr>
            </w:pPr>
            <w:r>
              <w:rPr>
                <w:rFonts w:hint="default" w:ascii="Times New Roman" w:hAnsi="Times New Roman" w:cs="Times New Roman"/>
              </w:rPr>
              <w:t>Q=6m</w:t>
            </w:r>
            <w:r>
              <w:rPr>
                <w:rFonts w:hint="default" w:ascii="Times New Roman" w:hAnsi="Times New Roman" w:cs="Times New Roman"/>
                <w:vertAlign w:val="superscript"/>
              </w:rPr>
              <w:t>3</w:t>
            </w:r>
            <w:r>
              <w:rPr>
                <w:rFonts w:hint="default" w:ascii="Times New Roman" w:hAnsi="Times New Roman" w:cs="Times New Roman"/>
              </w:rPr>
              <w:t>/h，H=10m，N=0.75KW</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2台</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1用1备,调节酸化池内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12</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液位控制器</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1个</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调节酸化池内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13</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搅拌机</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叶轮直径320mm，N=4KW</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2台</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调节酸化池内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14</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HDPE黑膜</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厚度1.5mm</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300m</w:t>
            </w:r>
            <w:r>
              <w:rPr>
                <w:rFonts w:hint="default" w:ascii="Times New Roman" w:hAnsi="Times New Roman" w:cs="Times New Roman"/>
                <w:bCs/>
                <w:szCs w:val="21"/>
                <w:vertAlign w:val="superscript"/>
              </w:rPr>
              <w:t>2</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黑膜沼气池内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15</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混合液回流泵</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rPr>
              <w:t>Q=6m</w:t>
            </w:r>
            <w:r>
              <w:rPr>
                <w:rFonts w:hint="default" w:ascii="Times New Roman" w:hAnsi="Times New Roman" w:cs="Times New Roman"/>
                <w:vertAlign w:val="superscript"/>
              </w:rPr>
              <w:t>3</w:t>
            </w:r>
            <w:r>
              <w:rPr>
                <w:rFonts w:hint="default" w:ascii="Times New Roman" w:hAnsi="Times New Roman" w:cs="Times New Roman"/>
              </w:rPr>
              <w:t>/h，H=10m，N=0.75KW</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1台</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好氧池内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16</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离心曝气机</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空气吸入管径DN50，最大潜水深度为4m，服务范围6.5m，P=4kw</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2台</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1用1备，好氧池内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17</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填料</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Φ180，弹性填料</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81m</w:t>
            </w:r>
            <w:r>
              <w:rPr>
                <w:rFonts w:hint="default" w:ascii="Times New Roman" w:hAnsi="Times New Roman" w:cs="Times New Roman"/>
                <w:bCs/>
                <w:szCs w:val="21"/>
                <w:vertAlign w:val="superscript"/>
              </w:rPr>
              <w:t>3</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好氧池内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18</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填料支架</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L65角钢，Φ14螺纹钢</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1批</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好氧池内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19</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污泥回流泵</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rPr>
              <w:t>Q=6m</w:t>
            </w:r>
            <w:r>
              <w:rPr>
                <w:rFonts w:hint="default" w:ascii="Times New Roman" w:hAnsi="Times New Roman" w:cs="Times New Roman"/>
                <w:vertAlign w:val="superscript"/>
              </w:rPr>
              <w:t>3</w:t>
            </w:r>
            <w:r>
              <w:rPr>
                <w:rFonts w:hint="default" w:ascii="Times New Roman" w:hAnsi="Times New Roman" w:cs="Times New Roman"/>
              </w:rPr>
              <w:t>/h，H=10m，N=0.75KW</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1台</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沉淀池内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20</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三角堰板</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堰板宽度200mm</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6m</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碳钢防腐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21</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斜管</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斜管尺寸50</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24m</w:t>
            </w:r>
            <w:r>
              <w:rPr>
                <w:rFonts w:hint="default" w:ascii="Times New Roman" w:hAnsi="Times New Roman" w:cs="Times New Roman"/>
                <w:bCs/>
                <w:szCs w:val="21"/>
                <w:vertAlign w:val="superscript"/>
              </w:rPr>
              <w:t>2</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沉淀池内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22</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斜管支架</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L65角钢，Φ14螺纹钢</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1批</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69" w:hRule="atLeast"/>
          <w:jc w:val="center"/>
        </w:trPr>
        <w:tc>
          <w:tcPr>
            <w:tcW w:w="102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23</w:t>
            </w:r>
          </w:p>
        </w:tc>
        <w:tc>
          <w:tcPr>
            <w:tcW w:w="2058"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电气控制系统</w:t>
            </w:r>
          </w:p>
        </w:tc>
        <w:tc>
          <w:tcPr>
            <w:tcW w:w="320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w:t>
            </w:r>
          </w:p>
        </w:tc>
        <w:tc>
          <w:tcPr>
            <w:tcW w:w="92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1套</w:t>
            </w:r>
          </w:p>
        </w:tc>
        <w:tc>
          <w:tcPr>
            <w:tcW w:w="2502"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w:t>
            </w:r>
          </w:p>
        </w:tc>
      </w:tr>
    </w:tbl>
    <w:p>
      <w:pPr>
        <w:pStyle w:val="68"/>
        <w:overflowPunct w:val="0"/>
        <w:spacing w:line="360" w:lineRule="auto"/>
        <w:outlineLvl w:val="1"/>
        <w:rPr>
          <w:rFonts w:hint="default" w:ascii="Times New Roman" w:hAnsi="Times New Roman" w:eastAsia="宋体" w:cs="Times New Roman"/>
          <w:color w:val="000000"/>
          <w:sz w:val="28"/>
          <w:szCs w:val="28"/>
        </w:rPr>
      </w:pPr>
      <w:bookmarkStart w:id="111" w:name="_Toc13769"/>
      <w:r>
        <w:rPr>
          <w:rFonts w:hint="default" w:ascii="Times New Roman" w:hAnsi="Times New Roman" w:eastAsia="宋体" w:cs="Times New Roman"/>
          <w:color w:val="000000"/>
          <w:sz w:val="28"/>
          <w:szCs w:val="28"/>
        </w:rPr>
        <w:t xml:space="preserve">2.3 </w:t>
      </w:r>
      <w:r>
        <w:rPr>
          <w:rFonts w:hint="default" w:ascii="Times New Roman" w:hAnsi="Times New Roman" w:eastAsia="宋体" w:cs="Times New Roman"/>
          <w:snapToGrid w:val="0"/>
          <w:sz w:val="28"/>
          <w:szCs w:val="28"/>
        </w:rPr>
        <w:t>主要原辅材料及能耗情况表</w:t>
      </w:r>
      <w:bookmarkEnd w:id="111"/>
    </w:p>
    <w:p>
      <w:pPr>
        <w:spacing w:line="360" w:lineRule="auto"/>
        <w:ind w:firstLine="482"/>
        <w:rPr>
          <w:rFonts w:hint="default" w:ascii="Times New Roman" w:hAnsi="Times New Roman" w:cs="Times New Roman"/>
          <w:kern w:val="0"/>
          <w:sz w:val="24"/>
          <w:szCs w:val="24"/>
        </w:rPr>
      </w:pPr>
      <w:r>
        <w:rPr>
          <w:rFonts w:hint="default" w:ascii="Times New Roman" w:hAnsi="Times New Roman" w:cs="Times New Roman"/>
          <w:kern w:val="0"/>
          <w:sz w:val="24"/>
          <w:szCs w:val="24"/>
        </w:rPr>
        <w:t>本项目所涉及的主要原辅材料种类、数量及项目能耗情况见下表。</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表2.3-1 主要原辅材料用量及动力消耗一览表</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3"/>
        <w:gridCol w:w="1730"/>
        <w:gridCol w:w="1636"/>
        <w:gridCol w:w="2735"/>
        <w:gridCol w:w="23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263"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项目</w:t>
            </w:r>
          </w:p>
        </w:tc>
        <w:tc>
          <w:tcPr>
            <w:tcW w:w="1730"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名称</w:t>
            </w:r>
          </w:p>
        </w:tc>
        <w:tc>
          <w:tcPr>
            <w:tcW w:w="1636"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年耗量</w:t>
            </w:r>
          </w:p>
        </w:tc>
        <w:tc>
          <w:tcPr>
            <w:tcW w:w="2735"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成分</w:t>
            </w:r>
          </w:p>
        </w:tc>
        <w:tc>
          <w:tcPr>
            <w:tcW w:w="2349"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1" w:hRule="atLeast"/>
          <w:jc w:val="center"/>
        </w:trPr>
        <w:tc>
          <w:tcPr>
            <w:tcW w:w="126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主料</w:t>
            </w:r>
          </w:p>
        </w:tc>
        <w:tc>
          <w:tcPr>
            <w:tcW w:w="1730" w:type="dxa"/>
            <w:vAlign w:val="center"/>
          </w:tcPr>
          <w:p>
            <w:pPr>
              <w:pStyle w:val="70"/>
              <w:spacing w:before="0"/>
              <w:rPr>
                <w:rFonts w:hint="default" w:ascii="Times New Roman" w:hAnsi="Times New Roman" w:eastAsia="宋体" w:cs="Times New Roman"/>
                <w:szCs w:val="21"/>
              </w:rPr>
            </w:pPr>
            <w:r>
              <w:rPr>
                <w:rFonts w:hint="default" w:ascii="Times New Roman" w:hAnsi="Times New Roman" w:eastAsia="宋体" w:cs="Times New Roman"/>
                <w:szCs w:val="21"/>
              </w:rPr>
              <w:t>颗粒饲料</w:t>
            </w:r>
          </w:p>
        </w:tc>
        <w:tc>
          <w:tcPr>
            <w:tcW w:w="163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6700t</w:t>
            </w:r>
          </w:p>
        </w:tc>
        <w:tc>
          <w:tcPr>
            <w:tcW w:w="2735" w:type="dxa"/>
            <w:vAlign w:val="center"/>
          </w:tcPr>
          <w:p>
            <w:pPr>
              <w:pStyle w:val="82"/>
              <w:snapToGrid w:val="0"/>
              <w:spacing w:before="0"/>
              <w:textAlignment w:val="auto"/>
              <w:rPr>
                <w:rFonts w:hint="default" w:ascii="Times New Roman" w:hAnsi="Times New Roman" w:cs="Times New Roman"/>
                <w:kern w:val="2"/>
                <w:szCs w:val="21"/>
              </w:rPr>
            </w:pPr>
            <w:r>
              <w:rPr>
                <w:rFonts w:hint="default" w:ascii="Times New Roman" w:hAnsi="Times New Roman" w:cs="Times New Roman"/>
                <w:kern w:val="2"/>
                <w:sz w:val="21"/>
                <w:szCs w:val="21"/>
              </w:rPr>
              <w:t>纤维、蛋白、淀粉</w:t>
            </w:r>
          </w:p>
        </w:tc>
        <w:tc>
          <w:tcPr>
            <w:tcW w:w="2349"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63"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辅料</w:t>
            </w:r>
          </w:p>
        </w:tc>
        <w:tc>
          <w:tcPr>
            <w:tcW w:w="173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防疫药品</w:t>
            </w:r>
          </w:p>
        </w:tc>
        <w:tc>
          <w:tcPr>
            <w:tcW w:w="16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27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234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63" w:type="dxa"/>
            <w:vMerge w:val="continue"/>
            <w:vAlign w:val="center"/>
          </w:tcPr>
          <w:p>
            <w:pPr>
              <w:jc w:val="center"/>
              <w:rPr>
                <w:rFonts w:hint="default" w:ascii="Times New Roman" w:hAnsi="Times New Roman" w:cs="Times New Roman"/>
                <w:szCs w:val="21"/>
              </w:rPr>
            </w:pPr>
          </w:p>
        </w:tc>
        <w:tc>
          <w:tcPr>
            <w:tcW w:w="173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戊二醛</w:t>
            </w:r>
          </w:p>
        </w:tc>
        <w:tc>
          <w:tcPr>
            <w:tcW w:w="16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10桶</w:t>
            </w:r>
          </w:p>
        </w:tc>
        <w:tc>
          <w:tcPr>
            <w:tcW w:w="27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C</w:t>
            </w:r>
            <w:r>
              <w:rPr>
                <w:rFonts w:hint="default" w:ascii="Times New Roman" w:hAnsi="Times New Roman" w:cs="Times New Roman"/>
                <w:szCs w:val="21"/>
                <w:vertAlign w:val="subscript"/>
              </w:rPr>
              <w:t>5</w:t>
            </w:r>
            <w:r>
              <w:rPr>
                <w:rFonts w:hint="default" w:ascii="Times New Roman" w:hAnsi="Times New Roman" w:cs="Times New Roman"/>
                <w:szCs w:val="21"/>
              </w:rPr>
              <w:t>H</w:t>
            </w:r>
            <w:r>
              <w:rPr>
                <w:rFonts w:hint="default" w:ascii="Times New Roman" w:hAnsi="Times New Roman" w:cs="Times New Roman"/>
                <w:szCs w:val="21"/>
                <w:vertAlign w:val="subscript"/>
              </w:rPr>
              <w:t>8</w:t>
            </w:r>
            <w:r>
              <w:rPr>
                <w:rFonts w:hint="default" w:ascii="Times New Roman" w:hAnsi="Times New Roman" w:cs="Times New Roman"/>
                <w:szCs w:val="21"/>
              </w:rPr>
              <w:t>O</w:t>
            </w:r>
            <w:r>
              <w:rPr>
                <w:rFonts w:hint="default" w:ascii="Times New Roman" w:hAnsi="Times New Roman" w:cs="Times New Roman"/>
                <w:szCs w:val="21"/>
                <w:vertAlign w:val="subscript"/>
              </w:rPr>
              <w:t>2</w:t>
            </w:r>
          </w:p>
        </w:tc>
        <w:tc>
          <w:tcPr>
            <w:tcW w:w="234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兑水1:500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63" w:type="dxa"/>
            <w:vMerge w:val="continue"/>
            <w:vAlign w:val="center"/>
          </w:tcPr>
          <w:p>
            <w:pPr>
              <w:jc w:val="center"/>
              <w:rPr>
                <w:rFonts w:hint="default" w:ascii="Times New Roman" w:hAnsi="Times New Roman" w:cs="Times New Roman"/>
                <w:szCs w:val="21"/>
              </w:rPr>
            </w:pPr>
          </w:p>
        </w:tc>
        <w:tc>
          <w:tcPr>
            <w:tcW w:w="173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过氧乙酸</w:t>
            </w:r>
          </w:p>
        </w:tc>
        <w:tc>
          <w:tcPr>
            <w:tcW w:w="16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10桶</w:t>
            </w:r>
          </w:p>
        </w:tc>
        <w:tc>
          <w:tcPr>
            <w:tcW w:w="27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CH3COOOH</w:t>
            </w:r>
          </w:p>
        </w:tc>
        <w:tc>
          <w:tcPr>
            <w:tcW w:w="234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兑水1:1000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63" w:type="dxa"/>
            <w:vMerge w:val="continue"/>
            <w:vAlign w:val="center"/>
          </w:tcPr>
          <w:p>
            <w:pPr>
              <w:jc w:val="center"/>
              <w:rPr>
                <w:rFonts w:hint="default" w:ascii="Times New Roman" w:hAnsi="Times New Roman" w:cs="Times New Roman"/>
                <w:szCs w:val="21"/>
              </w:rPr>
            </w:pPr>
          </w:p>
        </w:tc>
        <w:tc>
          <w:tcPr>
            <w:tcW w:w="173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卫可</w:t>
            </w:r>
          </w:p>
        </w:tc>
        <w:tc>
          <w:tcPr>
            <w:tcW w:w="16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20桶</w:t>
            </w:r>
          </w:p>
        </w:tc>
        <w:tc>
          <w:tcPr>
            <w:tcW w:w="27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过硫酸氢钾三盐复合物、表面活性剂、有机酸</w:t>
            </w:r>
          </w:p>
        </w:tc>
        <w:tc>
          <w:tcPr>
            <w:tcW w:w="234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按具体消毒内容进行不同比例兑水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63" w:type="dxa"/>
            <w:vMerge w:val="continue"/>
            <w:vAlign w:val="center"/>
          </w:tcPr>
          <w:p>
            <w:pPr>
              <w:jc w:val="center"/>
              <w:rPr>
                <w:rFonts w:hint="default" w:ascii="Times New Roman" w:hAnsi="Times New Roman" w:cs="Times New Roman"/>
                <w:szCs w:val="21"/>
              </w:rPr>
            </w:pPr>
          </w:p>
        </w:tc>
        <w:tc>
          <w:tcPr>
            <w:tcW w:w="173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生石灰</w:t>
            </w:r>
          </w:p>
        </w:tc>
        <w:tc>
          <w:tcPr>
            <w:tcW w:w="163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200kg</w:t>
            </w:r>
          </w:p>
        </w:tc>
        <w:tc>
          <w:tcPr>
            <w:tcW w:w="27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CaCO</w:t>
            </w:r>
            <w:r>
              <w:rPr>
                <w:rFonts w:hint="default" w:ascii="Times New Roman" w:hAnsi="Times New Roman" w:cs="Times New Roman"/>
                <w:szCs w:val="21"/>
                <w:vertAlign w:val="subscript"/>
              </w:rPr>
              <w:t>3</w:t>
            </w:r>
          </w:p>
        </w:tc>
        <w:tc>
          <w:tcPr>
            <w:tcW w:w="234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生石灰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63"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能耗</w:t>
            </w:r>
          </w:p>
        </w:tc>
        <w:tc>
          <w:tcPr>
            <w:tcW w:w="173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电</w:t>
            </w:r>
          </w:p>
        </w:tc>
        <w:tc>
          <w:tcPr>
            <w:tcW w:w="1636" w:type="dxa"/>
            <w:vAlign w:val="center"/>
          </w:tcPr>
          <w:p>
            <w:pPr>
              <w:jc w:val="center"/>
              <w:rPr>
                <w:rFonts w:hint="default" w:ascii="Times New Roman" w:hAnsi="Times New Roman" w:cs="Times New Roman"/>
                <w:szCs w:val="21"/>
                <w:highlight w:val="yellow"/>
              </w:rPr>
            </w:pPr>
            <w:r>
              <w:rPr>
                <w:rFonts w:hint="default" w:ascii="Times New Roman" w:hAnsi="Times New Roman" w:cs="Times New Roman"/>
                <w:szCs w:val="21"/>
              </w:rPr>
              <w:t>1.5万kw·h</w:t>
            </w:r>
          </w:p>
        </w:tc>
        <w:tc>
          <w:tcPr>
            <w:tcW w:w="27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234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市政电网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63" w:type="dxa"/>
            <w:vMerge w:val="continue"/>
            <w:vAlign w:val="center"/>
          </w:tcPr>
          <w:p>
            <w:pPr>
              <w:jc w:val="center"/>
              <w:rPr>
                <w:rFonts w:hint="default" w:ascii="Times New Roman" w:hAnsi="Times New Roman" w:cs="Times New Roman"/>
                <w:szCs w:val="21"/>
              </w:rPr>
            </w:pPr>
          </w:p>
        </w:tc>
        <w:tc>
          <w:tcPr>
            <w:tcW w:w="173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水</w:t>
            </w:r>
          </w:p>
        </w:tc>
        <w:tc>
          <w:tcPr>
            <w:tcW w:w="1636" w:type="dxa"/>
            <w:vAlign w:val="center"/>
          </w:tcPr>
          <w:p>
            <w:pPr>
              <w:jc w:val="center"/>
              <w:rPr>
                <w:rFonts w:hint="default" w:ascii="Times New Roman" w:hAnsi="Times New Roman" w:cs="Times New Roman"/>
                <w:szCs w:val="21"/>
                <w:highlight w:val="yellow"/>
              </w:rPr>
            </w:pPr>
            <w:r>
              <w:rPr>
                <w:rFonts w:hint="default" w:ascii="Times New Roman" w:hAnsi="Times New Roman" w:cs="Times New Roman"/>
                <w:szCs w:val="21"/>
              </w:rPr>
              <w:t>49197.5m</w:t>
            </w:r>
            <w:r>
              <w:rPr>
                <w:rFonts w:hint="default" w:ascii="Times New Roman" w:hAnsi="Times New Roman" w:cs="Times New Roman"/>
                <w:szCs w:val="21"/>
                <w:vertAlign w:val="superscript"/>
              </w:rPr>
              <w:t>3</w:t>
            </w:r>
          </w:p>
        </w:tc>
        <w:tc>
          <w:tcPr>
            <w:tcW w:w="27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234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井水、自来水</w:t>
            </w:r>
          </w:p>
        </w:tc>
      </w:tr>
    </w:tbl>
    <w:p>
      <w:pPr>
        <w:spacing w:line="360" w:lineRule="auto"/>
        <w:rPr>
          <w:rFonts w:hint="default" w:ascii="Times New Roman" w:hAnsi="Times New Roman" w:cs="Times New Roman"/>
          <w:b/>
          <w:szCs w:val="21"/>
        </w:rPr>
      </w:pPr>
      <w:bookmarkStart w:id="112" w:name="_Toc27875"/>
      <w:bookmarkStart w:id="113" w:name="_Toc24240"/>
      <w:bookmarkStart w:id="114" w:name="_Toc17418"/>
      <w:bookmarkStart w:id="115" w:name="_Toc21551"/>
      <w:bookmarkStart w:id="116" w:name="_Toc9646"/>
      <w:bookmarkStart w:id="117" w:name="_Toc32140"/>
      <w:bookmarkStart w:id="118" w:name="_Toc3208"/>
      <w:r>
        <w:rPr>
          <w:rFonts w:hint="default" w:ascii="Times New Roman" w:hAnsi="Times New Roman" w:cs="Times New Roman"/>
          <w:b/>
          <w:szCs w:val="21"/>
        </w:rPr>
        <w:t>注：本项目外购的饲料直接喂食，无需破碎等加工。</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主要原辅料成分及理化性质：</w:t>
      </w:r>
      <w:bookmarkEnd w:id="112"/>
      <w:bookmarkEnd w:id="113"/>
      <w:bookmarkEnd w:id="114"/>
      <w:bookmarkEnd w:id="115"/>
      <w:bookmarkEnd w:id="116"/>
      <w:bookmarkEnd w:id="117"/>
      <w:bookmarkEnd w:id="118"/>
    </w:p>
    <w:p>
      <w:pPr>
        <w:spacing w:line="360" w:lineRule="auto"/>
        <w:ind w:firstLine="480"/>
        <w:rPr>
          <w:rFonts w:hint="default" w:ascii="Times New Roman" w:hAnsi="Times New Roman" w:cs="Times New Roman"/>
          <w:sz w:val="24"/>
          <w:szCs w:val="24"/>
        </w:rPr>
      </w:pPr>
      <w:r>
        <w:rPr>
          <w:rFonts w:hint="default" w:ascii="Times New Roman" w:hAnsi="Times New Roman" w:cs="Times New Roman"/>
          <w:b/>
          <w:sz w:val="24"/>
          <w:szCs w:val="24"/>
        </w:rPr>
        <w:t>（1）戊二醛</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分子式为C</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8</w:t>
      </w:r>
      <w:r>
        <w:rPr>
          <w:rFonts w:hint="default" w:ascii="Times New Roman" w:hAnsi="Times New Roman" w:cs="Times New Roman"/>
          <w:sz w:val="24"/>
          <w:szCs w:val="24"/>
        </w:rPr>
        <w:t>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，带有刺激性气味的无色透明油状液体，溶于热水。对眼睛、皮肤和粘膜有强烈的刺激作用。可作为食品工业加工助剂，菌消毒剂、鞣革剂、木材防腐剂，药物和</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"https://baike.baidu.com/item/%E9%AB%98%E5%88%86%E5%AD%90%E5%90%88%E6%88%90" \t "_blank" </w:instrText>
      </w:r>
      <w:r>
        <w:rPr>
          <w:rFonts w:hint="default" w:ascii="Times New Roman" w:hAnsi="Times New Roman" w:cs="Times New Roman"/>
        </w:rPr>
        <w:fldChar w:fldCharType="separate"/>
      </w:r>
      <w:r>
        <w:rPr>
          <w:rStyle w:val="31"/>
          <w:rFonts w:hint="default" w:ascii="Times New Roman" w:hAnsi="Times New Roman" w:cs="Times New Roman"/>
          <w:color w:val="000000"/>
          <w:sz w:val="24"/>
          <w:szCs w:val="24"/>
        </w:rPr>
        <w:t>高分子合成</w:t>
      </w:r>
      <w:r>
        <w:rPr>
          <w:rStyle w:val="31"/>
          <w:rFonts w:hint="default" w:ascii="Times New Roman" w:hAnsi="Times New Roman" w:cs="Times New Roman"/>
          <w:color w:val="000000"/>
          <w:sz w:val="24"/>
          <w:szCs w:val="24"/>
        </w:rPr>
        <w:fldChar w:fldCharType="end"/>
      </w:r>
      <w:r>
        <w:rPr>
          <w:rFonts w:hint="default" w:ascii="Times New Roman" w:hAnsi="Times New Roman" w:cs="Times New Roman"/>
          <w:sz w:val="24"/>
          <w:szCs w:val="24"/>
        </w:rPr>
        <w:t>原料等。醛类消毒剂对微生物的杀灭作用主要依靠醛基，此类药物主要作用于菌体蛋白的巯基、羟基、羧基和氨基，可使之烷基化，引起蛋白质凝固造成细菌死亡。其理化特性如下：</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熔点：-5℃</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沸点：189</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at 760 mmHg</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闪点：66</w:t>
      </w:r>
      <w:r>
        <w:rPr>
          <w:rFonts w:hint="default" w:ascii="Times New Roman" w:hAnsi="Times New Roman" w:cs="Times New Roman"/>
          <w:sz w:val="24"/>
          <w:szCs w:val="24"/>
          <w:lang w:eastAsia="zh-CN"/>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密度：0.947g/cm</w:t>
      </w:r>
      <w:r>
        <w:rPr>
          <w:rFonts w:hint="default" w:ascii="Times New Roman" w:hAnsi="Times New Roman" w:cs="Times New Roman"/>
          <w:sz w:val="24"/>
          <w:szCs w:val="24"/>
          <w:vertAlign w:val="superscript"/>
        </w:rPr>
        <w:t>3</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相对蒸气密度(空气=1)：3.4</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蒸汽压：0.583mmHg at 25</w:t>
      </w:r>
      <w:r>
        <w:rPr>
          <w:rFonts w:hint="default" w:ascii="Times New Roman" w:hAnsi="Times New Roman" w:cs="Times New Roman"/>
          <w:sz w:val="24"/>
          <w:szCs w:val="24"/>
          <w:lang w:eastAsia="zh-CN"/>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溶解性：溶于热水、乙醇、氯仿、</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"https://baike.baidu.com/item/%E5%86%B0%E9%86%8B%E9%85%B8" \t "_blank" </w:instrText>
      </w:r>
      <w:r>
        <w:rPr>
          <w:rFonts w:hint="default" w:ascii="Times New Roman" w:hAnsi="Times New Roman" w:cs="Times New Roman"/>
        </w:rPr>
        <w:fldChar w:fldCharType="separate"/>
      </w:r>
      <w:r>
        <w:rPr>
          <w:rStyle w:val="31"/>
          <w:rFonts w:hint="default" w:ascii="Times New Roman" w:hAnsi="Times New Roman" w:cs="Times New Roman"/>
          <w:bCs/>
          <w:color w:val="000000"/>
          <w:sz w:val="24"/>
          <w:szCs w:val="24"/>
        </w:rPr>
        <w:t>冰醋酸</w:t>
      </w:r>
      <w:r>
        <w:rPr>
          <w:rStyle w:val="31"/>
          <w:rFonts w:hint="default" w:ascii="Times New Roman" w:hAnsi="Times New Roman" w:cs="Times New Roman"/>
          <w:bCs/>
          <w:color w:val="000000"/>
          <w:sz w:val="24"/>
          <w:szCs w:val="24"/>
        </w:rPr>
        <w:fldChar w:fldCharType="end"/>
      </w:r>
      <w:r>
        <w:rPr>
          <w:rFonts w:hint="default" w:ascii="Times New Roman" w:hAnsi="Times New Roman" w:cs="Times New Roman"/>
          <w:color w:val="000000"/>
          <w:sz w:val="24"/>
          <w:szCs w:val="24"/>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"https://baike.baidu.com/item/%E4%B9%99%E9%86%9A" \t "_blank" </w:instrText>
      </w:r>
      <w:r>
        <w:rPr>
          <w:rFonts w:hint="default" w:ascii="Times New Roman" w:hAnsi="Times New Roman" w:cs="Times New Roman"/>
        </w:rPr>
        <w:fldChar w:fldCharType="separate"/>
      </w:r>
      <w:r>
        <w:rPr>
          <w:rStyle w:val="31"/>
          <w:rFonts w:hint="default" w:ascii="Times New Roman" w:hAnsi="Times New Roman" w:cs="Times New Roman"/>
          <w:color w:val="000000"/>
          <w:sz w:val="24"/>
          <w:szCs w:val="24"/>
        </w:rPr>
        <w:t>乙醚</w:t>
      </w:r>
      <w:r>
        <w:rPr>
          <w:rStyle w:val="31"/>
          <w:rFonts w:hint="default" w:ascii="Times New Roman" w:hAnsi="Times New Roman" w:cs="Times New Roman"/>
          <w:color w:val="000000"/>
          <w:sz w:val="24"/>
          <w:szCs w:val="24"/>
        </w:rPr>
        <w:fldChar w:fldCharType="end"/>
      </w:r>
      <w:r>
        <w:rPr>
          <w:rFonts w:hint="default" w:ascii="Times New Roman" w:hAnsi="Times New Roman" w:cs="Times New Roman"/>
          <w:sz w:val="24"/>
          <w:szCs w:val="24"/>
        </w:rPr>
        <w:t>等有机溶剂。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储运特性：库房通风低温干燥; 与氧化剂、食品添加剂分开存放。</w:t>
      </w:r>
    </w:p>
    <w:p>
      <w:pPr>
        <w:widowControl/>
        <w:shd w:val="clear" w:color="auto" w:fill="FFFFFF"/>
        <w:spacing w:line="360" w:lineRule="auto"/>
        <w:ind w:firstLine="48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健康危害</w:t>
      </w:r>
      <w:r>
        <w:rPr>
          <w:rFonts w:hint="default" w:ascii="Times New Roman" w:hAnsi="Times New Roman" w:cs="Times New Roman"/>
          <w:kern w:val="0"/>
          <w:sz w:val="24"/>
          <w:szCs w:val="24"/>
        </w:rPr>
        <w:t>：吸入、摄入或经皮吸收有害。对眼睛、皮肤和粘膜有强烈的刺激作用。吸入可引起喉、支气管的炎症、化学性肺炎、肺水肿等。本品可引起过敏反应。</w:t>
      </w:r>
    </w:p>
    <w:p>
      <w:pPr>
        <w:widowControl/>
        <w:shd w:val="clear" w:color="auto" w:fill="FFFFFF"/>
        <w:spacing w:line="360" w:lineRule="auto"/>
        <w:ind w:firstLine="48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环境危害</w:t>
      </w:r>
      <w:r>
        <w:rPr>
          <w:rFonts w:hint="default" w:ascii="Times New Roman" w:hAnsi="Times New Roman" w:cs="Times New Roman"/>
          <w:kern w:val="0"/>
          <w:sz w:val="24"/>
          <w:szCs w:val="24"/>
        </w:rPr>
        <w:t>：对环境有危害，对水体可造成污染。</w:t>
      </w:r>
    </w:p>
    <w:p>
      <w:pPr>
        <w:widowControl/>
        <w:shd w:val="clear" w:color="auto" w:fill="FFFFFF"/>
        <w:spacing w:line="360" w:lineRule="auto"/>
        <w:ind w:firstLine="48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燃爆危险</w:t>
      </w:r>
      <w:r>
        <w:rPr>
          <w:rFonts w:hint="default" w:ascii="Times New Roman" w:hAnsi="Times New Roman" w:cs="Times New Roman"/>
          <w:kern w:val="0"/>
          <w:sz w:val="24"/>
          <w:szCs w:val="24"/>
        </w:rPr>
        <w:t>：本品可燃，具强刺激性。</w:t>
      </w:r>
    </w:p>
    <w:p>
      <w:pPr>
        <w:widowControl/>
        <w:shd w:val="clear" w:color="auto" w:fill="FFFFFF"/>
        <w:spacing w:line="360" w:lineRule="auto"/>
        <w:ind w:firstLine="48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危险特性</w:t>
      </w:r>
      <w:r>
        <w:rPr>
          <w:rFonts w:hint="default" w:ascii="Times New Roman" w:hAnsi="Times New Roman" w:cs="Times New Roman"/>
          <w:kern w:val="0"/>
          <w:sz w:val="24"/>
          <w:szCs w:val="24"/>
        </w:rPr>
        <w:t>： 遇明火、高热可燃。与强氧化剂接触可发生化学反应。其蒸气比空气重，能在较低处扩散到相当远的地方，遇火源会燃烧。容易自聚，聚合反应随着温度的上升而急骤加剧。若遇高热，容器内压增大，有开裂和爆炸的危险。</w:t>
      </w:r>
    </w:p>
    <w:p>
      <w:pPr>
        <w:widowControl/>
        <w:shd w:val="clear" w:color="auto" w:fill="FFFFFF"/>
        <w:spacing w:line="360" w:lineRule="auto"/>
        <w:ind w:firstLine="480"/>
        <w:jc w:val="left"/>
        <w:rPr>
          <w:rFonts w:hint="default" w:ascii="Times New Roman" w:hAnsi="Times New Roman" w:cs="Times New Roman"/>
          <w:kern w:val="0"/>
          <w:sz w:val="24"/>
          <w:szCs w:val="24"/>
        </w:rPr>
      </w:pPr>
      <w:r>
        <w:rPr>
          <w:rFonts w:hint="default" w:ascii="Times New Roman" w:hAnsi="Times New Roman" w:cs="Times New Roman"/>
          <w:b/>
          <w:bCs/>
          <w:kern w:val="0"/>
          <w:sz w:val="24"/>
          <w:szCs w:val="24"/>
        </w:rPr>
        <w:t>职业防护</w:t>
      </w:r>
      <w:r>
        <w:rPr>
          <w:rFonts w:hint="default" w:ascii="Times New Roman" w:hAnsi="Times New Roman" w:cs="Times New Roman"/>
          <w:kern w:val="0"/>
          <w:sz w:val="24"/>
          <w:szCs w:val="24"/>
        </w:rPr>
        <w:t>：戊二醛可引起局部皮肤粘膜刺激，并有报道引起过敏性接触性皮炎、哮喘、鼻出血、鼻炎等， 因此接触戊二醛溶液时应戴厚的橡胶手套和眼罩以防液体溅入眼内。 为了降低室内空气中戊二醛的浓度， 室内必须有良好通风设备；盛放的戊二醛容器上方应配备有局部排风罩，配制溶液、放入和取出物品时必须及时加盖以防戊二醛蒸发。频繁接触戊二醛的特殊人群如护士等，短期会产生致敏现象，对视觉器官和呼吸道危害较大；长期易导致职业性气喘。</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（2）过氧乙酸</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无色液体，有强烈刺激性气味。溶于水、醇、醚、硫酸。属强氧化剂，极不稳定。在-20℃也会爆炸，浓度大于45%就有爆炸性，遇高热、还原剂或有金属离子存在就会引起爆炸。其理化性质如下：</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性状：无色液体，有强烈刺激性气味。</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pH值：&lt;1.5</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熔点（℃）：0.1</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沸点（℃）：105</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相对密度（水=1）：1.15（20℃）</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相对蒸气密度（空气=1）：2.6</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饱和蒸气压（kPa）：2.6（20℃）</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临界压力（MPa）：6.4</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辛醇/水分配系数：-1.07</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闪点（℃）：40.5（℃）</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引燃温度（℃）：200</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溶解性：溶于水，溶于乙醇、乙醚、硫酸</w:t>
      </w:r>
    </w:p>
    <w:p>
      <w:pPr>
        <w:shd w:val="clear" w:color="auto" w:fill="FFFFFF"/>
        <w:spacing w:line="360" w:lineRule="auto"/>
        <w:ind w:firstLine="48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健康危害</w:t>
      </w:r>
      <w:r>
        <w:rPr>
          <w:rFonts w:hint="default" w:ascii="Times New Roman" w:hAnsi="Times New Roman" w:cs="Times New Roman"/>
          <w:kern w:val="0"/>
          <w:sz w:val="24"/>
          <w:szCs w:val="24"/>
        </w:rPr>
        <w:t>：有毒，经口LD50：1540mg/kg（大鼠），经皮LD50：1410mg/kg（兔），吸入LC50：450mg/kg（大鼠）。本品对眼睛、皮肤、粘膜和上呼吸道有强烈刺激作用。吸入后可引起喉、支气管的炎症、水肿、痉挛，化学性肺炎、肺水肿。接触后可引起烧灼感、咳嗽、喘息、喉炎、气短、头痛、恶心和呕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①皮肤/眼睛刺激性</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开放的刺激试验：兔子，皮肤接触：500mg，反应的严重程度：严重。</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标准的Draize试验：兔子，眼睛接触：1mg；反应的严重程度：严重。</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②急性毒性：</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大鼠经口LD50：1540μL/kg；大鼠经吸入LC50：450mg/m3；小鼠经口LC50：210mg/kg；小鼠经静脉LC50：17860μg/kg；兔子经皮肤接触LD50：1410μL/kg；豚鼠经口LD50：10mg/kg；</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③慢性毒性/致癌性 小鼠经皮肤接触TCLo：21mg/kg/26W-I；</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④急性毒性：</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LD50：1540μl（1771mg）/kg（大鼠经口）；1410μl（1622mg）/kg（兔经皮）</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LC50：450mg/m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（大鼠吸入）</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⑤刺激性：家兔经眼：1mg，重度刺激。</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⑥致突变性：DNA损伤：鱼多种途径0.61mg/L（连续20d）。</w:t>
      </w:r>
    </w:p>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sz w:val="24"/>
          <w:szCs w:val="24"/>
        </w:rPr>
        <w:t>燃爆危险</w:t>
      </w:r>
      <w:r>
        <w:rPr>
          <w:rFonts w:hint="default" w:ascii="Times New Roman" w:hAnsi="Times New Roman" w:cs="Times New Roman"/>
          <w:sz w:val="24"/>
          <w:szCs w:val="24"/>
        </w:rPr>
        <w:t>：本品易燃，具爆炸性，具强</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"https://baike.baidu.com/item/%E6%B0%A7%E5%8C%96%E6%80%A7" \t "_blank" </w:instrText>
      </w:r>
      <w:r>
        <w:rPr>
          <w:rFonts w:hint="default" w:ascii="Times New Roman" w:hAnsi="Times New Roman" w:cs="Times New Roman"/>
        </w:rPr>
        <w:fldChar w:fldCharType="separate"/>
      </w:r>
      <w:r>
        <w:rPr>
          <w:rStyle w:val="31"/>
          <w:rFonts w:hint="default" w:ascii="Times New Roman" w:hAnsi="Times New Roman" w:cs="Times New Roman"/>
          <w:color w:val="000000"/>
          <w:sz w:val="24"/>
          <w:szCs w:val="24"/>
        </w:rPr>
        <w:t>氧化性</w:t>
      </w:r>
      <w:r>
        <w:rPr>
          <w:rStyle w:val="31"/>
          <w:rFonts w:hint="default" w:ascii="Times New Roman" w:hAnsi="Times New Roman" w:cs="Times New Roman"/>
          <w:color w:val="000000"/>
          <w:sz w:val="24"/>
          <w:szCs w:val="24"/>
        </w:rPr>
        <w:fldChar w:fldCharType="end"/>
      </w:r>
      <w:r>
        <w:rPr>
          <w:rFonts w:hint="default" w:ascii="Times New Roman" w:hAnsi="Times New Roman" w:cs="Times New Roman"/>
          <w:sz w:val="24"/>
          <w:szCs w:val="24"/>
        </w:rPr>
        <w:t>，强腐蚀性、强刺激性，可致人体灼伤。</w:t>
      </w:r>
    </w:p>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sz w:val="24"/>
          <w:szCs w:val="24"/>
        </w:rPr>
        <w:t>危险特性</w:t>
      </w:r>
      <w:r>
        <w:rPr>
          <w:rFonts w:hint="default" w:ascii="Times New Roman" w:hAnsi="Times New Roman" w:cs="Times New Roman"/>
          <w:sz w:val="24"/>
          <w:szCs w:val="24"/>
        </w:rPr>
        <w:t>：易燃，加热至100℃ 即猛烈分解，遇火或受热、受震都可起爆。与还原剂、促进剂、有机物、可燃物等接触会发生剧烈反应，有燃烧爆炸的危险。有强腐蚀性。</w:t>
      </w:r>
    </w:p>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sz w:val="24"/>
          <w:szCs w:val="24"/>
        </w:rPr>
        <w:t>职业防护</w:t>
      </w:r>
      <w:r>
        <w:rPr>
          <w:rFonts w:hint="default" w:ascii="Times New Roman" w:hAnsi="Times New Roman" w:cs="Times New Roman"/>
          <w:sz w:val="24"/>
          <w:szCs w:val="24"/>
        </w:rPr>
        <w:t>：由于原液为强氧化剂具有较强的腐蚀性,因此不可直接用手接触配制溶液时应佩戴橡胶手套,防止药液溅到皮肤上。对金属有腐蚀性，不可用于金属器械的消毒。在做气溶胶喷雾时，操作者应佩戴防护面罩，也可采用口罩、帽子及游泳镜替代，不可直接对人喷洒。如药液不慎溅入眼中或皮肤上，应立即用大量清水冲洗。原液贮存放置可以分解，故应注意有效期。原液应贮存于塑料桶内，在阴暗处保存，并远离可燃性物质。其稀释液更易分解，宜随配随用。</w:t>
      </w:r>
    </w:p>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sz w:val="24"/>
          <w:szCs w:val="24"/>
        </w:rPr>
        <w:t>（3）卫可</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卫可Virkon S是药品，外观是粉红/灰色粉末，气味是淡柠檬味，喷雾消毒、饮水消毒、垫料消毒、冲洗水线、洗手等用。广泛用于各种养殖场、孵化场、兽医手术室以及食品加工厂等消毒。</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产品通过增加细胞膜的通透性，造成酶和营养物质流失、病原体溶解破裂，进而杀灭病原体使病原体的蛋白质凝固变性，干扰病原体酶系统的活性、影响其代谢、导致死亡；干扰病原体的DNA和RNA合成，阻碍遗传物质的复制和病原微生物的繁殖。产品特点如下：</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超级广谱——对病毒、细菌、支原体、真菌、霉菌有效；</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高效消毒——本品在水中经链式反应连续产生次氯酸、新生态氧，氧化和氯化病原体；</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使用方便——喷雾、饮水、擦洗、冲淋、水浴及水体消毒、拌料，配有量杯；</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超级安全——无刺激性、</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"https://baike.baidu.com/item/%E8%85%90%E8%9A%80%E6%80%A7" \t "_blank" </w:instrText>
      </w:r>
      <w:r>
        <w:rPr>
          <w:rFonts w:hint="default" w:ascii="Times New Roman" w:hAnsi="Times New Roman" w:cs="Times New Roman"/>
        </w:rPr>
        <w:fldChar w:fldCharType="separate"/>
      </w:r>
      <w:r>
        <w:rPr>
          <w:rStyle w:val="31"/>
          <w:rFonts w:hint="default" w:ascii="Times New Roman" w:hAnsi="Times New Roman" w:cs="Times New Roman"/>
          <w:color w:val="000000"/>
          <w:sz w:val="24"/>
          <w:szCs w:val="24"/>
        </w:rPr>
        <w:t>腐蚀性</w:t>
      </w:r>
      <w:r>
        <w:rPr>
          <w:rStyle w:val="31"/>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，对</w:t>
      </w:r>
      <w:r>
        <w:rPr>
          <w:rFonts w:hint="default" w:ascii="Times New Roman" w:hAnsi="Times New Roman" w:cs="Times New Roman"/>
          <w:sz w:val="24"/>
          <w:szCs w:val="24"/>
        </w:rPr>
        <w:t>环境、水体、食品安全，自然分解；</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表面活性——微生物的生物膜是影响消毒剂效果的因素，含能迅速破坏生物膜的表面活性剂，直接快速杀灭病原微生物；</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作用迅速——5分钟内快速杀灭接触的所有病原微生物；</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超级稳定——稀释液在14天内仍有效。</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消毒方法：</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1）喷雾消毒：</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采用电动喷雾器进行雾化消毒（每天一次），以每平方米喷雾30ML，可喷雾500平方米的畜禽舍；高温季节用电动喷雾器，每15KG水配30克卫可，以每平方米喷雾60ML（目的起到防暑降温的作用）。</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2）当畜禽处于疫情敏感或发病时期：</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使用卫可1：250喷雾消毒，每天2次，连续3-5天，或至疾病减缓及完全控制后恢复正常用法；同时配合卫可1：1000饮水，每天1次；</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注：圈舍消毒时可以关闭部分通风设备，高温季节最好选在清晨、傍晚凉爽时候关闭通风系统操作。</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3）饮水消毒：</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首次清理：圈舍有畜禽的情况下用卫可1：1000于傍晚时候添加一桶（约200公斤）自由饮用，次日早上冲洗管线。连用两次即可。</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4）洗手盆消毒：卫可1：250，5-7天更换一次。</w:t>
      </w:r>
    </w:p>
    <w:p>
      <w:pPr>
        <w:pStyle w:val="68"/>
        <w:overflowPunct w:val="0"/>
        <w:spacing w:line="360" w:lineRule="auto"/>
        <w:outlineLvl w:val="1"/>
        <w:rPr>
          <w:rFonts w:hint="default" w:ascii="Times New Roman" w:hAnsi="Times New Roman" w:eastAsia="宋体" w:cs="Times New Roman"/>
          <w:color w:val="000000"/>
          <w:sz w:val="28"/>
          <w:szCs w:val="28"/>
        </w:rPr>
      </w:pPr>
      <w:bookmarkStart w:id="119" w:name="_Toc13781"/>
      <w:r>
        <w:rPr>
          <w:rFonts w:hint="default" w:ascii="Times New Roman" w:hAnsi="Times New Roman" w:eastAsia="宋体" w:cs="Times New Roman"/>
          <w:color w:val="000000"/>
          <w:sz w:val="28"/>
          <w:szCs w:val="28"/>
        </w:rPr>
        <w:t xml:space="preserve">2.4 </w:t>
      </w:r>
      <w:r>
        <w:rPr>
          <w:rFonts w:hint="default" w:ascii="Times New Roman" w:hAnsi="Times New Roman" w:eastAsia="宋体" w:cs="Times New Roman"/>
          <w:snapToGrid w:val="0"/>
          <w:sz w:val="28"/>
          <w:szCs w:val="28"/>
        </w:rPr>
        <w:t>公用工程及辅助工程</w:t>
      </w:r>
      <w:bookmarkEnd w:id="119"/>
    </w:p>
    <w:p>
      <w:pPr>
        <w:pStyle w:val="68"/>
        <w:overflowPunct w:val="0"/>
        <w:spacing w:line="360" w:lineRule="auto"/>
        <w:ind w:firstLine="482" w:firstLineChars="200"/>
        <w:outlineLvl w:val="2"/>
        <w:rPr>
          <w:rFonts w:hint="default" w:ascii="Times New Roman" w:hAnsi="Times New Roman" w:eastAsia="宋体" w:cs="Times New Roman"/>
          <w:snapToGrid w:val="0"/>
          <w:sz w:val="24"/>
          <w:szCs w:val="24"/>
        </w:rPr>
      </w:pPr>
      <w:bookmarkStart w:id="120" w:name="_Toc27627"/>
      <w:bookmarkStart w:id="121" w:name="_Toc18262"/>
      <w:r>
        <w:rPr>
          <w:rFonts w:hint="default" w:ascii="Times New Roman" w:hAnsi="Times New Roman" w:eastAsia="宋体" w:cs="Times New Roman"/>
          <w:snapToGrid w:val="0"/>
          <w:sz w:val="24"/>
          <w:szCs w:val="24"/>
        </w:rPr>
        <w:t>2.4.1给排水工程</w:t>
      </w:r>
      <w:bookmarkEnd w:id="120"/>
      <w:bookmarkEnd w:id="121"/>
    </w:p>
    <w:p>
      <w:pPr>
        <w:pStyle w:val="68"/>
        <w:overflowPunct w:val="0"/>
        <w:spacing w:line="360" w:lineRule="auto"/>
        <w:ind w:firstLine="482" w:firstLineChars="200"/>
        <w:outlineLvl w:val="9"/>
        <w:rPr>
          <w:rFonts w:hint="default" w:ascii="Times New Roman" w:hAnsi="Times New Roman" w:eastAsia="宋体" w:cs="Times New Roman"/>
          <w:snapToGrid w:val="0"/>
          <w:sz w:val="24"/>
          <w:szCs w:val="24"/>
        </w:rPr>
      </w:pPr>
      <w:bookmarkStart w:id="122" w:name="_Toc2712"/>
      <w:bookmarkStart w:id="123" w:name="_Toc25425"/>
      <w:r>
        <w:rPr>
          <w:rFonts w:hint="default" w:ascii="Times New Roman" w:hAnsi="Times New Roman" w:eastAsia="宋体" w:cs="Times New Roman"/>
          <w:snapToGrid w:val="0"/>
          <w:sz w:val="24"/>
          <w:szCs w:val="24"/>
        </w:rPr>
        <w:t>（1）给水</w:t>
      </w:r>
      <w:bookmarkEnd w:id="122"/>
      <w:bookmarkEnd w:id="123"/>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本项目冬季保暖采用墙体夹心保温板。夏季降温采用水帘降温系统。本项目用水主要为员工生活用水、餐饮用水、养殖用水（包括饮用、圈舍冲洗等）、</w:t>
      </w:r>
      <w:r>
        <w:rPr>
          <w:rFonts w:hint="default" w:ascii="Times New Roman" w:hAnsi="Times New Roman" w:cs="Times New Roman"/>
          <w:color w:val="000000"/>
          <w:sz w:val="24"/>
          <w:szCs w:val="24"/>
        </w:rPr>
        <w:t>水帘降温系统用水、绿化用水。</w:t>
      </w:r>
    </w:p>
    <w:p>
      <w:pPr>
        <w:spacing w:line="360" w:lineRule="auto"/>
        <w:ind w:firstLine="482" w:firstLineChars="200"/>
        <w:jc w:val="left"/>
        <w:rPr>
          <w:rFonts w:hint="default" w:ascii="Times New Roman" w:hAnsi="Times New Roman" w:cs="Times New Roman"/>
          <w:sz w:val="24"/>
          <w:szCs w:val="24"/>
        </w:rPr>
      </w:pPr>
      <w:r>
        <w:rPr>
          <w:rFonts w:hint="default" w:ascii="Times New Roman" w:hAnsi="Times New Roman" w:cs="Times New Roman"/>
          <w:b/>
          <w:sz w:val="24"/>
          <w:szCs w:val="24"/>
        </w:rPr>
        <w:t>生活用水：</w:t>
      </w:r>
      <w:r>
        <w:rPr>
          <w:rFonts w:hint="default" w:ascii="Times New Roman" w:hAnsi="Times New Roman" w:cs="Times New Roman"/>
          <w:sz w:val="24"/>
          <w:szCs w:val="24"/>
        </w:rPr>
        <w:t>本项目有员工20人，其中留宿10人。</w:t>
      </w:r>
      <w:r>
        <w:rPr>
          <w:rFonts w:hint="default" w:ascii="Times New Roman" w:hAnsi="Times New Roman" w:cs="Times New Roman"/>
          <w:color w:val="000000"/>
          <w:sz w:val="24"/>
          <w:szCs w:val="24"/>
        </w:rPr>
        <w:t>参照《四川省用水定额》（修订稿）并结合项目实际情况，不留宿员工用水量按50L/人·d计算，留宿员工用水量按100L/人·d计算。则生活用水量为1.5m³/d，547.5m³/a。</w:t>
      </w:r>
    </w:p>
    <w:p>
      <w:pPr>
        <w:spacing w:line="360" w:lineRule="auto"/>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餐饮用水：</w:t>
      </w:r>
      <w:r>
        <w:rPr>
          <w:rFonts w:hint="default" w:ascii="Times New Roman" w:hAnsi="Times New Roman" w:cs="Times New Roman"/>
          <w:sz w:val="24"/>
          <w:szCs w:val="24"/>
        </w:rPr>
        <w:t>项目设置食堂1座，供工作人员就餐。食堂用水定额按50L/人·d计，全部员工20人均在食堂就餐算，则食堂用水量为1.0m³/d，300m³/a。</w:t>
      </w:r>
      <w:r>
        <w:rPr>
          <w:rFonts w:hint="default" w:ascii="Times New Roman" w:hAnsi="Times New Roman" w:cs="Times New Roman"/>
          <w:b/>
          <w:sz w:val="24"/>
          <w:szCs w:val="24"/>
        </w:rPr>
        <w:t xml:space="preserve">    </w:t>
      </w:r>
    </w:p>
    <w:p>
      <w:pPr>
        <w:spacing w:line="360" w:lineRule="auto"/>
        <w:ind w:firstLine="482" w:firstLineChars="200"/>
        <w:jc w:val="left"/>
        <w:rPr>
          <w:rFonts w:hint="default" w:ascii="Times New Roman" w:hAnsi="Times New Roman" w:cs="Times New Roman"/>
          <w:sz w:val="24"/>
          <w:szCs w:val="24"/>
        </w:rPr>
      </w:pPr>
      <w:r>
        <w:rPr>
          <w:rFonts w:hint="default" w:ascii="Times New Roman" w:hAnsi="Times New Roman" w:cs="Times New Roman"/>
          <w:b/>
          <w:sz w:val="24"/>
          <w:szCs w:val="24"/>
        </w:rPr>
        <w:t>水帘降温系统补充水（夏季）：</w:t>
      </w:r>
      <w:r>
        <w:rPr>
          <w:rFonts w:hint="default" w:ascii="Times New Roman" w:hAnsi="Times New Roman" w:cs="Times New Roman"/>
          <w:sz w:val="24"/>
          <w:szCs w:val="24"/>
        </w:rPr>
        <w:t>项目降温主要为夏季降温，采取水帘降温系统，夏季按92天计。预计用水量为15m³/d，日蒸发量按40%计（6m³）。此类用水设置冷却循环池，循环使用，不外排，每天进行新鲜水的补给。补给量为6m³/d。</w:t>
      </w:r>
    </w:p>
    <w:p>
      <w:pPr>
        <w:spacing w:line="360" w:lineRule="auto"/>
        <w:ind w:firstLine="482" w:firstLineChars="200"/>
        <w:jc w:val="left"/>
        <w:rPr>
          <w:rFonts w:hint="default" w:ascii="Times New Roman" w:hAnsi="Times New Roman" w:cs="Times New Roman"/>
          <w:color w:val="000000"/>
          <w:sz w:val="24"/>
          <w:szCs w:val="24"/>
        </w:rPr>
      </w:pPr>
      <w:r>
        <w:rPr>
          <w:rFonts w:hint="default" w:ascii="Times New Roman" w:hAnsi="Times New Roman" w:cs="Times New Roman"/>
          <w:b/>
          <w:sz w:val="24"/>
          <w:szCs w:val="24"/>
        </w:rPr>
        <w:t>绿化用水：</w:t>
      </w:r>
      <w:r>
        <w:rPr>
          <w:rFonts w:hint="default" w:ascii="Times New Roman" w:hAnsi="Times New Roman" w:cs="Times New Roman"/>
          <w:sz w:val="24"/>
          <w:szCs w:val="24"/>
        </w:rPr>
        <w:t>项目绿化面积</w:t>
      </w:r>
      <w:r>
        <w:rPr>
          <w:rFonts w:hint="default" w:ascii="Times New Roman" w:hAnsi="Times New Roman" w:cs="Times New Roman"/>
          <w:color w:val="000000"/>
          <w:sz w:val="24"/>
          <w:szCs w:val="24"/>
        </w:rPr>
        <w:t>约2000m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，项目绿化用水量按1L/m</w:t>
      </w:r>
      <w:r>
        <w:rPr>
          <w:rFonts w:hint="default" w:ascii="Times New Roman" w:hAnsi="Times New Roman" w:cs="Times New Roman"/>
          <w:color w:val="000000"/>
          <w:sz w:val="24"/>
          <w:szCs w:val="24"/>
          <w:vertAlign w:val="superscript"/>
        </w:rPr>
        <w:t>2</w:t>
      </w:r>
      <w:r>
        <w:rPr>
          <w:rFonts w:hint="default" w:ascii="Times New Roman" w:hAnsi="Times New Roman" w:cs="Times New Roman"/>
          <w:color w:val="000000"/>
          <w:sz w:val="24"/>
          <w:szCs w:val="24"/>
        </w:rPr>
        <w:t>·d计，则用水量为2m³/d。</w:t>
      </w:r>
    </w:p>
    <w:p>
      <w:pPr>
        <w:spacing w:line="360" w:lineRule="auto"/>
        <w:ind w:firstLine="482" w:firstLineChars="200"/>
        <w:jc w:val="left"/>
        <w:rPr>
          <w:rFonts w:hint="default" w:ascii="Times New Roman" w:hAnsi="Times New Roman" w:cs="Times New Roman"/>
          <w:sz w:val="24"/>
          <w:szCs w:val="24"/>
        </w:rPr>
      </w:pPr>
      <w:r>
        <w:rPr>
          <w:rFonts w:hint="default" w:ascii="Times New Roman" w:hAnsi="Times New Roman" w:cs="Times New Roman"/>
          <w:b/>
          <w:sz w:val="24"/>
          <w:szCs w:val="24"/>
        </w:rPr>
        <w:t>养殖用水：</w:t>
      </w:r>
      <w:r>
        <w:rPr>
          <w:rFonts w:hint="default" w:ascii="Times New Roman" w:hAnsi="Times New Roman" w:cs="Times New Roman"/>
          <w:sz w:val="24"/>
          <w:szCs w:val="24"/>
        </w:rPr>
        <w:t>养殖废水包含猪只饮用以及圈舍冲洗。</w:t>
      </w:r>
      <w:r>
        <w:rPr>
          <w:rFonts w:hint="default" w:ascii="Times New Roman" w:hAnsi="Times New Roman" w:cs="Times New Roman"/>
          <w:b/>
          <w:sz w:val="24"/>
          <w:szCs w:val="24"/>
        </w:rPr>
        <w:t>猪舍冲洗用水，</w:t>
      </w:r>
      <w:r>
        <w:rPr>
          <w:rFonts w:hint="default" w:ascii="Times New Roman" w:hAnsi="Times New Roman" w:cs="Times New Roman"/>
          <w:sz w:val="24"/>
          <w:szCs w:val="24"/>
        </w:rPr>
        <w:t>每天对猪舍进行冲洗，冲洗用水量按6L/m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·次计，项目猪舍建筑面积为9950m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，则猪舍冲洗用水量为59.7m³/d。</w:t>
      </w:r>
      <w:r>
        <w:rPr>
          <w:rFonts w:hint="default" w:ascii="Times New Roman" w:hAnsi="Times New Roman" w:cs="Times New Roman"/>
          <w:b/>
          <w:sz w:val="24"/>
          <w:szCs w:val="24"/>
        </w:rPr>
        <w:t>猪只饮用，</w:t>
      </w:r>
      <w:r>
        <w:rPr>
          <w:rFonts w:hint="default" w:ascii="Times New Roman" w:hAnsi="Times New Roman" w:cs="Times New Roman"/>
          <w:sz w:val="24"/>
          <w:szCs w:val="24"/>
        </w:rPr>
        <w:t>猪只饮水量与猪的日龄、生产水品、外界温度、水温、供水方式、饲料种类、饲喂方法及猪的活动量有关。根据其他养殖场生猪饲养经验以及国内外研究结论，一般情况下不同品种、性别、生长期猪所需饮水量见下表：</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表2.4-1  不同品种、性别、生长期猪所需饮水量  单位 L/（头·d）</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740"/>
        <w:gridCol w:w="1665"/>
        <w:gridCol w:w="2422"/>
        <w:gridCol w:w="2100"/>
        <w:gridCol w:w="178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1740" w:type="dxa"/>
            <w:tcBorders>
              <w:top w:val="single" w:color="auto" w:sz="12" w:space="0"/>
              <w:left w:val="nil"/>
              <w:bottom w:val="single" w:color="auto" w:sz="8" w:space="0"/>
              <w:right w:val="single" w:color="auto" w:sz="8" w:space="0"/>
            </w:tcBorders>
            <w:vAlign w:val="center"/>
          </w:tcPr>
          <w:p>
            <w:pPr>
              <w:pStyle w:val="61"/>
              <w:snapToGrid w:val="0"/>
              <w:rPr>
                <w:rFonts w:hint="default" w:ascii="Times New Roman" w:hAnsi="Times New Roman" w:cs="Times New Roman"/>
                <w:szCs w:val="21"/>
              </w:rPr>
            </w:pPr>
            <w:r>
              <w:rPr>
                <w:rFonts w:hint="default" w:ascii="Times New Roman" w:hAnsi="Times New Roman" w:cs="Times New Roman"/>
                <w:szCs w:val="21"/>
              </w:rPr>
              <w:t>类别</w:t>
            </w:r>
          </w:p>
        </w:tc>
        <w:tc>
          <w:tcPr>
            <w:tcW w:w="1665" w:type="dxa"/>
            <w:tcBorders>
              <w:top w:val="single" w:color="auto" w:sz="12" w:space="0"/>
              <w:left w:val="single" w:color="auto" w:sz="8" w:space="0"/>
              <w:bottom w:val="single" w:color="auto" w:sz="8" w:space="0"/>
              <w:right w:val="single" w:color="auto" w:sz="8" w:space="0"/>
            </w:tcBorders>
            <w:vAlign w:val="center"/>
          </w:tcPr>
          <w:p>
            <w:pPr>
              <w:pStyle w:val="61"/>
              <w:snapToGrid w:val="0"/>
              <w:rPr>
                <w:rFonts w:hint="default" w:ascii="Times New Roman" w:hAnsi="Times New Roman" w:cs="Times New Roman"/>
                <w:szCs w:val="21"/>
              </w:rPr>
            </w:pPr>
            <w:r>
              <w:rPr>
                <w:rFonts w:hint="default" w:ascii="Times New Roman" w:hAnsi="Times New Roman" w:cs="Times New Roman"/>
                <w:szCs w:val="21"/>
              </w:rPr>
              <w:t>带仔母猪</w:t>
            </w:r>
          </w:p>
        </w:tc>
        <w:tc>
          <w:tcPr>
            <w:tcW w:w="2422" w:type="dxa"/>
            <w:tcBorders>
              <w:top w:val="single" w:color="auto" w:sz="12" w:space="0"/>
              <w:left w:val="single" w:color="auto" w:sz="8" w:space="0"/>
              <w:bottom w:val="single" w:color="auto" w:sz="8" w:space="0"/>
              <w:right w:val="single" w:color="auto" w:sz="8" w:space="0"/>
            </w:tcBorders>
            <w:vAlign w:val="center"/>
          </w:tcPr>
          <w:p>
            <w:pPr>
              <w:pStyle w:val="61"/>
              <w:snapToGrid w:val="0"/>
              <w:rPr>
                <w:rFonts w:hint="default" w:ascii="Times New Roman" w:hAnsi="Times New Roman" w:cs="Times New Roman"/>
                <w:szCs w:val="21"/>
              </w:rPr>
            </w:pPr>
            <w:r>
              <w:rPr>
                <w:rFonts w:hint="default" w:ascii="Times New Roman" w:hAnsi="Times New Roman" w:cs="Times New Roman"/>
                <w:szCs w:val="21"/>
              </w:rPr>
              <w:t>公猪、空怀母猪</w:t>
            </w:r>
          </w:p>
        </w:tc>
        <w:tc>
          <w:tcPr>
            <w:tcW w:w="2100" w:type="dxa"/>
            <w:tcBorders>
              <w:top w:val="single" w:color="auto" w:sz="12" w:space="0"/>
              <w:left w:val="single" w:color="auto" w:sz="8" w:space="0"/>
              <w:bottom w:val="single" w:color="auto" w:sz="8" w:space="0"/>
              <w:right w:val="single" w:color="auto" w:sz="8" w:space="0"/>
            </w:tcBorders>
            <w:vAlign w:val="center"/>
          </w:tcPr>
          <w:p>
            <w:pPr>
              <w:pStyle w:val="61"/>
              <w:snapToGrid w:val="0"/>
              <w:rPr>
                <w:rFonts w:hint="default" w:ascii="Times New Roman" w:hAnsi="Times New Roman" w:cs="Times New Roman"/>
                <w:szCs w:val="21"/>
              </w:rPr>
            </w:pPr>
            <w:r>
              <w:rPr>
                <w:rFonts w:hint="default" w:ascii="Times New Roman" w:hAnsi="Times New Roman" w:cs="Times New Roman"/>
                <w:szCs w:val="21"/>
              </w:rPr>
              <w:t>哺乳母猪</w:t>
            </w:r>
          </w:p>
        </w:tc>
        <w:tc>
          <w:tcPr>
            <w:tcW w:w="1786" w:type="dxa"/>
            <w:tcBorders>
              <w:top w:val="single" w:color="auto" w:sz="12" w:space="0"/>
              <w:left w:val="single" w:color="auto" w:sz="8" w:space="0"/>
              <w:bottom w:val="single" w:color="auto" w:sz="8" w:space="0"/>
              <w:right w:val="nil"/>
            </w:tcBorders>
            <w:vAlign w:val="center"/>
          </w:tcPr>
          <w:p>
            <w:pPr>
              <w:pStyle w:val="61"/>
              <w:snapToGrid w:val="0"/>
              <w:rPr>
                <w:rFonts w:hint="default" w:ascii="Times New Roman" w:hAnsi="Times New Roman" w:cs="Times New Roman"/>
                <w:szCs w:val="21"/>
              </w:rPr>
            </w:pPr>
            <w:r>
              <w:rPr>
                <w:rFonts w:hint="default" w:ascii="Times New Roman" w:hAnsi="Times New Roman" w:cs="Times New Roman"/>
                <w:szCs w:val="21"/>
              </w:rPr>
              <w:t>生长仔猪</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740" w:type="dxa"/>
            <w:tcBorders>
              <w:top w:val="single" w:color="auto" w:sz="8" w:space="0"/>
              <w:left w:val="nil"/>
              <w:bottom w:val="single" w:color="auto" w:sz="12" w:space="0"/>
              <w:right w:val="single" w:color="auto" w:sz="8" w:space="0"/>
            </w:tcBorders>
            <w:vAlign w:val="center"/>
          </w:tcPr>
          <w:p>
            <w:pPr>
              <w:pStyle w:val="79"/>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日需饮水量</w:t>
            </w:r>
          </w:p>
        </w:tc>
        <w:tc>
          <w:tcPr>
            <w:tcW w:w="1665" w:type="dxa"/>
            <w:tcBorders>
              <w:top w:val="single" w:color="auto" w:sz="8" w:space="0"/>
              <w:left w:val="single" w:color="auto" w:sz="8" w:space="0"/>
              <w:bottom w:val="single" w:color="auto" w:sz="12" w:space="0"/>
              <w:right w:val="single" w:color="auto" w:sz="8" w:space="0"/>
            </w:tcBorders>
            <w:vAlign w:val="center"/>
          </w:tcPr>
          <w:p>
            <w:pPr>
              <w:pStyle w:val="79"/>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7～15</w:t>
            </w:r>
          </w:p>
        </w:tc>
        <w:tc>
          <w:tcPr>
            <w:tcW w:w="2422" w:type="dxa"/>
            <w:tcBorders>
              <w:top w:val="single" w:color="auto" w:sz="8" w:space="0"/>
              <w:left w:val="single" w:color="auto" w:sz="8" w:space="0"/>
              <w:bottom w:val="single" w:color="auto" w:sz="12" w:space="0"/>
              <w:right w:val="single" w:color="auto" w:sz="8" w:space="0"/>
            </w:tcBorders>
            <w:vAlign w:val="center"/>
          </w:tcPr>
          <w:p>
            <w:pPr>
              <w:pStyle w:val="79"/>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6~12</w:t>
            </w:r>
          </w:p>
        </w:tc>
        <w:tc>
          <w:tcPr>
            <w:tcW w:w="2100" w:type="dxa"/>
            <w:tcBorders>
              <w:top w:val="single" w:color="auto" w:sz="8" w:space="0"/>
              <w:left w:val="single" w:color="auto" w:sz="8" w:space="0"/>
              <w:bottom w:val="single" w:color="auto" w:sz="12" w:space="0"/>
              <w:right w:val="single" w:color="auto" w:sz="8" w:space="0"/>
            </w:tcBorders>
            <w:vAlign w:val="center"/>
          </w:tcPr>
          <w:p>
            <w:pPr>
              <w:pStyle w:val="79"/>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14~29</w:t>
            </w:r>
          </w:p>
        </w:tc>
        <w:tc>
          <w:tcPr>
            <w:tcW w:w="1786" w:type="dxa"/>
            <w:tcBorders>
              <w:top w:val="single" w:color="auto" w:sz="8" w:space="0"/>
              <w:left w:val="single" w:color="auto" w:sz="8" w:space="0"/>
              <w:bottom w:val="single" w:color="auto" w:sz="12" w:space="0"/>
              <w:right w:val="nil"/>
            </w:tcBorders>
            <w:vAlign w:val="center"/>
          </w:tcPr>
          <w:p>
            <w:pPr>
              <w:pStyle w:val="79"/>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3~12</w:t>
            </w:r>
          </w:p>
        </w:tc>
      </w:tr>
    </w:tbl>
    <w:p>
      <w:pPr>
        <w:spacing w:line="360" w:lineRule="auto"/>
        <w:rPr>
          <w:rFonts w:hint="default" w:ascii="Times New Roman" w:hAnsi="Times New Roman" w:cs="Times New Roman"/>
          <w:sz w:val="24"/>
          <w:szCs w:val="24"/>
        </w:rPr>
      </w:pPr>
      <w:r>
        <w:rPr>
          <w:rFonts w:hint="default" w:ascii="Times New Roman" w:hAnsi="Times New Roman" w:cs="Times New Roman"/>
          <w:b/>
        </w:rPr>
        <w:t xml:space="preserve">  </w:t>
      </w:r>
      <w:r>
        <w:rPr>
          <w:rFonts w:hint="default" w:ascii="Times New Roman" w:hAnsi="Times New Roman" w:cs="Times New Roman"/>
          <w:sz w:val="24"/>
          <w:szCs w:val="24"/>
        </w:rPr>
        <w:t xml:space="preserve">  本项目按冬季猪只饮用水平均5L/头·d，春秋季8L/头·d，夏季12L/头·d。则猪只冬季饮用水量为35m³/d，春秋季饮用水量为56m³/d，夏季饮用水量为84m³/d。</w:t>
      </w:r>
    </w:p>
    <w:p>
      <w:pPr>
        <w:spacing w:line="360" w:lineRule="auto"/>
        <w:ind w:firstLine="482" w:firstLineChars="200"/>
        <w:jc w:val="left"/>
        <w:rPr>
          <w:rFonts w:hint="default" w:ascii="Times New Roman" w:hAnsi="Times New Roman" w:cs="Times New Roman"/>
          <w:sz w:val="24"/>
          <w:szCs w:val="24"/>
        </w:rPr>
      </w:pPr>
      <w:r>
        <w:rPr>
          <w:rFonts w:hint="default" w:ascii="Times New Roman" w:hAnsi="Times New Roman" w:cs="Times New Roman"/>
          <w:b/>
          <w:sz w:val="24"/>
          <w:szCs w:val="24"/>
        </w:rPr>
        <w:t>（2）排水</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项目排水采用雨、污分流的方式。雨水通过雨水沟排入附近地表水体。生活污水同养殖废水一起排入污水处理设施处理后，全部用作夹江县三洞镇周冲村村民的林地、</w:t>
      </w:r>
      <w:r>
        <w:rPr>
          <w:rFonts w:hint="default" w:ascii="Times New Roman" w:hAnsi="Times New Roman" w:cs="Times New Roman"/>
          <w:color w:val="auto"/>
          <w:sz w:val="24"/>
          <w:szCs w:val="24"/>
          <w:highlight w:val="none"/>
          <w:lang w:eastAsia="zh-CN"/>
        </w:rPr>
        <w:t>农田</w:t>
      </w:r>
      <w:r>
        <w:rPr>
          <w:rFonts w:hint="default" w:ascii="Times New Roman" w:hAnsi="Times New Roman" w:cs="Times New Roman"/>
          <w:sz w:val="24"/>
          <w:szCs w:val="24"/>
        </w:rPr>
        <w:t>和耕地施肥。餐饮废水经隔油池隔油处理后再进入场内污水管网与生活污水一同进行处理。</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绿化用水被植物吸收或损耗，无废水产生。水帘降温系统用水循环使用，无废水产生。员工生活用水、餐饮用水产污量按0.8计，则生活污水产污量为1.2m³/d，餐饮废水产污量为0.8m³/d，圈舍冲洗用水产污量为0.85，则圈舍冲洗产污量为50.745m³/d。猪尿与猪的品种、性别、生长期、饲料甚至天气等诸多因素有关，但一般波动不会太大。根据有关资料，一般猪的排尿量与饮水量的关系如下公式：</w:t>
      </w:r>
    </w:p>
    <w:p>
      <w:pPr>
        <w:adjustRightInd w:val="0"/>
        <w:snapToGrid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28" o:spt="75" type="#_x0000_t75" style="height:18.15pt;width:101.45pt;" o:ole="t" filled="f" o:preferrelative="t" stroked="f" coordsize="21600,21600">
            <v:path/>
            <v:fill on="f" focussize="0,0"/>
            <v:stroke on="f" joinstyle="miter"/>
            <v:imagedata r:id="rId28" o:title=""/>
            <o:lock v:ext="edit" aspectratio="t"/>
            <w10:wrap type="none"/>
            <w10:anchorlock/>
          </v:shape>
          <o:OLEObject Type="Embed" ProgID="Equation.DSMT4" ShapeID="_x0000_i1028" DrawAspect="Content" ObjectID="_1468075728" r:id="rId27">
            <o:LockedField>false</o:LockedField>
          </o:OLEObject>
        </w:object>
      </w:r>
    </w:p>
    <w:p>
      <w:pPr>
        <w:adjustRightInd w:val="0"/>
        <w:snapToGrid w:val="0"/>
        <w:spacing w:line="360" w:lineRule="auto"/>
        <w:ind w:firstLine="3120" w:firstLineChars="1300"/>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sz w:val="24"/>
          <w:szCs w:val="24"/>
        </w:rPr>
        <w:object>
          <v:shape id="_x0000_i1029" o:spt="75" type="#_x0000_t75" style="height:18.15pt;width:12.5pt;" o:ole="t" filled="f" o:preferrelative="t" stroked="f" coordsize="21600,21600">
            <v:path/>
            <v:fill on="f" focussize="0,0"/>
            <v:stroke on="f" joinstyle="miter"/>
            <v:imagedata r:id="rId30" o:title=""/>
            <o:lock v:ext="edit" aspectratio="t"/>
            <w10:wrap type="none"/>
            <w10:anchorlock/>
          </v:shape>
          <o:OLEObject Type="Embed" ProgID="Equation.DSMT4" ShapeID="_x0000_i1029" DrawAspect="Content" ObjectID="_1468075729" r:id="rId29">
            <o:LockedField>false</o:LockedField>
          </o:OLEObject>
        </w:object>
      </w:r>
      <w:r>
        <w:rPr>
          <w:rFonts w:hint="default" w:ascii="Times New Roman" w:hAnsi="Times New Roman" w:cs="Times New Roman"/>
          <w:sz w:val="24"/>
          <w:szCs w:val="24"/>
        </w:rPr>
        <w:t>——排尿量，kg；</w:t>
      </w:r>
    </w:p>
    <w:p>
      <w:pPr>
        <w:adjustRightInd w:val="0"/>
        <w:snapToGrid w:val="0"/>
        <w:spacing w:line="360" w:lineRule="auto"/>
        <w:ind w:firstLine="3960" w:firstLineChars="1650"/>
        <w:rPr>
          <w:rFonts w:hint="default" w:ascii="Times New Roman" w:hAnsi="Times New Roman" w:cs="Times New Roman"/>
          <w:sz w:val="24"/>
          <w:szCs w:val="24"/>
        </w:rPr>
      </w:pPr>
      <w:r>
        <w:rPr>
          <w:rFonts w:hint="default" w:ascii="Times New Roman" w:hAnsi="Times New Roman" w:cs="Times New Roman"/>
          <w:sz w:val="24"/>
          <w:szCs w:val="24"/>
        </w:rPr>
        <w:t>W——饮水量，kg。</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经计算，本项目冬季猪只排尿量平均为2.3L/头·d，合计16.1m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/d；春秋季猪只排尿量平均为3.5L/头·d，合计24.5m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/d；夏季猪只排尿量平均为5.3L/头·d，合计37.1m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p>
    <w:p>
      <w:pPr>
        <w:spacing w:line="360" w:lineRule="auto"/>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（3）水平衡</w:t>
      </w:r>
    </w:p>
    <w:p>
      <w:pPr>
        <w:spacing w:line="360" w:lineRule="auto"/>
        <w:ind w:firstLine="482" w:firstLineChars="200"/>
        <w:jc w:val="left"/>
        <w:rPr>
          <w:rFonts w:hint="default" w:ascii="Times New Roman" w:hAnsi="Times New Roman" w:cs="Times New Roman"/>
          <w:b/>
          <w:bCs/>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 1 \* GB3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①</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rPr>
        <w:t>冬季</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本项目冬季给水排水具体情况如下表示：</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表2.4-2   项目冬季用水及产污情况表</w:t>
      </w:r>
    </w:p>
    <w:tbl>
      <w:tblPr>
        <w:tblStyle w:val="33"/>
        <w:tblW w:w="9497" w:type="dxa"/>
        <w:jc w:val="center"/>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35"/>
        <w:gridCol w:w="881"/>
        <w:gridCol w:w="1112"/>
        <w:gridCol w:w="879"/>
        <w:gridCol w:w="1544"/>
        <w:gridCol w:w="1658"/>
        <w:gridCol w:w="1073"/>
        <w:gridCol w:w="171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394" w:hRule="exact"/>
          <w:jc w:val="center"/>
        </w:trPr>
        <w:tc>
          <w:tcPr>
            <w:tcW w:w="63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1993" w:type="dxa"/>
            <w:gridSpan w:val="2"/>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用水对象</w:t>
            </w:r>
          </w:p>
        </w:tc>
        <w:tc>
          <w:tcPr>
            <w:tcW w:w="87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规模</w:t>
            </w:r>
          </w:p>
        </w:tc>
        <w:tc>
          <w:tcPr>
            <w:tcW w:w="154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用水标准</w:t>
            </w:r>
          </w:p>
        </w:tc>
        <w:tc>
          <w:tcPr>
            <w:tcW w:w="165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用水量（m³/d）</w:t>
            </w:r>
          </w:p>
        </w:tc>
        <w:tc>
          <w:tcPr>
            <w:tcW w:w="107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产污系数</w:t>
            </w:r>
          </w:p>
        </w:tc>
        <w:tc>
          <w:tcPr>
            <w:tcW w:w="171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排水量（m</w:t>
            </w:r>
            <w:r>
              <w:rPr>
                <w:rFonts w:hint="default" w:ascii="Times New Roman" w:hAnsi="Times New Roman" w:cs="Times New Roman"/>
                <w:szCs w:val="21"/>
                <w:vertAlign w:val="superscript"/>
              </w:rPr>
              <w:t>3</w:t>
            </w:r>
            <w:r>
              <w:rPr>
                <w:rFonts w:hint="default" w:ascii="Times New Roman" w:hAnsi="Times New Roman" w:cs="Times New Roman"/>
                <w:szCs w:val="21"/>
              </w:rPr>
              <w:t>/d）</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17" w:hRule="exact"/>
          <w:jc w:val="center"/>
        </w:trPr>
        <w:tc>
          <w:tcPr>
            <w:tcW w:w="635"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881"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养殖用水</w:t>
            </w:r>
          </w:p>
        </w:tc>
        <w:tc>
          <w:tcPr>
            <w:tcW w:w="111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猪只饮用</w:t>
            </w:r>
          </w:p>
        </w:tc>
        <w:tc>
          <w:tcPr>
            <w:tcW w:w="87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7000头</w:t>
            </w:r>
          </w:p>
        </w:tc>
        <w:tc>
          <w:tcPr>
            <w:tcW w:w="154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5L/头·d</w:t>
            </w:r>
          </w:p>
        </w:tc>
        <w:tc>
          <w:tcPr>
            <w:tcW w:w="165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35</w:t>
            </w:r>
          </w:p>
        </w:tc>
        <w:tc>
          <w:tcPr>
            <w:tcW w:w="107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71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16.1</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392" w:hRule="exact"/>
          <w:jc w:val="center"/>
        </w:trPr>
        <w:tc>
          <w:tcPr>
            <w:tcW w:w="635" w:type="dxa"/>
            <w:vMerge w:val="continue"/>
            <w:tcBorders>
              <w:tl2br w:val="nil"/>
              <w:tr2bl w:val="nil"/>
            </w:tcBorders>
            <w:vAlign w:val="center"/>
          </w:tcPr>
          <w:p>
            <w:pPr>
              <w:jc w:val="center"/>
              <w:rPr>
                <w:rFonts w:hint="default" w:ascii="Times New Roman" w:hAnsi="Times New Roman" w:cs="Times New Roman"/>
                <w:szCs w:val="21"/>
              </w:rPr>
            </w:pPr>
          </w:p>
        </w:tc>
        <w:tc>
          <w:tcPr>
            <w:tcW w:w="881" w:type="dxa"/>
            <w:vMerge w:val="continue"/>
            <w:tcBorders>
              <w:tl2br w:val="nil"/>
              <w:tr2bl w:val="nil"/>
            </w:tcBorders>
            <w:vAlign w:val="center"/>
          </w:tcPr>
          <w:p>
            <w:pPr>
              <w:jc w:val="center"/>
              <w:rPr>
                <w:rFonts w:hint="default" w:ascii="Times New Roman" w:hAnsi="Times New Roman" w:cs="Times New Roman"/>
                <w:szCs w:val="21"/>
              </w:rPr>
            </w:pPr>
          </w:p>
        </w:tc>
        <w:tc>
          <w:tcPr>
            <w:tcW w:w="1112" w:type="dxa"/>
            <w:tcBorders>
              <w:tl2br w:val="nil"/>
              <w:tr2bl w:val="nil"/>
            </w:tcBorders>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圈舍冲洗</w:t>
            </w:r>
          </w:p>
        </w:tc>
        <w:tc>
          <w:tcPr>
            <w:tcW w:w="879" w:type="dxa"/>
            <w:tcBorders>
              <w:tl2br w:val="nil"/>
              <w:tr2bl w:val="nil"/>
            </w:tcBorders>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9950m</w:t>
            </w:r>
            <w:r>
              <w:rPr>
                <w:rFonts w:hint="default" w:ascii="Times New Roman" w:hAnsi="Times New Roman" w:cs="Times New Roman"/>
                <w:szCs w:val="21"/>
                <w:highlight w:val="none"/>
                <w:vertAlign w:val="superscript"/>
              </w:rPr>
              <w:t>2</w:t>
            </w:r>
          </w:p>
        </w:tc>
        <w:tc>
          <w:tcPr>
            <w:tcW w:w="154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6L/m</w:t>
            </w:r>
            <w:r>
              <w:rPr>
                <w:rFonts w:hint="default" w:ascii="Times New Roman" w:hAnsi="Times New Roman" w:cs="Times New Roman"/>
                <w:szCs w:val="21"/>
                <w:vertAlign w:val="superscript"/>
              </w:rPr>
              <w:t>2</w:t>
            </w:r>
            <w:r>
              <w:rPr>
                <w:rFonts w:hint="default" w:ascii="Times New Roman" w:hAnsi="Times New Roman" w:cs="Times New Roman"/>
                <w:szCs w:val="21"/>
              </w:rPr>
              <w:t>·d</w:t>
            </w:r>
          </w:p>
        </w:tc>
        <w:tc>
          <w:tcPr>
            <w:tcW w:w="165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59.7</w:t>
            </w:r>
          </w:p>
        </w:tc>
        <w:tc>
          <w:tcPr>
            <w:tcW w:w="107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0.85</w:t>
            </w:r>
          </w:p>
        </w:tc>
        <w:tc>
          <w:tcPr>
            <w:tcW w:w="171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50.745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349" w:hRule="exact"/>
          <w:jc w:val="center"/>
        </w:trPr>
        <w:tc>
          <w:tcPr>
            <w:tcW w:w="635"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881"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生活用水</w:t>
            </w:r>
          </w:p>
        </w:tc>
        <w:tc>
          <w:tcPr>
            <w:tcW w:w="111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留宿</w:t>
            </w:r>
          </w:p>
        </w:tc>
        <w:tc>
          <w:tcPr>
            <w:tcW w:w="87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10人</w:t>
            </w:r>
          </w:p>
        </w:tc>
        <w:tc>
          <w:tcPr>
            <w:tcW w:w="154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100L/人•d</w:t>
            </w:r>
          </w:p>
        </w:tc>
        <w:tc>
          <w:tcPr>
            <w:tcW w:w="165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1073"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0.8</w:t>
            </w:r>
          </w:p>
        </w:tc>
        <w:tc>
          <w:tcPr>
            <w:tcW w:w="171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0.8</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19" w:hRule="exact"/>
          <w:jc w:val="center"/>
        </w:trPr>
        <w:tc>
          <w:tcPr>
            <w:tcW w:w="635" w:type="dxa"/>
            <w:vMerge w:val="continue"/>
            <w:tcBorders>
              <w:tl2br w:val="nil"/>
              <w:tr2bl w:val="nil"/>
            </w:tcBorders>
            <w:vAlign w:val="center"/>
          </w:tcPr>
          <w:p>
            <w:pPr>
              <w:jc w:val="center"/>
              <w:rPr>
                <w:rFonts w:hint="default" w:ascii="Times New Roman" w:hAnsi="Times New Roman" w:cs="Times New Roman"/>
                <w:szCs w:val="21"/>
              </w:rPr>
            </w:pPr>
          </w:p>
        </w:tc>
        <w:tc>
          <w:tcPr>
            <w:tcW w:w="881" w:type="dxa"/>
            <w:vMerge w:val="continue"/>
            <w:tcBorders>
              <w:tl2br w:val="nil"/>
              <w:tr2bl w:val="nil"/>
            </w:tcBorders>
            <w:vAlign w:val="center"/>
          </w:tcPr>
          <w:p>
            <w:pPr>
              <w:jc w:val="center"/>
              <w:rPr>
                <w:rFonts w:hint="default" w:ascii="Times New Roman" w:hAnsi="Times New Roman" w:cs="Times New Roman"/>
                <w:szCs w:val="21"/>
              </w:rPr>
            </w:pPr>
          </w:p>
        </w:tc>
        <w:tc>
          <w:tcPr>
            <w:tcW w:w="111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不留宿</w:t>
            </w:r>
          </w:p>
        </w:tc>
        <w:tc>
          <w:tcPr>
            <w:tcW w:w="87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10人</w:t>
            </w:r>
          </w:p>
        </w:tc>
        <w:tc>
          <w:tcPr>
            <w:tcW w:w="154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50L/人•d</w:t>
            </w:r>
          </w:p>
        </w:tc>
        <w:tc>
          <w:tcPr>
            <w:tcW w:w="165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0.5</w:t>
            </w:r>
          </w:p>
        </w:tc>
        <w:tc>
          <w:tcPr>
            <w:tcW w:w="1073" w:type="dxa"/>
            <w:vMerge w:val="continue"/>
            <w:tcBorders>
              <w:tl2br w:val="nil"/>
              <w:tr2bl w:val="nil"/>
            </w:tcBorders>
            <w:vAlign w:val="center"/>
          </w:tcPr>
          <w:p>
            <w:pPr>
              <w:jc w:val="center"/>
              <w:rPr>
                <w:rFonts w:hint="default" w:ascii="Times New Roman" w:hAnsi="Times New Roman" w:cs="Times New Roman"/>
                <w:szCs w:val="21"/>
              </w:rPr>
            </w:pPr>
          </w:p>
        </w:tc>
        <w:tc>
          <w:tcPr>
            <w:tcW w:w="171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0.4</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19" w:hRule="exact"/>
          <w:jc w:val="center"/>
        </w:trPr>
        <w:tc>
          <w:tcPr>
            <w:tcW w:w="63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1993" w:type="dxa"/>
            <w:gridSpan w:val="2"/>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餐饮用水</w:t>
            </w:r>
          </w:p>
        </w:tc>
        <w:tc>
          <w:tcPr>
            <w:tcW w:w="87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20人</w:t>
            </w:r>
          </w:p>
        </w:tc>
        <w:tc>
          <w:tcPr>
            <w:tcW w:w="154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50L/人•d</w:t>
            </w:r>
          </w:p>
        </w:tc>
        <w:tc>
          <w:tcPr>
            <w:tcW w:w="165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1073" w:type="dxa"/>
            <w:vMerge w:val="continue"/>
            <w:tcBorders>
              <w:tl2br w:val="nil"/>
              <w:tr2bl w:val="nil"/>
            </w:tcBorders>
            <w:vAlign w:val="center"/>
          </w:tcPr>
          <w:p>
            <w:pPr>
              <w:jc w:val="center"/>
              <w:rPr>
                <w:rFonts w:hint="default" w:ascii="Times New Roman" w:hAnsi="Times New Roman" w:cs="Times New Roman"/>
                <w:szCs w:val="21"/>
              </w:rPr>
            </w:pPr>
          </w:p>
        </w:tc>
        <w:tc>
          <w:tcPr>
            <w:tcW w:w="171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0.8</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617" w:hRule="exact"/>
          <w:jc w:val="center"/>
        </w:trPr>
        <w:tc>
          <w:tcPr>
            <w:tcW w:w="63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1993" w:type="dxa"/>
            <w:gridSpan w:val="2"/>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绿化用水</w:t>
            </w:r>
          </w:p>
        </w:tc>
        <w:tc>
          <w:tcPr>
            <w:tcW w:w="879"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2000m</w:t>
            </w:r>
            <w:r>
              <w:rPr>
                <w:rFonts w:hint="default" w:ascii="Times New Roman" w:hAnsi="Times New Roman" w:cs="Times New Roman"/>
                <w:szCs w:val="21"/>
                <w:vertAlign w:val="superscript"/>
              </w:rPr>
              <w:t>2</w:t>
            </w:r>
          </w:p>
        </w:tc>
        <w:tc>
          <w:tcPr>
            <w:tcW w:w="1544"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1L/m</w:t>
            </w:r>
            <w:r>
              <w:rPr>
                <w:rFonts w:hint="default" w:ascii="Times New Roman" w:hAnsi="Times New Roman" w:cs="Times New Roman"/>
                <w:szCs w:val="21"/>
                <w:vertAlign w:val="superscript"/>
              </w:rPr>
              <w:t>2</w:t>
            </w:r>
            <w:r>
              <w:rPr>
                <w:rFonts w:hint="default" w:ascii="Times New Roman" w:hAnsi="Times New Roman" w:cs="Times New Roman"/>
                <w:szCs w:val="21"/>
              </w:rPr>
              <w:t>·d（两天一次）</w:t>
            </w:r>
          </w:p>
        </w:tc>
        <w:tc>
          <w:tcPr>
            <w:tcW w:w="165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07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71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27" w:hRule="exact"/>
          <w:jc w:val="center"/>
        </w:trPr>
        <w:tc>
          <w:tcPr>
            <w:tcW w:w="63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1993" w:type="dxa"/>
            <w:gridSpan w:val="2"/>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未预见用水</w:t>
            </w:r>
          </w:p>
        </w:tc>
        <w:tc>
          <w:tcPr>
            <w:tcW w:w="2423" w:type="dxa"/>
            <w:gridSpan w:val="2"/>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以上用水量的10%</w:t>
            </w:r>
          </w:p>
        </w:tc>
        <w:tc>
          <w:tcPr>
            <w:tcW w:w="165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9.82</w:t>
            </w:r>
          </w:p>
        </w:tc>
        <w:tc>
          <w:tcPr>
            <w:tcW w:w="107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71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29" w:hRule="exact"/>
          <w:jc w:val="center"/>
        </w:trPr>
        <w:tc>
          <w:tcPr>
            <w:tcW w:w="635" w:type="dxa"/>
            <w:tcBorders>
              <w:tl2br w:val="nil"/>
              <w:tr2bl w:val="nil"/>
            </w:tcBorders>
            <w:vAlign w:val="center"/>
          </w:tcPr>
          <w:p>
            <w:pPr>
              <w:jc w:val="center"/>
              <w:rPr>
                <w:rFonts w:hint="default" w:ascii="Times New Roman" w:hAnsi="Times New Roman" w:cs="Times New Roman"/>
                <w:szCs w:val="21"/>
              </w:rPr>
            </w:pPr>
          </w:p>
        </w:tc>
        <w:tc>
          <w:tcPr>
            <w:tcW w:w="4416" w:type="dxa"/>
            <w:gridSpan w:val="4"/>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总  计</w:t>
            </w:r>
          </w:p>
        </w:tc>
        <w:tc>
          <w:tcPr>
            <w:tcW w:w="1658"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108.02</w:t>
            </w:r>
          </w:p>
        </w:tc>
        <w:tc>
          <w:tcPr>
            <w:tcW w:w="1073"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715"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53.568</w:t>
            </w:r>
          </w:p>
        </w:tc>
      </w:tr>
    </w:tbl>
    <w:p>
      <w:pPr>
        <w:keepNext/>
        <w:keepLines/>
        <w:spacing w:line="360" w:lineRule="auto"/>
        <w:ind w:firstLine="480" w:firstLineChars="200"/>
        <w:rPr>
          <w:rFonts w:hint="default" w:ascii="Times New Roman" w:hAnsi="Times New Roman" w:cs="Times New Roman"/>
          <w:szCs w:val="21"/>
        </w:rPr>
      </w:pPr>
      <w:r>
        <w:rPr>
          <w:rFonts w:hint="default" w:ascii="Times New Roman" w:hAnsi="Times New Roman" w:cs="Times New Roman"/>
          <w:sz w:val="24"/>
          <w:szCs w:val="24"/>
        </w:rPr>
        <w:t>冬季水平衡图如下示。</w:t>
      </w:r>
    </w:p>
    <w:p>
      <w:pPr>
        <w:pStyle w:val="2"/>
        <w:jc w:val="center"/>
        <w:rPr>
          <w:rFonts w:hint="default" w:ascii="Times New Roman" w:hAnsi="Times New Roman" w:cs="Times New Roman"/>
        </w:rPr>
      </w:pPr>
      <w:r>
        <w:rPr>
          <w:rFonts w:hint="default" w:ascii="Times New Roman" w:hAnsi="Times New Roman" w:cs="Times New Roman"/>
        </w:rPr>
        <w:object>
          <v:shape id="_x0000_i1030" o:spt="75" type="#_x0000_t75" style="height:254.8pt;width:308.05pt;" o:ole="t" filled="f" o:preferrelative="t" stroked="f" coordsize="21600,21600">
            <v:path/>
            <v:fill on="f" focussize="0,0"/>
            <v:stroke on="f" joinstyle="miter"/>
            <v:imagedata r:id="rId32" o:title=""/>
            <o:lock v:ext="edit" aspectratio="f"/>
            <w10:wrap type="none"/>
            <w10:anchorlock/>
          </v:shape>
          <o:OLEObject Type="Embed" ProgID="Visio.Drawing.15" ShapeID="_x0000_i1030" DrawAspect="Content" ObjectID="_1468075730" r:id="rId31">
            <o:LockedField>false</o:LockedField>
          </o:OLEObject>
        </w:object>
      </w:r>
    </w:p>
    <w:p>
      <w:pPr>
        <w:spacing w:line="360" w:lineRule="auto"/>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图2.4-1  项目冬季水平衡图（单位m</w:t>
      </w:r>
      <w:r>
        <w:rPr>
          <w:rFonts w:hint="default" w:ascii="Times New Roman" w:hAnsi="Times New Roman" w:eastAsia="黑体" w:cs="Times New Roman"/>
          <w:bCs/>
          <w:sz w:val="24"/>
          <w:szCs w:val="24"/>
          <w:vertAlign w:val="superscript"/>
        </w:rPr>
        <w:t>3</w:t>
      </w:r>
      <w:r>
        <w:rPr>
          <w:rFonts w:hint="default" w:ascii="Times New Roman" w:hAnsi="Times New Roman" w:eastAsia="黑体" w:cs="Times New Roman"/>
          <w:bCs/>
          <w:sz w:val="24"/>
          <w:szCs w:val="24"/>
        </w:rPr>
        <w:t>/d）</w:t>
      </w:r>
    </w:p>
    <w:p>
      <w:pPr>
        <w:pStyle w:val="2"/>
        <w:spacing w:line="360" w:lineRule="auto"/>
        <w:ind w:firstLine="482" w:firstLineChars="200"/>
        <w:rPr>
          <w:rFonts w:hint="default" w:ascii="Times New Roman" w:hAnsi="Times New Roman" w:cs="Times New Roman"/>
          <w:b/>
        </w:rPr>
      </w:pPr>
      <w:r>
        <w:rPr>
          <w:rFonts w:hint="default" w:ascii="Times New Roman" w:hAnsi="Times New Roman" w:cs="Times New Roman"/>
          <w:b/>
        </w:rPr>
        <w:fldChar w:fldCharType="begin"/>
      </w:r>
      <w:r>
        <w:rPr>
          <w:rFonts w:hint="default" w:ascii="Times New Roman" w:hAnsi="Times New Roman" w:cs="Times New Roman"/>
          <w:b/>
        </w:rPr>
        <w:instrText xml:space="preserve"> = 2 \* GB3 </w:instrText>
      </w:r>
      <w:r>
        <w:rPr>
          <w:rFonts w:hint="default" w:ascii="Times New Roman" w:hAnsi="Times New Roman" w:cs="Times New Roman"/>
          <w:b/>
        </w:rPr>
        <w:fldChar w:fldCharType="separate"/>
      </w:r>
      <w:r>
        <w:rPr>
          <w:rFonts w:hint="default" w:ascii="Times New Roman" w:hAnsi="Times New Roman" w:cs="Times New Roman"/>
          <w:b/>
        </w:rPr>
        <w:t>②</w:t>
      </w:r>
      <w:r>
        <w:rPr>
          <w:rFonts w:hint="default" w:ascii="Times New Roman" w:hAnsi="Times New Roman" w:cs="Times New Roman"/>
          <w:b/>
        </w:rPr>
        <w:fldChar w:fldCharType="end"/>
      </w:r>
      <w:r>
        <w:rPr>
          <w:rFonts w:hint="default" w:ascii="Times New Roman" w:hAnsi="Times New Roman" w:cs="Times New Roman"/>
          <w:b/>
        </w:rPr>
        <w:t>春秋季</w:t>
      </w:r>
    </w:p>
    <w:p>
      <w:pPr>
        <w:spacing w:line="360" w:lineRule="auto"/>
        <w:ind w:firstLine="420" w:firstLineChars="200"/>
        <w:jc w:val="left"/>
        <w:rPr>
          <w:rFonts w:hint="default" w:ascii="Times New Roman" w:hAnsi="Times New Roman" w:cs="Times New Roman"/>
        </w:rPr>
      </w:pPr>
      <w:r>
        <w:rPr>
          <w:rFonts w:hint="default" w:ascii="Times New Roman" w:hAnsi="Times New Roman" w:cs="Times New Roman"/>
        </w:rPr>
        <w:t>本项目春秋季给水排水具体情况如下表示：</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表2.4-3   项目春秋季用水及产污情况表</w:t>
      </w:r>
    </w:p>
    <w:tbl>
      <w:tblPr>
        <w:tblStyle w:val="33"/>
        <w:tblW w:w="9497"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35"/>
        <w:gridCol w:w="663"/>
        <w:gridCol w:w="1135"/>
        <w:gridCol w:w="1074"/>
        <w:gridCol w:w="1544"/>
        <w:gridCol w:w="1658"/>
        <w:gridCol w:w="1073"/>
        <w:gridCol w:w="17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394" w:hRule="exact"/>
          <w:jc w:val="center"/>
        </w:trPr>
        <w:tc>
          <w:tcPr>
            <w:tcW w:w="6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1798"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用水对象</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规模</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用水标准</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用水量（m³/d）</w:t>
            </w:r>
          </w:p>
        </w:tc>
        <w:tc>
          <w:tcPr>
            <w:tcW w:w="1073" w:type="dxa"/>
            <w:tcBorders>
              <w:left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产污系数</w:t>
            </w: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排水量（m</w:t>
            </w:r>
            <w:r>
              <w:rPr>
                <w:rFonts w:hint="default" w:ascii="Times New Roman" w:hAnsi="Times New Roman" w:cs="Times New Roman"/>
                <w:szCs w:val="21"/>
                <w:vertAlign w:val="superscript"/>
              </w:rPr>
              <w:t>3</w:t>
            </w:r>
            <w:r>
              <w:rPr>
                <w:rFonts w:hint="default" w:ascii="Times New Roman" w:hAnsi="Times New Roman" w:cs="Times New Roman"/>
                <w:szCs w:val="21"/>
              </w:rPr>
              <w:t>/d）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17" w:hRule="exact"/>
          <w:jc w:val="center"/>
        </w:trPr>
        <w:tc>
          <w:tcPr>
            <w:tcW w:w="635"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663" w:type="dxa"/>
            <w:vMerge w:val="restart"/>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养殖用水</w:t>
            </w:r>
          </w:p>
        </w:tc>
        <w:tc>
          <w:tcPr>
            <w:tcW w:w="1135" w:type="dxa"/>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猪只饮用</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7000头</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8L/头·d</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56</w:t>
            </w:r>
          </w:p>
        </w:tc>
        <w:tc>
          <w:tcPr>
            <w:tcW w:w="1073" w:type="dxa"/>
            <w:tcBorders>
              <w:left w:val="single" w:color="auto" w:sz="4" w:space="0"/>
              <w:bottom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715" w:type="dxa"/>
            <w:tcBorders>
              <w:left w:val="single" w:color="auto" w:sz="2" w:space="0"/>
              <w:bottom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392" w:hRule="exact"/>
          <w:jc w:val="center"/>
        </w:trPr>
        <w:tc>
          <w:tcPr>
            <w:tcW w:w="635" w:type="dxa"/>
            <w:vMerge w:val="continue"/>
            <w:vAlign w:val="center"/>
          </w:tcPr>
          <w:p>
            <w:pPr>
              <w:jc w:val="center"/>
              <w:rPr>
                <w:rFonts w:hint="default" w:ascii="Times New Roman" w:hAnsi="Times New Roman" w:cs="Times New Roman"/>
                <w:szCs w:val="21"/>
              </w:rPr>
            </w:pPr>
          </w:p>
        </w:tc>
        <w:tc>
          <w:tcPr>
            <w:tcW w:w="663" w:type="dxa"/>
            <w:vMerge w:val="continue"/>
            <w:tcBorders>
              <w:right w:val="single" w:color="auto" w:sz="4" w:space="0"/>
            </w:tcBorders>
            <w:vAlign w:val="center"/>
          </w:tcPr>
          <w:p>
            <w:pPr>
              <w:jc w:val="center"/>
              <w:rPr>
                <w:rFonts w:hint="default" w:ascii="Times New Roman" w:hAnsi="Times New Roman" w:cs="Times New Roman"/>
                <w:szCs w:val="21"/>
              </w:rPr>
            </w:pPr>
          </w:p>
        </w:tc>
        <w:tc>
          <w:tcPr>
            <w:tcW w:w="1135" w:type="dxa"/>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圈舍冲洗</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9950m</w:t>
            </w:r>
            <w:r>
              <w:rPr>
                <w:rFonts w:hint="default" w:ascii="Times New Roman" w:hAnsi="Times New Roman" w:cs="Times New Roman"/>
                <w:szCs w:val="21"/>
                <w:vertAlign w:val="superscript"/>
              </w:rPr>
              <w:t>2</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6L/m</w:t>
            </w:r>
            <w:r>
              <w:rPr>
                <w:rFonts w:hint="default" w:ascii="Times New Roman" w:hAnsi="Times New Roman" w:cs="Times New Roman"/>
                <w:szCs w:val="21"/>
                <w:vertAlign w:val="superscript"/>
              </w:rPr>
              <w:t>2</w:t>
            </w:r>
            <w:r>
              <w:rPr>
                <w:rFonts w:hint="default" w:ascii="Times New Roman" w:hAnsi="Times New Roman" w:cs="Times New Roman"/>
                <w:szCs w:val="21"/>
              </w:rPr>
              <w:t>·d</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59.7</w:t>
            </w:r>
          </w:p>
        </w:tc>
        <w:tc>
          <w:tcPr>
            <w:tcW w:w="1073" w:type="dxa"/>
            <w:tcBorders>
              <w:top w:val="single" w:color="auto" w:sz="4" w:space="0"/>
              <w:left w:val="single" w:color="auto" w:sz="4" w:space="0"/>
              <w:bottom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0.85</w:t>
            </w:r>
          </w:p>
        </w:tc>
        <w:tc>
          <w:tcPr>
            <w:tcW w:w="1715" w:type="dxa"/>
            <w:tcBorders>
              <w:top w:val="single" w:color="auto" w:sz="4" w:space="0"/>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50.745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349" w:hRule="exact"/>
          <w:jc w:val="center"/>
        </w:trPr>
        <w:tc>
          <w:tcPr>
            <w:tcW w:w="635"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663" w:type="dxa"/>
            <w:vMerge w:val="restart"/>
            <w:tcBorders>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生活用水</w:t>
            </w:r>
          </w:p>
        </w:tc>
        <w:tc>
          <w:tcPr>
            <w:tcW w:w="113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留宿</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10人</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100L/人•d</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1073" w:type="dxa"/>
            <w:vMerge w:val="restart"/>
            <w:tcBorders>
              <w:top w:val="single" w:color="auto" w:sz="4" w:space="0"/>
              <w:left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0.8</w:t>
            </w: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19" w:hRule="exact"/>
          <w:jc w:val="center"/>
        </w:trPr>
        <w:tc>
          <w:tcPr>
            <w:tcW w:w="635" w:type="dxa"/>
            <w:vMerge w:val="continue"/>
            <w:vAlign w:val="center"/>
          </w:tcPr>
          <w:p>
            <w:pPr>
              <w:jc w:val="center"/>
              <w:rPr>
                <w:rFonts w:hint="default" w:ascii="Times New Roman" w:hAnsi="Times New Roman" w:cs="Times New Roman"/>
                <w:szCs w:val="21"/>
              </w:rPr>
            </w:pPr>
          </w:p>
        </w:tc>
        <w:tc>
          <w:tcPr>
            <w:tcW w:w="663" w:type="dxa"/>
            <w:vMerge w:val="continue"/>
            <w:tcBorders>
              <w:right w:val="single" w:color="auto" w:sz="2" w:space="0"/>
            </w:tcBorders>
            <w:vAlign w:val="center"/>
          </w:tcPr>
          <w:p>
            <w:pPr>
              <w:jc w:val="center"/>
              <w:rPr>
                <w:rFonts w:hint="default" w:ascii="Times New Roman" w:hAnsi="Times New Roman" w:cs="Times New Roman"/>
                <w:szCs w:val="21"/>
              </w:rPr>
            </w:pPr>
          </w:p>
        </w:tc>
        <w:tc>
          <w:tcPr>
            <w:tcW w:w="113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不留宿</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10人</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50L/人•d</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0.5</w:t>
            </w:r>
          </w:p>
        </w:tc>
        <w:tc>
          <w:tcPr>
            <w:tcW w:w="1073" w:type="dxa"/>
            <w:vMerge w:val="continue"/>
            <w:tcBorders>
              <w:left w:val="single" w:color="auto" w:sz="4" w:space="0"/>
              <w:right w:val="single" w:color="auto" w:sz="2" w:space="0"/>
            </w:tcBorders>
            <w:vAlign w:val="center"/>
          </w:tcPr>
          <w:p>
            <w:pPr>
              <w:jc w:val="center"/>
              <w:rPr>
                <w:rFonts w:hint="default" w:ascii="Times New Roman" w:hAnsi="Times New Roman" w:cs="Times New Roman"/>
                <w:szCs w:val="21"/>
              </w:rPr>
            </w:pP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19" w:hRule="exact"/>
          <w:jc w:val="center"/>
        </w:trPr>
        <w:tc>
          <w:tcPr>
            <w:tcW w:w="6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1798"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餐饮用水</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20人</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50L/人•d</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1073" w:type="dxa"/>
            <w:vMerge w:val="continue"/>
            <w:tcBorders>
              <w:left w:val="single" w:color="auto" w:sz="4" w:space="0"/>
              <w:right w:val="single" w:color="auto" w:sz="2" w:space="0"/>
            </w:tcBorders>
            <w:vAlign w:val="center"/>
          </w:tcPr>
          <w:p>
            <w:pPr>
              <w:jc w:val="center"/>
              <w:rPr>
                <w:rFonts w:hint="default" w:ascii="Times New Roman" w:hAnsi="Times New Roman" w:cs="Times New Roman"/>
                <w:szCs w:val="21"/>
              </w:rPr>
            </w:pP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617" w:hRule="exact"/>
          <w:jc w:val="center"/>
        </w:trPr>
        <w:tc>
          <w:tcPr>
            <w:tcW w:w="6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1798"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绿化用水</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2000m</w:t>
            </w:r>
            <w:r>
              <w:rPr>
                <w:rFonts w:hint="default" w:ascii="Times New Roman" w:hAnsi="Times New Roman" w:cs="Times New Roman"/>
                <w:szCs w:val="21"/>
                <w:vertAlign w:val="superscript"/>
              </w:rPr>
              <w:t>2</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1L/m</w:t>
            </w:r>
            <w:r>
              <w:rPr>
                <w:rFonts w:hint="default" w:ascii="Times New Roman" w:hAnsi="Times New Roman" w:cs="Times New Roman"/>
                <w:szCs w:val="21"/>
                <w:vertAlign w:val="superscript"/>
              </w:rPr>
              <w:t>2</w:t>
            </w:r>
            <w:r>
              <w:rPr>
                <w:rFonts w:hint="default" w:ascii="Times New Roman" w:hAnsi="Times New Roman" w:cs="Times New Roman"/>
                <w:szCs w:val="21"/>
              </w:rPr>
              <w:t>·d（两天一次）</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073" w:type="dxa"/>
            <w:tcBorders>
              <w:left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27" w:hRule="exact"/>
          <w:jc w:val="center"/>
        </w:trPr>
        <w:tc>
          <w:tcPr>
            <w:tcW w:w="6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1798"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未预见用水</w:t>
            </w:r>
          </w:p>
        </w:tc>
        <w:tc>
          <w:tcPr>
            <w:tcW w:w="2618" w:type="dxa"/>
            <w:gridSpan w:val="2"/>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以上用水量的10%</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11.92</w:t>
            </w:r>
          </w:p>
        </w:tc>
        <w:tc>
          <w:tcPr>
            <w:tcW w:w="1073" w:type="dxa"/>
            <w:tcBorders>
              <w:left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29" w:hRule="exact"/>
          <w:jc w:val="center"/>
        </w:trPr>
        <w:tc>
          <w:tcPr>
            <w:tcW w:w="635" w:type="dxa"/>
            <w:vAlign w:val="center"/>
          </w:tcPr>
          <w:p>
            <w:pPr>
              <w:jc w:val="center"/>
              <w:rPr>
                <w:rFonts w:hint="default" w:ascii="Times New Roman" w:hAnsi="Times New Roman" w:cs="Times New Roman"/>
                <w:szCs w:val="21"/>
              </w:rPr>
            </w:pPr>
          </w:p>
        </w:tc>
        <w:tc>
          <w:tcPr>
            <w:tcW w:w="4416" w:type="dxa"/>
            <w:gridSpan w:val="4"/>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总  计</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131.12</w:t>
            </w:r>
          </w:p>
        </w:tc>
        <w:tc>
          <w:tcPr>
            <w:tcW w:w="1073" w:type="dxa"/>
            <w:tcBorders>
              <w:left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77.245</w:t>
            </w:r>
          </w:p>
        </w:tc>
      </w:tr>
    </w:tbl>
    <w:p>
      <w:pPr>
        <w:pStyle w:val="2"/>
        <w:spacing w:line="360" w:lineRule="auto"/>
        <w:ind w:firstLine="480" w:firstLineChars="200"/>
        <w:rPr>
          <w:rFonts w:hint="default" w:ascii="Times New Roman" w:hAnsi="Times New Roman" w:cs="Times New Roman"/>
          <w:szCs w:val="21"/>
        </w:rPr>
      </w:pPr>
      <w:r>
        <w:rPr>
          <w:rFonts w:hint="default" w:ascii="Times New Roman" w:hAnsi="Times New Roman" w:cs="Times New Roman"/>
          <w:szCs w:val="21"/>
        </w:rPr>
        <w:t>春秋季水平衡图如下示。</w:t>
      </w:r>
    </w:p>
    <w:p>
      <w:pPr>
        <w:pStyle w:val="2"/>
        <w:spacing w:line="360" w:lineRule="auto"/>
        <w:jc w:val="center"/>
        <w:rPr>
          <w:rFonts w:hint="default" w:ascii="Times New Roman" w:hAnsi="Times New Roman" w:cs="Times New Roman"/>
          <w:b/>
          <w:sz w:val="21"/>
          <w:szCs w:val="21"/>
        </w:rPr>
      </w:pPr>
      <w:r>
        <w:rPr>
          <w:rFonts w:hint="default" w:ascii="Times New Roman" w:hAnsi="Times New Roman" w:cs="Times New Roman"/>
        </w:rPr>
        <w:object>
          <v:shape id="_x0000_i1031" o:spt="75" type="#_x0000_t75" style="height:254.8pt;width:308.05pt;" o:ole="t" filled="f" o:preferrelative="t" stroked="f" coordsize="21600,21600">
            <v:path/>
            <v:fill on="f" focussize="0,0"/>
            <v:stroke on="f" joinstyle="miter"/>
            <v:imagedata r:id="rId34" o:title=""/>
            <o:lock v:ext="edit" aspectratio="f"/>
            <w10:wrap type="none"/>
            <w10:anchorlock/>
          </v:shape>
          <o:OLEObject Type="Embed" ProgID="Visio.Drawing.15" ShapeID="_x0000_i1031" DrawAspect="Content" ObjectID="_1468075731" r:id="rId33">
            <o:LockedField>false</o:LockedField>
          </o:OLEObject>
        </w:object>
      </w:r>
    </w:p>
    <w:p>
      <w:pPr>
        <w:spacing w:line="360" w:lineRule="auto"/>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图2.4-2  项目春秋季水平衡图（单位m</w:t>
      </w:r>
      <w:r>
        <w:rPr>
          <w:rFonts w:hint="default" w:ascii="Times New Roman" w:hAnsi="Times New Roman" w:eastAsia="黑体" w:cs="Times New Roman"/>
          <w:bCs/>
          <w:sz w:val="24"/>
          <w:szCs w:val="24"/>
          <w:vertAlign w:val="superscript"/>
        </w:rPr>
        <w:t>3</w:t>
      </w:r>
      <w:r>
        <w:rPr>
          <w:rFonts w:hint="default" w:ascii="Times New Roman" w:hAnsi="Times New Roman" w:eastAsia="黑体" w:cs="Times New Roman"/>
          <w:bCs/>
          <w:sz w:val="24"/>
          <w:szCs w:val="24"/>
        </w:rPr>
        <w:t>/d）</w:t>
      </w:r>
    </w:p>
    <w:p>
      <w:pPr>
        <w:pStyle w:val="2"/>
        <w:spacing w:line="360" w:lineRule="auto"/>
        <w:rPr>
          <w:rFonts w:hint="default" w:ascii="Times New Roman" w:hAnsi="Times New Roman" w:cs="Times New Roman"/>
          <w:b/>
        </w:rPr>
      </w:pPr>
      <w:r>
        <w:rPr>
          <w:rFonts w:hint="default" w:ascii="Times New Roman" w:hAnsi="Times New Roman" w:cs="Times New Roman"/>
        </w:rPr>
        <w:t xml:space="preserve">  </w:t>
      </w:r>
      <w:r>
        <w:rPr>
          <w:rFonts w:hint="default" w:ascii="Times New Roman" w:hAnsi="Times New Roman" w:cs="Times New Roman"/>
          <w:b/>
        </w:rPr>
        <w:t xml:space="preserve"> </w:t>
      </w:r>
      <w:r>
        <w:rPr>
          <w:rFonts w:hint="default" w:ascii="Times New Roman" w:hAnsi="Times New Roman" w:cs="Times New Roman"/>
          <w:b/>
        </w:rPr>
        <w:fldChar w:fldCharType="begin"/>
      </w:r>
      <w:r>
        <w:rPr>
          <w:rFonts w:hint="default" w:ascii="Times New Roman" w:hAnsi="Times New Roman" w:cs="Times New Roman"/>
          <w:b/>
        </w:rPr>
        <w:instrText xml:space="preserve"> = 3 \* GB3 </w:instrText>
      </w:r>
      <w:r>
        <w:rPr>
          <w:rFonts w:hint="default" w:ascii="Times New Roman" w:hAnsi="Times New Roman" w:cs="Times New Roman"/>
          <w:b/>
        </w:rPr>
        <w:fldChar w:fldCharType="separate"/>
      </w:r>
      <w:r>
        <w:rPr>
          <w:rFonts w:hint="default" w:ascii="Times New Roman" w:hAnsi="Times New Roman" w:cs="Times New Roman"/>
          <w:b/>
        </w:rPr>
        <w:t>③</w:t>
      </w:r>
      <w:r>
        <w:rPr>
          <w:rFonts w:hint="default" w:ascii="Times New Roman" w:hAnsi="Times New Roman" w:cs="Times New Roman"/>
          <w:b/>
        </w:rPr>
        <w:fldChar w:fldCharType="end"/>
      </w:r>
      <w:r>
        <w:rPr>
          <w:rFonts w:hint="default" w:ascii="Times New Roman" w:hAnsi="Times New Roman" w:cs="Times New Roman"/>
          <w:b/>
        </w:rPr>
        <w:t>夏季</w:t>
      </w:r>
    </w:p>
    <w:p>
      <w:pPr>
        <w:pStyle w:val="2"/>
        <w:spacing w:line="360" w:lineRule="auto"/>
        <w:ind w:firstLine="360" w:firstLineChars="150"/>
        <w:rPr>
          <w:rFonts w:hint="default" w:ascii="Times New Roman" w:hAnsi="Times New Roman" w:cs="Times New Roman"/>
          <w:b/>
        </w:rPr>
      </w:pPr>
      <w:r>
        <w:rPr>
          <w:rFonts w:hint="default" w:ascii="Times New Roman" w:hAnsi="Times New Roman" w:cs="Times New Roman"/>
        </w:rPr>
        <w:t>本项目夏季给水排水具体情况如下表示：</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表2.4-4  项目夏季用水及产污情况表</w:t>
      </w:r>
    </w:p>
    <w:tbl>
      <w:tblPr>
        <w:tblStyle w:val="33"/>
        <w:tblW w:w="9497"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35"/>
        <w:gridCol w:w="663"/>
        <w:gridCol w:w="1135"/>
        <w:gridCol w:w="1074"/>
        <w:gridCol w:w="1544"/>
        <w:gridCol w:w="1658"/>
        <w:gridCol w:w="1073"/>
        <w:gridCol w:w="17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394" w:hRule="exact"/>
          <w:jc w:val="center"/>
        </w:trPr>
        <w:tc>
          <w:tcPr>
            <w:tcW w:w="6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1798"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用水对象</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规模</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用水标准</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用水量（m³/d）</w:t>
            </w:r>
          </w:p>
        </w:tc>
        <w:tc>
          <w:tcPr>
            <w:tcW w:w="1073" w:type="dxa"/>
            <w:tcBorders>
              <w:left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产污系数</w:t>
            </w: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排水量（m</w:t>
            </w:r>
            <w:r>
              <w:rPr>
                <w:rFonts w:hint="default" w:ascii="Times New Roman" w:hAnsi="Times New Roman" w:cs="Times New Roman"/>
                <w:szCs w:val="21"/>
                <w:vertAlign w:val="superscript"/>
              </w:rPr>
              <w:t>3</w:t>
            </w:r>
            <w:r>
              <w:rPr>
                <w:rFonts w:hint="default" w:ascii="Times New Roman" w:hAnsi="Times New Roman" w:cs="Times New Roman"/>
                <w:szCs w:val="21"/>
              </w:rPr>
              <w:t>/d）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17" w:hRule="exact"/>
          <w:jc w:val="center"/>
        </w:trPr>
        <w:tc>
          <w:tcPr>
            <w:tcW w:w="635"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663" w:type="dxa"/>
            <w:vMerge w:val="restart"/>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养殖用水</w:t>
            </w:r>
          </w:p>
        </w:tc>
        <w:tc>
          <w:tcPr>
            <w:tcW w:w="1135" w:type="dxa"/>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猪只饮用</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7000头</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12L/头·d</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84</w:t>
            </w:r>
          </w:p>
        </w:tc>
        <w:tc>
          <w:tcPr>
            <w:tcW w:w="1073" w:type="dxa"/>
            <w:tcBorders>
              <w:left w:val="single" w:color="auto" w:sz="4" w:space="0"/>
              <w:bottom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715" w:type="dxa"/>
            <w:tcBorders>
              <w:left w:val="single" w:color="auto" w:sz="2" w:space="0"/>
              <w:bottom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37.1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392" w:hRule="exact"/>
          <w:jc w:val="center"/>
        </w:trPr>
        <w:tc>
          <w:tcPr>
            <w:tcW w:w="635" w:type="dxa"/>
            <w:vMerge w:val="continue"/>
            <w:vAlign w:val="center"/>
          </w:tcPr>
          <w:p>
            <w:pPr>
              <w:jc w:val="center"/>
              <w:rPr>
                <w:rFonts w:hint="default" w:ascii="Times New Roman" w:hAnsi="Times New Roman" w:cs="Times New Roman"/>
                <w:szCs w:val="21"/>
              </w:rPr>
            </w:pPr>
          </w:p>
        </w:tc>
        <w:tc>
          <w:tcPr>
            <w:tcW w:w="663" w:type="dxa"/>
            <w:vMerge w:val="continue"/>
            <w:tcBorders>
              <w:right w:val="single" w:color="auto" w:sz="4" w:space="0"/>
            </w:tcBorders>
            <w:vAlign w:val="center"/>
          </w:tcPr>
          <w:p>
            <w:pPr>
              <w:jc w:val="center"/>
              <w:rPr>
                <w:rFonts w:hint="default" w:ascii="Times New Roman" w:hAnsi="Times New Roman" w:cs="Times New Roman"/>
                <w:szCs w:val="21"/>
              </w:rPr>
            </w:pPr>
          </w:p>
        </w:tc>
        <w:tc>
          <w:tcPr>
            <w:tcW w:w="1135" w:type="dxa"/>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圈舍冲洗</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9950m</w:t>
            </w:r>
            <w:r>
              <w:rPr>
                <w:rFonts w:hint="default" w:ascii="Times New Roman" w:hAnsi="Times New Roman" w:cs="Times New Roman"/>
                <w:szCs w:val="21"/>
                <w:vertAlign w:val="superscript"/>
              </w:rPr>
              <w:t>2</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6L/m</w:t>
            </w:r>
            <w:r>
              <w:rPr>
                <w:rFonts w:hint="default" w:ascii="Times New Roman" w:hAnsi="Times New Roman" w:cs="Times New Roman"/>
                <w:szCs w:val="21"/>
                <w:vertAlign w:val="superscript"/>
              </w:rPr>
              <w:t>2</w:t>
            </w:r>
            <w:r>
              <w:rPr>
                <w:rFonts w:hint="default" w:ascii="Times New Roman" w:hAnsi="Times New Roman" w:cs="Times New Roman"/>
                <w:szCs w:val="21"/>
              </w:rPr>
              <w:t>·d</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59.7</w:t>
            </w:r>
          </w:p>
        </w:tc>
        <w:tc>
          <w:tcPr>
            <w:tcW w:w="1073" w:type="dxa"/>
            <w:tcBorders>
              <w:top w:val="single" w:color="auto" w:sz="4" w:space="0"/>
              <w:left w:val="single" w:color="auto" w:sz="4" w:space="0"/>
              <w:bottom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0.85</w:t>
            </w:r>
          </w:p>
        </w:tc>
        <w:tc>
          <w:tcPr>
            <w:tcW w:w="1715" w:type="dxa"/>
            <w:tcBorders>
              <w:top w:val="single" w:color="auto" w:sz="4" w:space="0"/>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50.745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349" w:hRule="exact"/>
          <w:jc w:val="center"/>
        </w:trPr>
        <w:tc>
          <w:tcPr>
            <w:tcW w:w="635"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663" w:type="dxa"/>
            <w:vMerge w:val="restart"/>
            <w:tcBorders>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生活用水</w:t>
            </w:r>
          </w:p>
        </w:tc>
        <w:tc>
          <w:tcPr>
            <w:tcW w:w="113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留宿</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10人</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100L/人•d</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1073" w:type="dxa"/>
            <w:vMerge w:val="restart"/>
            <w:tcBorders>
              <w:top w:val="single" w:color="auto" w:sz="4" w:space="0"/>
              <w:left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0.8</w:t>
            </w: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19" w:hRule="exact"/>
          <w:jc w:val="center"/>
        </w:trPr>
        <w:tc>
          <w:tcPr>
            <w:tcW w:w="635" w:type="dxa"/>
            <w:vMerge w:val="continue"/>
            <w:vAlign w:val="center"/>
          </w:tcPr>
          <w:p>
            <w:pPr>
              <w:jc w:val="center"/>
              <w:rPr>
                <w:rFonts w:hint="default" w:ascii="Times New Roman" w:hAnsi="Times New Roman" w:cs="Times New Roman"/>
                <w:szCs w:val="21"/>
              </w:rPr>
            </w:pPr>
          </w:p>
        </w:tc>
        <w:tc>
          <w:tcPr>
            <w:tcW w:w="663" w:type="dxa"/>
            <w:vMerge w:val="continue"/>
            <w:tcBorders>
              <w:right w:val="single" w:color="auto" w:sz="2" w:space="0"/>
            </w:tcBorders>
            <w:vAlign w:val="center"/>
          </w:tcPr>
          <w:p>
            <w:pPr>
              <w:jc w:val="center"/>
              <w:rPr>
                <w:rFonts w:hint="default" w:ascii="Times New Roman" w:hAnsi="Times New Roman" w:cs="Times New Roman"/>
                <w:szCs w:val="21"/>
              </w:rPr>
            </w:pPr>
          </w:p>
        </w:tc>
        <w:tc>
          <w:tcPr>
            <w:tcW w:w="113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不留宿</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10人</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50L/人•d</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0.5</w:t>
            </w:r>
          </w:p>
        </w:tc>
        <w:tc>
          <w:tcPr>
            <w:tcW w:w="1073" w:type="dxa"/>
            <w:vMerge w:val="continue"/>
            <w:tcBorders>
              <w:left w:val="single" w:color="auto" w:sz="4" w:space="0"/>
              <w:right w:val="single" w:color="auto" w:sz="2" w:space="0"/>
            </w:tcBorders>
            <w:vAlign w:val="center"/>
          </w:tcPr>
          <w:p>
            <w:pPr>
              <w:jc w:val="center"/>
              <w:rPr>
                <w:rFonts w:hint="default" w:ascii="Times New Roman" w:hAnsi="Times New Roman" w:cs="Times New Roman"/>
                <w:szCs w:val="21"/>
              </w:rPr>
            </w:pP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19" w:hRule="exact"/>
          <w:jc w:val="center"/>
        </w:trPr>
        <w:tc>
          <w:tcPr>
            <w:tcW w:w="6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1798"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餐饮用水</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20人</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50L/人•d</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1073" w:type="dxa"/>
            <w:vMerge w:val="continue"/>
            <w:tcBorders>
              <w:left w:val="single" w:color="auto" w:sz="4" w:space="0"/>
              <w:right w:val="single" w:color="auto" w:sz="2" w:space="0"/>
            </w:tcBorders>
            <w:vAlign w:val="center"/>
          </w:tcPr>
          <w:p>
            <w:pPr>
              <w:jc w:val="center"/>
              <w:rPr>
                <w:rFonts w:hint="default" w:ascii="Times New Roman" w:hAnsi="Times New Roman" w:cs="Times New Roman"/>
                <w:szCs w:val="21"/>
              </w:rPr>
            </w:pP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674" w:hRule="exact"/>
          <w:jc w:val="center"/>
        </w:trPr>
        <w:tc>
          <w:tcPr>
            <w:tcW w:w="6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1798"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水帘降温系统补充水</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6m</w:t>
            </w:r>
            <w:r>
              <w:rPr>
                <w:rFonts w:hint="default" w:ascii="Times New Roman" w:hAnsi="Times New Roman" w:cs="Times New Roman"/>
                <w:szCs w:val="21"/>
                <w:vertAlign w:val="superscript"/>
              </w:rPr>
              <w:t>3</w:t>
            </w:r>
            <w:r>
              <w:rPr>
                <w:rFonts w:hint="default" w:ascii="Times New Roman" w:hAnsi="Times New Roman" w:cs="Times New Roman"/>
                <w:szCs w:val="21"/>
              </w:rPr>
              <w:t>/d</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6</w:t>
            </w:r>
          </w:p>
        </w:tc>
        <w:tc>
          <w:tcPr>
            <w:tcW w:w="1073" w:type="dxa"/>
            <w:tcBorders>
              <w:left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617" w:hRule="exact"/>
          <w:jc w:val="center"/>
        </w:trPr>
        <w:tc>
          <w:tcPr>
            <w:tcW w:w="6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1798"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绿化用水</w:t>
            </w:r>
          </w:p>
        </w:tc>
        <w:tc>
          <w:tcPr>
            <w:tcW w:w="10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2000m</w:t>
            </w:r>
            <w:r>
              <w:rPr>
                <w:rFonts w:hint="default" w:ascii="Times New Roman" w:hAnsi="Times New Roman" w:cs="Times New Roman"/>
                <w:szCs w:val="21"/>
                <w:vertAlign w:val="superscript"/>
              </w:rPr>
              <w:t>2</w:t>
            </w:r>
          </w:p>
        </w:tc>
        <w:tc>
          <w:tcPr>
            <w:tcW w:w="1544" w:type="dxa"/>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1L/m</w:t>
            </w:r>
            <w:r>
              <w:rPr>
                <w:rFonts w:hint="default" w:ascii="Times New Roman" w:hAnsi="Times New Roman" w:cs="Times New Roman"/>
                <w:szCs w:val="21"/>
                <w:vertAlign w:val="superscript"/>
              </w:rPr>
              <w:t>2</w:t>
            </w:r>
            <w:r>
              <w:rPr>
                <w:rFonts w:hint="default" w:ascii="Times New Roman" w:hAnsi="Times New Roman" w:cs="Times New Roman"/>
                <w:szCs w:val="21"/>
              </w:rPr>
              <w:t>·d（两天一次）</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073" w:type="dxa"/>
            <w:tcBorders>
              <w:left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27" w:hRule="exact"/>
          <w:jc w:val="center"/>
        </w:trPr>
        <w:tc>
          <w:tcPr>
            <w:tcW w:w="63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6</w:t>
            </w:r>
          </w:p>
        </w:tc>
        <w:tc>
          <w:tcPr>
            <w:tcW w:w="1798"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未预见用水</w:t>
            </w:r>
          </w:p>
        </w:tc>
        <w:tc>
          <w:tcPr>
            <w:tcW w:w="2618" w:type="dxa"/>
            <w:gridSpan w:val="2"/>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以上用水量的10%</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15.32</w:t>
            </w:r>
          </w:p>
        </w:tc>
        <w:tc>
          <w:tcPr>
            <w:tcW w:w="1073" w:type="dxa"/>
            <w:tcBorders>
              <w:left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cantSplit/>
          <w:trHeight w:val="429" w:hRule="exact"/>
          <w:jc w:val="center"/>
        </w:trPr>
        <w:tc>
          <w:tcPr>
            <w:tcW w:w="635" w:type="dxa"/>
            <w:vAlign w:val="center"/>
          </w:tcPr>
          <w:p>
            <w:pPr>
              <w:jc w:val="center"/>
              <w:rPr>
                <w:rFonts w:hint="default" w:ascii="Times New Roman" w:hAnsi="Times New Roman" w:cs="Times New Roman"/>
                <w:szCs w:val="21"/>
              </w:rPr>
            </w:pPr>
          </w:p>
        </w:tc>
        <w:tc>
          <w:tcPr>
            <w:tcW w:w="4416" w:type="dxa"/>
            <w:gridSpan w:val="4"/>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总  计</w:t>
            </w:r>
          </w:p>
        </w:tc>
        <w:tc>
          <w:tcPr>
            <w:tcW w:w="165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168.52</w:t>
            </w:r>
          </w:p>
        </w:tc>
        <w:tc>
          <w:tcPr>
            <w:tcW w:w="1073" w:type="dxa"/>
            <w:tcBorders>
              <w:left w:val="single" w:color="auto" w:sz="4" w:space="0"/>
              <w:righ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715" w:type="dxa"/>
            <w:tcBorders>
              <w:left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89.845</w:t>
            </w:r>
          </w:p>
        </w:tc>
      </w:tr>
    </w:tbl>
    <w:p>
      <w:pPr>
        <w:pStyle w:val="2"/>
        <w:spacing w:line="360" w:lineRule="auto"/>
        <w:ind w:firstLine="480" w:firstLineChars="200"/>
        <w:rPr>
          <w:rFonts w:hint="default" w:ascii="Times New Roman" w:hAnsi="Times New Roman" w:cs="Times New Roman"/>
          <w:b/>
        </w:rPr>
      </w:pPr>
      <w:r>
        <w:rPr>
          <w:rFonts w:hint="default" w:ascii="Times New Roman" w:hAnsi="Times New Roman" w:cs="Times New Roman"/>
          <w:szCs w:val="21"/>
        </w:rPr>
        <w:t>夏季水平衡图如下示。</w:t>
      </w:r>
    </w:p>
    <w:p>
      <w:pPr>
        <w:jc w:val="center"/>
        <w:rPr>
          <w:rFonts w:hint="default" w:ascii="Times New Roman" w:hAnsi="Times New Roman" w:cs="Times New Roman"/>
          <w:b/>
          <w:szCs w:val="21"/>
        </w:rPr>
      </w:pPr>
      <w:r>
        <w:rPr>
          <w:rFonts w:hint="default" w:ascii="Times New Roman" w:hAnsi="Times New Roman" w:cs="Times New Roman"/>
        </w:rPr>
        <w:object>
          <v:shape id="_x0000_i1032" o:spt="75" type="#_x0000_t75" style="height:309.9pt;width:306.15pt;" o:ole="t" filled="f" o:preferrelative="t" stroked="f" coordsize="21600,21600">
            <v:path/>
            <v:fill on="f" focussize="0,0"/>
            <v:stroke on="f" joinstyle="miter"/>
            <v:imagedata r:id="rId36" o:title=""/>
            <o:lock v:ext="edit" aspectratio="f"/>
            <w10:wrap type="none"/>
            <w10:anchorlock/>
          </v:shape>
          <o:OLEObject Type="Embed" ProgID="Visio.Drawing.15" ShapeID="_x0000_i1032" DrawAspect="Content" ObjectID="_1468075732" r:id="rId35">
            <o:LockedField>false</o:LockedField>
          </o:OLEObject>
        </w:object>
      </w:r>
    </w:p>
    <w:p>
      <w:pPr>
        <w:spacing w:line="360" w:lineRule="auto"/>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图2.4-3  项目夏季水平衡图</w:t>
      </w:r>
    </w:p>
    <w:p>
      <w:pPr>
        <w:pStyle w:val="68"/>
        <w:overflowPunct w:val="0"/>
        <w:spacing w:line="360" w:lineRule="auto"/>
        <w:ind w:firstLine="482" w:firstLineChars="200"/>
        <w:outlineLvl w:val="2"/>
        <w:rPr>
          <w:rFonts w:hint="default" w:ascii="Times New Roman" w:hAnsi="Times New Roman" w:eastAsia="宋体" w:cs="Times New Roman"/>
          <w:snapToGrid w:val="0"/>
          <w:sz w:val="24"/>
          <w:szCs w:val="24"/>
        </w:rPr>
      </w:pPr>
      <w:bookmarkStart w:id="124" w:name="_Toc4978"/>
      <w:bookmarkStart w:id="125" w:name="_Toc1608"/>
      <w:r>
        <w:rPr>
          <w:rFonts w:hint="default" w:ascii="Times New Roman" w:hAnsi="Times New Roman" w:eastAsia="宋体" w:cs="Times New Roman"/>
          <w:snapToGrid w:val="0"/>
          <w:sz w:val="24"/>
          <w:szCs w:val="24"/>
        </w:rPr>
        <w:t>2.4.2 供热、降温</w:t>
      </w:r>
      <w:bookmarkEnd w:id="124"/>
      <w:bookmarkEnd w:id="125"/>
    </w:p>
    <w:p>
      <w:pPr>
        <w:spacing w:line="360" w:lineRule="auto"/>
        <w:ind w:firstLine="482"/>
        <w:rPr>
          <w:rFonts w:hint="default" w:ascii="Times New Roman" w:hAnsi="Times New Roman" w:cs="Times New Roman"/>
          <w:color w:val="000000"/>
          <w:sz w:val="24"/>
          <w:szCs w:val="24"/>
        </w:rPr>
      </w:pPr>
      <w:r>
        <w:rPr>
          <w:rFonts w:hint="default" w:ascii="Times New Roman" w:hAnsi="Times New Roman" w:cs="Times New Roman"/>
          <w:sz w:val="24"/>
          <w:szCs w:val="24"/>
        </w:rPr>
        <w:t>项目降温主要为夏季降温，采取水帘降温系统，年使用时间约为92天，降温系统为循环冷却水。为满足猪舍的温度需要，项目采用夹心保温板，主要为刚进场仔猪在遇低温时使用，保温时间20天。</w:t>
      </w:r>
      <w:r>
        <w:rPr>
          <w:rFonts w:hint="default" w:ascii="Times New Roman" w:hAnsi="Times New Roman" w:cs="Times New Roman"/>
          <w:color w:val="000000"/>
          <w:sz w:val="24"/>
          <w:szCs w:val="24"/>
        </w:rPr>
        <w:t>职工生活主要能源为电。</w:t>
      </w:r>
    </w:p>
    <w:p>
      <w:pPr>
        <w:pStyle w:val="68"/>
        <w:overflowPunct w:val="0"/>
        <w:spacing w:line="360" w:lineRule="auto"/>
        <w:ind w:firstLine="482" w:firstLineChars="200"/>
        <w:outlineLvl w:val="2"/>
        <w:rPr>
          <w:rFonts w:hint="default" w:ascii="Times New Roman" w:hAnsi="Times New Roman" w:eastAsia="宋体" w:cs="Times New Roman"/>
          <w:snapToGrid w:val="0"/>
          <w:sz w:val="24"/>
          <w:szCs w:val="24"/>
        </w:rPr>
      </w:pPr>
      <w:bookmarkStart w:id="126" w:name="_Toc4695"/>
      <w:bookmarkStart w:id="127" w:name="_Toc4920"/>
      <w:r>
        <w:rPr>
          <w:rFonts w:hint="default" w:ascii="Times New Roman" w:hAnsi="Times New Roman" w:eastAsia="宋体" w:cs="Times New Roman"/>
          <w:snapToGrid w:val="0"/>
          <w:sz w:val="24"/>
          <w:szCs w:val="24"/>
        </w:rPr>
        <w:t>2.4.3 供电</w:t>
      </w:r>
      <w:bookmarkEnd w:id="126"/>
      <w:bookmarkEnd w:id="127"/>
    </w:p>
    <w:p>
      <w:pPr>
        <w:spacing w:line="360" w:lineRule="auto"/>
        <w:ind w:firstLine="482"/>
        <w:rPr>
          <w:rFonts w:hint="default" w:ascii="Times New Roman" w:hAnsi="Times New Roman" w:cs="Times New Roman"/>
          <w:sz w:val="24"/>
          <w:szCs w:val="24"/>
        </w:rPr>
      </w:pPr>
      <w:r>
        <w:rPr>
          <w:rFonts w:hint="default" w:ascii="Times New Roman" w:hAnsi="Times New Roman" w:cs="Times New Roman"/>
          <w:sz w:val="24"/>
          <w:szCs w:val="24"/>
        </w:rPr>
        <w:t>建设项目电源引自乡镇电网，场区内设配电室供电。</w:t>
      </w:r>
    </w:p>
    <w:p>
      <w:pPr>
        <w:pStyle w:val="68"/>
        <w:overflowPunct w:val="0"/>
        <w:spacing w:line="360" w:lineRule="auto"/>
        <w:ind w:firstLine="482" w:firstLineChars="200"/>
        <w:outlineLvl w:val="2"/>
        <w:rPr>
          <w:rFonts w:hint="default" w:ascii="Times New Roman" w:hAnsi="Times New Roman" w:eastAsia="宋体" w:cs="Times New Roman"/>
          <w:snapToGrid w:val="0"/>
          <w:sz w:val="24"/>
          <w:szCs w:val="24"/>
        </w:rPr>
      </w:pPr>
      <w:bookmarkStart w:id="128" w:name="_Toc20059"/>
      <w:bookmarkStart w:id="129" w:name="_Toc7679"/>
      <w:r>
        <w:rPr>
          <w:rFonts w:hint="default" w:ascii="Times New Roman" w:hAnsi="Times New Roman" w:eastAsia="宋体" w:cs="Times New Roman"/>
          <w:snapToGrid w:val="0"/>
          <w:sz w:val="24"/>
          <w:szCs w:val="24"/>
        </w:rPr>
        <w:t>2.4.4 通风</w:t>
      </w:r>
      <w:bookmarkEnd w:id="128"/>
      <w:bookmarkEnd w:id="129"/>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对饲养场设置通风系统，采取恒温风机控制，风机安装于远离道路一侧，合理安排通风口位置，以加大舍内气流速度，保证气流均匀且能通过猪体周围，保证室内温度稳定。</w:t>
      </w:r>
    </w:p>
    <w:p>
      <w:pPr>
        <w:pStyle w:val="68"/>
        <w:overflowPunct w:val="0"/>
        <w:spacing w:line="360" w:lineRule="auto"/>
        <w:outlineLvl w:val="1"/>
        <w:rPr>
          <w:rFonts w:hint="default" w:ascii="Times New Roman" w:hAnsi="Times New Roman" w:eastAsia="宋体" w:cs="Times New Roman"/>
          <w:color w:val="000000"/>
          <w:sz w:val="28"/>
          <w:szCs w:val="28"/>
        </w:rPr>
      </w:pPr>
      <w:bookmarkStart w:id="130" w:name="_Toc4417"/>
      <w:r>
        <w:rPr>
          <w:rFonts w:hint="default" w:ascii="Times New Roman" w:hAnsi="Times New Roman" w:eastAsia="宋体" w:cs="Times New Roman"/>
          <w:color w:val="000000"/>
          <w:sz w:val="28"/>
          <w:szCs w:val="28"/>
        </w:rPr>
        <w:t>2.5 场区平面布置合理性分析</w:t>
      </w:r>
      <w:bookmarkEnd w:id="130"/>
    </w:p>
    <w:p>
      <w:pPr>
        <w:pStyle w:val="68"/>
        <w:overflowPunct w:val="0"/>
        <w:spacing w:line="360" w:lineRule="auto"/>
        <w:ind w:firstLine="482" w:firstLineChars="200"/>
        <w:outlineLvl w:val="2"/>
        <w:rPr>
          <w:rFonts w:hint="default" w:ascii="Times New Roman" w:hAnsi="Times New Roman" w:eastAsia="宋体" w:cs="Times New Roman"/>
          <w:snapToGrid w:val="0"/>
          <w:sz w:val="24"/>
          <w:szCs w:val="24"/>
        </w:rPr>
      </w:pPr>
      <w:bookmarkStart w:id="131" w:name="_Toc16526"/>
      <w:r>
        <w:rPr>
          <w:rFonts w:hint="default" w:ascii="Times New Roman" w:hAnsi="Times New Roman" w:eastAsia="宋体" w:cs="Times New Roman"/>
          <w:snapToGrid w:val="0"/>
          <w:sz w:val="24"/>
          <w:szCs w:val="24"/>
        </w:rPr>
        <w:t>2.5.1 场区总体布局</w:t>
      </w:r>
      <w:bookmarkEnd w:id="131"/>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场区呈不规则形状，地势教平整。总平面布置上结合场地周围环境情况，按工艺流程顺畅、运输及物流合理、生产管理方便、最大限度节约土地的原则进行布置。整个场区分为办公区、养殖区、粪污处理区设置，功能明确。</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本项目共设有一个出入口，位于场区南侧，连接乡村道路，便于运输。进大门左边为</w:t>
      </w:r>
      <w:r>
        <w:rPr>
          <w:rFonts w:hint="default" w:ascii="Times New Roman" w:hAnsi="Times New Roman" w:cs="Times New Roman"/>
          <w:sz w:val="24"/>
          <w:szCs w:val="24"/>
        </w:rPr>
        <w:t>饲料仓库、消毒房，右边为办公生活区。</w:t>
      </w:r>
      <w:r>
        <w:rPr>
          <w:rFonts w:hint="default" w:ascii="Times New Roman" w:hAnsi="Times New Roman" w:cs="Times New Roman"/>
          <w:color w:val="000000"/>
          <w:sz w:val="24"/>
          <w:szCs w:val="24"/>
        </w:rPr>
        <w:t>正对大门为养殖场内道路，连接场区与乡村道路，便于人流、车流出入。项目养殖区占了整个项目的大部分区域，位于厂区中部，此区域为整个场址中较为平坦的区域，便于土建、减少建设成本，同时可尽可能远离敏感点。粪污处理区域位于项目西侧，办公生活区的西北面。项目整体布设，办公生活区位于整个养殖、粪污处理区域的侧风向；粪污处理区域位于养殖区的上风向。评价要求猪舍以及办公生活区域与粪污处理区域必须设置立体绿化隔离带，降低相互影响。</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总体而言，项目区布设功能明确，互不干扰，在做好相应隔离的防范措施下，内部相互影响较小。</w:t>
      </w:r>
      <w:r>
        <w:rPr>
          <w:rFonts w:hint="default" w:ascii="Times New Roman" w:hAnsi="Times New Roman" w:cs="Times New Roman"/>
          <w:sz w:val="24"/>
          <w:szCs w:val="24"/>
        </w:rPr>
        <w:t>根据项目外环境，项目周边居民点主要位于项目西侧、南侧均分布有住户，西侧住户为项目上风向且海拔较本项目高；项目南侧零星分布有1住户，位于本项目卫生防护距离内，项目业主已与此住户签订了租赁协议，将房屋用于员工日常休息，此</w:t>
      </w:r>
      <w:r>
        <w:rPr>
          <w:rFonts w:hint="default" w:ascii="Times New Roman" w:hAnsi="Times New Roman" w:cs="Times New Roman"/>
          <w:sz w:val="24"/>
          <w:szCs w:val="24"/>
          <w:highlight w:val="none"/>
        </w:rPr>
        <w:t>房</w:t>
      </w:r>
      <w:r>
        <w:rPr>
          <w:rFonts w:hint="default" w:ascii="Times New Roman" w:hAnsi="Times New Roman" w:cs="Times New Roman"/>
          <w:sz w:val="24"/>
          <w:szCs w:val="24"/>
        </w:rPr>
        <w:t>屋位于主导风侧风向，项目运营其污染物经过相应治理后不会影响员工日常生活休息，保证卫生防护距离内无常住居民等。只要本项目加强运营期污染物治理，对周边敏感点的影响较小</w:t>
      </w:r>
      <w:r>
        <w:rPr>
          <w:rFonts w:hint="default" w:ascii="Times New Roman" w:hAnsi="Times New Roman" w:cs="Times New Roman"/>
          <w:color w:val="000000"/>
          <w:sz w:val="24"/>
          <w:szCs w:val="24"/>
        </w:rPr>
        <w:t>。本项目场区在布局上充分考虑了生产工艺的需求，各功能区分布明确，组织协作良好，同时满足消防、运输、卫生等要求。</w:t>
      </w:r>
    </w:p>
    <w:p>
      <w:pPr>
        <w:spacing w:line="360" w:lineRule="auto"/>
        <w:ind w:firstLine="482" w:firstLineChars="200"/>
        <w:outlineLvl w:val="2"/>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2.5.2 场区布局与有关规范要求的符合性</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根据《畜禽养殖业污染防治技术规范》（HJ/T81-2001）中场区布局有关要求，本项目场区布局与其有关要求符合性见表2.5-1。</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表2.5-1   本项目与有关规范场区布局要求符合性分析</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9"/>
        <w:gridCol w:w="4395"/>
        <w:gridCol w:w="3717"/>
        <w:gridCol w:w="8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9" w:type="dxa"/>
            <w:vAlign w:val="center"/>
          </w:tcPr>
          <w:p>
            <w:pPr>
              <w:spacing w:line="276" w:lineRule="auto"/>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序号</w:t>
            </w:r>
          </w:p>
        </w:tc>
        <w:tc>
          <w:tcPr>
            <w:tcW w:w="4395" w:type="dxa"/>
            <w:vAlign w:val="center"/>
          </w:tcPr>
          <w:p>
            <w:pPr>
              <w:spacing w:line="276" w:lineRule="auto"/>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《畜禽养殖业污染防治技术规范》</w:t>
            </w:r>
          </w:p>
          <w:p>
            <w:pPr>
              <w:spacing w:line="276" w:lineRule="auto"/>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（HJ/T81-2001）中布局要求</w:t>
            </w:r>
          </w:p>
        </w:tc>
        <w:tc>
          <w:tcPr>
            <w:tcW w:w="3717" w:type="dxa"/>
            <w:vAlign w:val="center"/>
          </w:tcPr>
          <w:p>
            <w:pPr>
              <w:spacing w:line="276" w:lineRule="auto"/>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本项目情况</w:t>
            </w:r>
          </w:p>
        </w:tc>
        <w:tc>
          <w:tcPr>
            <w:tcW w:w="872" w:type="dxa"/>
            <w:vAlign w:val="center"/>
          </w:tcPr>
          <w:p>
            <w:pPr>
              <w:spacing w:line="276" w:lineRule="auto"/>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9" w:type="dxa"/>
            <w:vAlign w:val="center"/>
          </w:tcPr>
          <w:p>
            <w:pPr>
              <w:spacing w:line="276"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4.1</w:t>
            </w:r>
          </w:p>
        </w:tc>
        <w:tc>
          <w:tcPr>
            <w:tcW w:w="4395" w:type="dxa"/>
            <w:vAlign w:val="center"/>
          </w:tcPr>
          <w:p>
            <w:pPr>
              <w:spacing w:line="276" w:lineRule="auto"/>
              <w:rPr>
                <w:rFonts w:hint="default" w:ascii="Times New Roman" w:hAnsi="Times New Roman" w:cs="Times New Roman"/>
                <w:color w:val="000000"/>
                <w:szCs w:val="21"/>
              </w:rPr>
            </w:pPr>
            <w:r>
              <w:rPr>
                <w:rFonts w:hint="default" w:ascii="Times New Roman" w:hAnsi="Times New Roman" w:cs="Times New Roman"/>
                <w:color w:val="000000"/>
                <w:szCs w:val="21"/>
              </w:rPr>
              <w:t>新建、改建、扩建的畜禽养殖场应实现生产区、生活管理区的隔离，粪便污水处理设施和畜禽尸体焚烧炉应设在养殖场的生产区、生活管理区的常年主导风向的下风向或侧风向处</w:t>
            </w:r>
          </w:p>
        </w:tc>
        <w:tc>
          <w:tcPr>
            <w:tcW w:w="3717" w:type="dxa"/>
            <w:vAlign w:val="center"/>
          </w:tcPr>
          <w:p>
            <w:pPr>
              <w:spacing w:line="276" w:lineRule="auto"/>
              <w:rPr>
                <w:rFonts w:hint="default" w:ascii="Times New Roman" w:hAnsi="Times New Roman" w:cs="Times New Roman"/>
                <w:color w:val="000000"/>
                <w:szCs w:val="21"/>
              </w:rPr>
            </w:pPr>
            <w:r>
              <w:rPr>
                <w:rFonts w:hint="default" w:ascii="Times New Roman" w:hAnsi="Times New Roman" w:cs="Times New Roman"/>
                <w:color w:val="000000"/>
                <w:szCs w:val="21"/>
              </w:rPr>
              <w:t xml:space="preserve">本项目场区布局上实现了生产区和生活区的隔离；污水处理设施位于办公生活区的侧风向上，因地形、地势的限制，其中一栋猪舍位于粪污处理的下风向，评价要求污水处理设施与养殖区设置立体绿化作为屏障，互不干扰。 </w:t>
            </w:r>
          </w:p>
        </w:tc>
        <w:tc>
          <w:tcPr>
            <w:tcW w:w="872" w:type="dxa"/>
            <w:vAlign w:val="center"/>
          </w:tcPr>
          <w:p>
            <w:pPr>
              <w:spacing w:line="276"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9" w:type="dxa"/>
            <w:vAlign w:val="center"/>
          </w:tcPr>
          <w:p>
            <w:pPr>
              <w:spacing w:line="276"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4.2</w:t>
            </w:r>
          </w:p>
        </w:tc>
        <w:tc>
          <w:tcPr>
            <w:tcW w:w="4395" w:type="dxa"/>
            <w:vAlign w:val="center"/>
          </w:tcPr>
          <w:p>
            <w:pPr>
              <w:spacing w:line="276" w:lineRule="auto"/>
              <w:rPr>
                <w:rFonts w:hint="default" w:ascii="Times New Roman" w:hAnsi="Times New Roman" w:cs="Times New Roman"/>
                <w:color w:val="000000"/>
                <w:szCs w:val="21"/>
              </w:rPr>
            </w:pPr>
            <w:r>
              <w:rPr>
                <w:rFonts w:hint="default" w:ascii="Times New Roman" w:hAnsi="Times New Roman" w:cs="Times New Roman"/>
                <w:color w:val="000000"/>
                <w:szCs w:val="21"/>
              </w:rPr>
              <w:t>养殖场的排水系统应实行雨水和污水收集输送系统分离，在场区内外设置的污水收集输送系统，不得采取明沟布设</w:t>
            </w:r>
          </w:p>
        </w:tc>
        <w:tc>
          <w:tcPr>
            <w:tcW w:w="3717" w:type="dxa"/>
            <w:vAlign w:val="center"/>
          </w:tcPr>
          <w:p>
            <w:pPr>
              <w:spacing w:line="276" w:lineRule="auto"/>
              <w:rPr>
                <w:rFonts w:hint="default" w:ascii="Times New Roman" w:hAnsi="Times New Roman" w:cs="Times New Roman"/>
                <w:color w:val="000000"/>
                <w:szCs w:val="21"/>
              </w:rPr>
            </w:pPr>
            <w:r>
              <w:rPr>
                <w:rFonts w:hint="default" w:ascii="Times New Roman" w:hAnsi="Times New Roman" w:cs="Times New Roman"/>
                <w:color w:val="000000"/>
                <w:szCs w:val="21"/>
              </w:rPr>
              <w:t>本项目场区内实行了雨污分流，场区污水收集系统均采用暗沟</w:t>
            </w:r>
          </w:p>
        </w:tc>
        <w:tc>
          <w:tcPr>
            <w:tcW w:w="87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29" w:type="dxa"/>
            <w:vAlign w:val="center"/>
          </w:tcPr>
          <w:p>
            <w:pPr>
              <w:spacing w:line="276"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4.3</w:t>
            </w:r>
          </w:p>
        </w:tc>
        <w:tc>
          <w:tcPr>
            <w:tcW w:w="4395" w:type="dxa"/>
            <w:vAlign w:val="center"/>
          </w:tcPr>
          <w:p>
            <w:pPr>
              <w:spacing w:line="276" w:lineRule="auto"/>
              <w:rPr>
                <w:rFonts w:hint="default" w:ascii="Times New Roman" w:hAnsi="Times New Roman" w:cs="Times New Roman"/>
                <w:color w:val="000000"/>
                <w:szCs w:val="21"/>
              </w:rPr>
            </w:pPr>
            <w:r>
              <w:rPr>
                <w:rFonts w:hint="default" w:ascii="Times New Roman" w:hAnsi="Times New Roman" w:cs="Times New Roman"/>
                <w:color w:val="000000"/>
                <w:szCs w:val="21"/>
              </w:rPr>
              <w:t>新建、改建、扩建的畜禽养殖场应采取干法清粪工艺，采取有效措施将粪及时、单独清除，不可与尿、污水混合排出，并将产生的粪渣及时运至贮存或处理场所，实现日产日清</w:t>
            </w:r>
          </w:p>
        </w:tc>
        <w:tc>
          <w:tcPr>
            <w:tcW w:w="3717" w:type="dxa"/>
            <w:vAlign w:val="center"/>
          </w:tcPr>
          <w:p>
            <w:pPr>
              <w:spacing w:line="276" w:lineRule="auto"/>
              <w:rPr>
                <w:rFonts w:hint="default" w:ascii="Times New Roman" w:hAnsi="Times New Roman" w:cs="Times New Roman"/>
                <w:color w:val="000000"/>
                <w:szCs w:val="21"/>
              </w:rPr>
            </w:pPr>
            <w:r>
              <w:rPr>
                <w:rFonts w:hint="default" w:ascii="Times New Roman" w:hAnsi="Times New Roman" w:cs="Times New Roman"/>
                <w:color w:val="000000"/>
                <w:szCs w:val="21"/>
              </w:rPr>
              <w:t>本项目采用干清粪工艺，粪便经干湿分离后进入污水处理设施处理后，全部用作夹江县三洞镇周冲村村</w:t>
            </w:r>
            <w:r>
              <w:rPr>
                <w:rFonts w:hint="default" w:ascii="Times New Roman" w:hAnsi="Times New Roman" w:cs="Times New Roman"/>
                <w:color w:val="000000"/>
                <w:szCs w:val="21"/>
                <w:highlight w:val="none"/>
              </w:rPr>
              <w:t>民的林地、</w:t>
            </w:r>
            <w:r>
              <w:rPr>
                <w:rFonts w:hint="default" w:ascii="Times New Roman" w:hAnsi="Times New Roman" w:cs="Times New Roman"/>
                <w:color w:val="000000"/>
                <w:szCs w:val="21"/>
                <w:highlight w:val="none"/>
                <w:lang w:eastAsia="zh-CN"/>
              </w:rPr>
              <w:t>农田</w:t>
            </w:r>
            <w:r>
              <w:rPr>
                <w:rFonts w:hint="default" w:ascii="Times New Roman" w:hAnsi="Times New Roman" w:cs="Times New Roman"/>
                <w:color w:val="000000"/>
                <w:szCs w:val="21"/>
                <w:highlight w:val="none"/>
              </w:rPr>
              <w:t>和耕地施肥。</w:t>
            </w:r>
          </w:p>
        </w:tc>
        <w:tc>
          <w:tcPr>
            <w:tcW w:w="87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bl>
    <w:p>
      <w:pPr>
        <w:spacing w:line="360" w:lineRule="auto"/>
        <w:ind w:firstLine="482"/>
        <w:rPr>
          <w:rFonts w:hint="default" w:ascii="Times New Roman" w:hAnsi="Times New Roman" w:cs="Times New Roman"/>
          <w:color w:val="000000"/>
          <w:kern w:val="0"/>
          <w:sz w:val="24"/>
          <w:szCs w:val="24"/>
        </w:rPr>
      </w:pPr>
      <w:r>
        <w:rPr>
          <w:rFonts w:hint="default" w:ascii="Times New Roman" w:hAnsi="Times New Roman" w:cs="Times New Roman"/>
          <w:color w:val="000000"/>
          <w:sz w:val="24"/>
          <w:szCs w:val="24"/>
        </w:rPr>
        <w:t>综上所述，本项目场区布局上满足生产工艺要求，功能区分布明确，组织协作良好，符合《畜禽养殖业污染防治技术规范》（HJ/T81-2001）中场区布局有关要求。因此，从环保角度而言，本项目平面布置是合理的。</w:t>
      </w:r>
    </w:p>
    <w:p>
      <w:pPr>
        <w:spacing w:line="360" w:lineRule="auto"/>
        <w:ind w:firstLine="482"/>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科学、合理的总图布置方案可以节约土地资源，提高生产管理效率，减少生产过程污染物的产生量，降低污染物对周围环境的影响。</w:t>
      </w:r>
      <w:bookmarkStart w:id="132" w:name="_Toc311979790"/>
      <w:bookmarkStart w:id="133" w:name="_Toc13841"/>
      <w:bookmarkStart w:id="134" w:name="_Toc311979904"/>
      <w:bookmarkStart w:id="135" w:name="_Toc311979836"/>
      <w:bookmarkStart w:id="136" w:name="_Toc269400569"/>
      <w:bookmarkStart w:id="137" w:name="_Toc371868937"/>
    </w:p>
    <w:p>
      <w:pPr>
        <w:keepNext w:val="0"/>
        <w:keepLines w:val="0"/>
        <w:pageBreakBefore w:val="0"/>
        <w:widowControl w:val="0"/>
        <w:kinsoku/>
        <w:wordWrap/>
        <w:overflowPunct/>
        <w:topLinePunct w:val="0"/>
        <w:autoSpaceDE/>
        <w:autoSpaceDN/>
        <w:bidi w:val="0"/>
        <w:adjustRightInd/>
        <w:snapToGrid/>
        <w:spacing w:before="0" w:beforeLines="100" w:line="360" w:lineRule="auto"/>
        <w:jc w:val="center"/>
        <w:textAlignment w:val="auto"/>
        <w:outlineLvl w:val="0"/>
        <w:rPr>
          <w:rFonts w:hint="default" w:ascii="Times New Roman" w:hAnsi="Times New Roman" w:eastAsia="宋体" w:cs="Times New Roman"/>
          <w:b/>
          <w:bCs/>
          <w:color w:val="000000"/>
          <w:kern w:val="2"/>
          <w:sz w:val="44"/>
          <w:szCs w:val="44"/>
          <w:lang w:val="en-US" w:eastAsia="zh-CN" w:bidi="ar-SA"/>
        </w:rPr>
      </w:pPr>
      <w:r>
        <w:rPr>
          <w:rFonts w:hint="default" w:ascii="Times New Roman" w:hAnsi="Times New Roman" w:cs="Times New Roman"/>
        </w:rPr>
        <w:br w:type="page"/>
      </w:r>
      <w:bookmarkStart w:id="138" w:name="_Toc3036"/>
      <w:r>
        <w:rPr>
          <w:rFonts w:hint="default" w:ascii="Times New Roman" w:hAnsi="Times New Roman" w:eastAsia="宋体" w:cs="Times New Roman"/>
          <w:b/>
          <w:bCs/>
          <w:color w:val="000000"/>
          <w:kern w:val="2"/>
          <w:sz w:val="44"/>
          <w:szCs w:val="44"/>
          <w:lang w:val="en-US" w:eastAsia="zh-CN" w:bidi="ar-SA"/>
        </w:rPr>
        <w:t>第三章 工程分析</w:t>
      </w:r>
      <w:bookmarkEnd w:id="132"/>
      <w:bookmarkEnd w:id="133"/>
      <w:bookmarkEnd w:id="134"/>
      <w:bookmarkEnd w:id="135"/>
      <w:bookmarkEnd w:id="136"/>
      <w:bookmarkEnd w:id="137"/>
      <w:bookmarkEnd w:id="138"/>
      <w:bookmarkStart w:id="139" w:name="_Toc311979909"/>
      <w:bookmarkStart w:id="140" w:name="_Toc311979795"/>
      <w:bookmarkStart w:id="141" w:name="_Toc371868941"/>
      <w:bookmarkStart w:id="142" w:name="_Toc311979841"/>
      <w:bookmarkStart w:id="143" w:name="_Toc24472"/>
      <w:bookmarkStart w:id="144" w:name="_Toc269400657"/>
    </w:p>
    <w:p>
      <w:pPr>
        <w:spacing w:line="360" w:lineRule="auto"/>
        <w:ind w:firstLine="482"/>
        <w:rPr>
          <w:rFonts w:hint="default" w:ascii="Times New Roman" w:hAnsi="Times New Roman" w:cs="Times New Roman"/>
          <w:sz w:val="24"/>
          <w:szCs w:val="24"/>
          <w:lang w:val="zh-CN"/>
        </w:rPr>
      </w:pPr>
      <w:r>
        <w:rPr>
          <w:rFonts w:hint="default" w:ascii="Times New Roman" w:hAnsi="Times New Roman" w:cs="Times New Roman"/>
          <w:sz w:val="24"/>
          <w:szCs w:val="24"/>
          <w:lang w:val="zh-CN"/>
        </w:rPr>
        <w:t>项目环境影响包括建设施工期和建成营运期。施工期间主要产生噪声、扬尘、固体废弃物、施工废水和废气等污染物，其排放量随施工期的内容不同而有所变化；建成营运期后产生的污染物主要包括废水、固废、噪声、废气等。</w:t>
      </w:r>
    </w:p>
    <w:p>
      <w:pPr>
        <w:pStyle w:val="68"/>
        <w:overflowPunct w:val="0"/>
        <w:spacing w:line="360" w:lineRule="auto"/>
        <w:outlineLvl w:val="1"/>
        <w:rPr>
          <w:rFonts w:hint="default" w:ascii="Times New Roman" w:hAnsi="Times New Roman" w:eastAsia="宋体" w:cs="Times New Roman"/>
          <w:color w:val="000000"/>
          <w:sz w:val="28"/>
          <w:szCs w:val="28"/>
          <w:lang w:val="zh-CN"/>
        </w:rPr>
      </w:pPr>
      <w:bookmarkStart w:id="145" w:name="_Toc6852"/>
      <w:r>
        <w:rPr>
          <w:rFonts w:hint="default" w:ascii="Times New Roman" w:hAnsi="Times New Roman" w:eastAsia="宋体" w:cs="Times New Roman"/>
          <w:color w:val="000000"/>
          <w:sz w:val="28"/>
          <w:szCs w:val="28"/>
          <w:lang w:val="zh-CN"/>
        </w:rPr>
        <w:t>3.1</w:t>
      </w:r>
      <w:r>
        <w:rPr>
          <w:rFonts w:hint="default" w:ascii="Times New Roman" w:hAnsi="Times New Roman" w:eastAsia="宋体" w:cs="Times New Roman"/>
          <w:color w:val="000000"/>
          <w:sz w:val="28"/>
          <w:szCs w:val="28"/>
        </w:rPr>
        <w:t xml:space="preserve"> </w:t>
      </w:r>
      <w:r>
        <w:rPr>
          <w:rFonts w:hint="default" w:ascii="Times New Roman" w:hAnsi="Times New Roman" w:eastAsia="宋体" w:cs="Times New Roman"/>
          <w:color w:val="000000"/>
          <w:sz w:val="28"/>
          <w:szCs w:val="28"/>
          <w:lang w:val="zh-CN"/>
        </w:rPr>
        <w:t>项目用地现状及现有环境遗留问题</w:t>
      </w:r>
      <w:bookmarkEnd w:id="145"/>
    </w:p>
    <w:p>
      <w:pPr>
        <w:spacing w:line="360" w:lineRule="auto"/>
        <w:ind w:firstLine="482"/>
        <w:rPr>
          <w:rFonts w:hint="default" w:ascii="Times New Roman" w:hAnsi="Times New Roman" w:cs="Times New Roman"/>
          <w:sz w:val="24"/>
          <w:szCs w:val="24"/>
          <w:lang w:val="zh-CN"/>
        </w:rPr>
      </w:pPr>
      <w:bookmarkStart w:id="146" w:name="_Toc528252086"/>
      <w:bookmarkStart w:id="147" w:name="_Toc202111884"/>
      <w:bookmarkStart w:id="148" w:name="_Toc202112190"/>
      <w:bookmarkStart w:id="149" w:name="_Toc202780288"/>
      <w:bookmarkStart w:id="150" w:name="_Toc165545400"/>
      <w:r>
        <w:rPr>
          <w:rFonts w:hint="default" w:ascii="Times New Roman" w:hAnsi="Times New Roman" w:cs="Times New Roman"/>
          <w:sz w:val="24"/>
          <w:szCs w:val="24"/>
          <w:lang w:val="zh-CN"/>
        </w:rPr>
        <w:t>本项目选址于</w:t>
      </w:r>
      <w:r>
        <w:rPr>
          <w:rFonts w:hint="default" w:ascii="Times New Roman" w:hAnsi="Times New Roman" w:cs="Times New Roman"/>
          <w:sz w:val="24"/>
          <w:szCs w:val="24"/>
        </w:rPr>
        <w:t>夹江县三洞镇周冲村6社</w:t>
      </w:r>
      <w:r>
        <w:rPr>
          <w:rFonts w:hint="default" w:ascii="Times New Roman" w:hAnsi="Times New Roman" w:cs="Times New Roman"/>
          <w:sz w:val="24"/>
          <w:szCs w:val="24"/>
          <w:lang w:val="zh-CN"/>
        </w:rPr>
        <w:t>，项目用地性质主要为一般林地，未占用基本农田。根据现场踏勘，目前项目地现状主要为杂草、灌木等，无工矿企业。本项目为新建项目，项目用地现状无遗留环境问题。</w:t>
      </w:r>
      <w:bookmarkEnd w:id="146"/>
      <w:bookmarkEnd w:id="147"/>
      <w:bookmarkEnd w:id="148"/>
      <w:bookmarkEnd w:id="149"/>
      <w:bookmarkEnd w:id="150"/>
    </w:p>
    <w:tbl>
      <w:tblPr>
        <w:tblStyle w:val="3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2" w:hRule="atLeast"/>
          <w:jc w:val="center"/>
        </w:trPr>
        <w:tc>
          <w:tcPr>
            <w:tcW w:w="4261" w:type="dxa"/>
          </w:tcPr>
          <w:p>
            <w:pPr>
              <w:pStyle w:val="2"/>
              <w:jc w:val="center"/>
              <w:rPr>
                <w:rFonts w:hint="default" w:ascii="Times New Roman" w:hAnsi="Times New Roman" w:cs="Times New Roman"/>
                <w:lang w:val="zh-CN"/>
              </w:rPr>
            </w:pPr>
          </w:p>
          <w:p>
            <w:pPr>
              <w:pStyle w:val="2"/>
              <w:jc w:val="center"/>
              <w:rPr>
                <w:rFonts w:hint="default" w:ascii="Times New Roman" w:hAnsi="Times New Roman" w:cs="Times New Roman"/>
                <w:lang w:val="zh-CN"/>
              </w:rPr>
            </w:pPr>
            <w:r>
              <w:rPr>
                <w:rFonts w:hint="default" w:ascii="Times New Roman" w:hAnsi="Times New Roman" w:cs="Times New Roman"/>
              </w:rPr>
              <w:drawing>
                <wp:inline distT="0" distB="0" distL="0" distR="0">
                  <wp:extent cx="2417445" cy="1812925"/>
                  <wp:effectExtent l="19050" t="0" r="1905" b="0"/>
                  <wp:docPr id="10" name="图片 74" descr="IMG2018092010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4" descr="IMG20180920102058"/>
                          <pic:cNvPicPr>
                            <a:picLocks noChangeAspect="1" noChangeArrowheads="1"/>
                          </pic:cNvPicPr>
                        </pic:nvPicPr>
                        <pic:blipFill>
                          <a:blip r:embed="rId37" cstate="print"/>
                          <a:srcRect/>
                          <a:stretch>
                            <a:fillRect/>
                          </a:stretch>
                        </pic:blipFill>
                        <pic:spPr>
                          <a:xfrm>
                            <a:off x="0" y="0"/>
                            <a:ext cx="2417445" cy="1812925"/>
                          </a:xfrm>
                          <a:prstGeom prst="rect">
                            <a:avLst/>
                          </a:prstGeom>
                          <a:noFill/>
                          <a:ln w="9525">
                            <a:noFill/>
                            <a:miter lim="800000"/>
                            <a:headEnd/>
                            <a:tailEnd/>
                          </a:ln>
                        </pic:spPr>
                      </pic:pic>
                    </a:graphicData>
                  </a:graphic>
                </wp:inline>
              </w:drawing>
            </w:r>
          </w:p>
        </w:tc>
        <w:tc>
          <w:tcPr>
            <w:tcW w:w="4261" w:type="dxa"/>
          </w:tcPr>
          <w:p>
            <w:pPr>
              <w:pStyle w:val="2"/>
              <w:rPr>
                <w:rFonts w:hint="default" w:ascii="Times New Roman" w:hAnsi="Times New Roman" w:cs="Times New Roman"/>
                <w:lang w:val="zh-CN"/>
              </w:rPr>
            </w:pPr>
          </w:p>
          <w:p>
            <w:pPr>
              <w:pStyle w:val="2"/>
              <w:jc w:val="center"/>
              <w:rPr>
                <w:rFonts w:hint="default" w:ascii="Times New Roman" w:hAnsi="Times New Roman" w:cs="Times New Roman"/>
                <w:lang w:val="zh-CN"/>
              </w:rPr>
            </w:pPr>
            <w:r>
              <w:rPr>
                <w:rFonts w:hint="default" w:ascii="Times New Roman" w:hAnsi="Times New Roman" w:cs="Times New Roman"/>
              </w:rPr>
              <w:drawing>
                <wp:inline distT="0" distB="0" distL="0" distR="0">
                  <wp:extent cx="2417445" cy="1812925"/>
                  <wp:effectExtent l="19050" t="0" r="1905" b="0"/>
                  <wp:docPr id="11" name="图片 35" descr="IMG2018092010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descr="IMG20180920102912"/>
                          <pic:cNvPicPr>
                            <a:picLocks noChangeAspect="1" noChangeArrowheads="1"/>
                          </pic:cNvPicPr>
                        </pic:nvPicPr>
                        <pic:blipFill>
                          <a:blip r:embed="rId38" cstate="print"/>
                          <a:srcRect/>
                          <a:stretch>
                            <a:fillRect/>
                          </a:stretch>
                        </pic:blipFill>
                        <pic:spPr>
                          <a:xfrm>
                            <a:off x="0" y="0"/>
                            <a:ext cx="2417445" cy="1812925"/>
                          </a:xfrm>
                          <a:prstGeom prst="rect">
                            <a:avLst/>
                          </a:prstGeom>
                          <a:noFill/>
                          <a:ln w="9525">
                            <a:noFill/>
                            <a:miter lim="800000"/>
                            <a:headEnd/>
                            <a:tailEnd/>
                          </a:ln>
                          <a:effectLst/>
                        </pic:spPr>
                      </pic:pic>
                    </a:graphicData>
                  </a:graphic>
                </wp:inline>
              </w:drawing>
            </w:r>
          </w:p>
        </w:tc>
      </w:tr>
    </w:tbl>
    <w:p>
      <w:pPr>
        <w:jc w:val="center"/>
        <w:rPr>
          <w:rFonts w:hint="default" w:ascii="Times New Roman" w:hAnsi="Times New Roman" w:eastAsia="黑体" w:cs="Times New Roman"/>
          <w:bCs/>
          <w:sz w:val="24"/>
          <w:szCs w:val="24"/>
          <w:lang w:val="zh-CN"/>
        </w:rPr>
      </w:pPr>
      <w:r>
        <w:rPr>
          <w:rFonts w:hint="default" w:ascii="Times New Roman" w:hAnsi="Times New Roman" w:eastAsia="黑体" w:cs="Times New Roman"/>
          <w:bCs/>
          <w:sz w:val="24"/>
          <w:szCs w:val="24"/>
          <w:lang w:val="zh-CN"/>
        </w:rPr>
        <w:t>图3.1-1  项目用地现状</w:t>
      </w:r>
    </w:p>
    <w:p>
      <w:pPr>
        <w:pStyle w:val="68"/>
        <w:overflowPunct w:val="0"/>
        <w:spacing w:line="360" w:lineRule="auto"/>
        <w:outlineLvl w:val="1"/>
        <w:rPr>
          <w:rFonts w:hint="default" w:ascii="Times New Roman" w:hAnsi="Times New Roman" w:eastAsia="宋体" w:cs="Times New Roman"/>
          <w:color w:val="000000"/>
          <w:sz w:val="28"/>
          <w:szCs w:val="28"/>
          <w:lang w:val="zh-CN"/>
        </w:rPr>
      </w:pPr>
      <w:bookmarkStart w:id="151" w:name="_Toc26180"/>
      <w:r>
        <w:rPr>
          <w:rFonts w:hint="default" w:ascii="Times New Roman" w:hAnsi="Times New Roman" w:eastAsia="宋体" w:cs="Times New Roman"/>
          <w:color w:val="000000"/>
          <w:sz w:val="28"/>
          <w:szCs w:val="28"/>
          <w:lang w:val="zh-CN"/>
        </w:rPr>
        <w:t>3.</w:t>
      </w:r>
      <w:bookmarkEnd w:id="139"/>
      <w:bookmarkEnd w:id="140"/>
      <w:bookmarkEnd w:id="141"/>
      <w:bookmarkEnd w:id="142"/>
      <w:bookmarkEnd w:id="143"/>
      <w:r>
        <w:rPr>
          <w:rFonts w:hint="default" w:ascii="Times New Roman" w:hAnsi="Times New Roman" w:eastAsia="宋体" w:cs="Times New Roman"/>
          <w:color w:val="000000"/>
          <w:sz w:val="28"/>
          <w:szCs w:val="28"/>
          <w:lang w:val="zh-CN"/>
        </w:rPr>
        <w:t>2施工期工程分析</w:t>
      </w:r>
      <w:bookmarkEnd w:id="151"/>
    </w:p>
    <w:p>
      <w:pPr>
        <w:pStyle w:val="68"/>
        <w:overflowPunct w:val="0"/>
        <w:spacing w:line="360" w:lineRule="auto"/>
        <w:ind w:firstLine="482" w:firstLineChars="200"/>
        <w:outlineLvl w:val="2"/>
        <w:rPr>
          <w:rFonts w:hint="default" w:ascii="Times New Roman" w:hAnsi="Times New Roman" w:eastAsia="宋体" w:cs="Times New Roman"/>
          <w:sz w:val="24"/>
          <w:szCs w:val="24"/>
          <w:lang w:val="zh-CN"/>
        </w:rPr>
      </w:pPr>
      <w:bookmarkStart w:id="152" w:name="_Toc8476"/>
      <w:bookmarkStart w:id="153" w:name="_Toc31502"/>
      <w:r>
        <w:rPr>
          <w:rFonts w:hint="default" w:ascii="Times New Roman" w:hAnsi="Times New Roman" w:eastAsia="宋体" w:cs="Times New Roman"/>
          <w:sz w:val="24"/>
          <w:szCs w:val="24"/>
          <w:lang w:val="zh-CN"/>
        </w:rPr>
        <w:t>3.2.1</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zh-CN"/>
        </w:rPr>
        <w:t>施工期工艺流程及产污节点</w:t>
      </w:r>
      <w:bookmarkEnd w:id="152"/>
      <w:bookmarkEnd w:id="153"/>
      <w:bookmarkStart w:id="154" w:name="_Toc311979796"/>
      <w:bookmarkStart w:id="155" w:name="_Toc311979910"/>
      <w:bookmarkStart w:id="156" w:name="_Toc371868942"/>
      <w:bookmarkStart w:id="157" w:name="_Toc311979842"/>
    </w:p>
    <w:p>
      <w:pPr>
        <w:pStyle w:val="68"/>
        <w:overflowPunct w:val="0"/>
        <w:spacing w:line="360" w:lineRule="auto"/>
        <w:ind w:firstLine="480" w:firstLineChars="200"/>
        <w:outlineLvl w:val="9"/>
        <w:rPr>
          <w:rFonts w:hint="default" w:ascii="Times New Roman" w:hAnsi="Times New Roman" w:eastAsia="宋体" w:cs="Times New Roman"/>
          <w:b w:val="0"/>
          <w:bCs w:val="0"/>
          <w:sz w:val="24"/>
          <w:szCs w:val="24"/>
          <w:lang w:val="zh-CN"/>
        </w:rPr>
      </w:pPr>
      <w:bookmarkStart w:id="158" w:name="_Toc4733"/>
      <w:bookmarkStart w:id="159" w:name="_Toc30463"/>
      <w:r>
        <w:rPr>
          <w:rFonts w:hint="default" w:ascii="Times New Roman" w:hAnsi="Times New Roman" w:eastAsia="宋体" w:cs="Times New Roman"/>
          <w:b w:val="0"/>
          <w:sz w:val="24"/>
          <w:szCs w:val="24"/>
        </w:rPr>
        <w:drawing>
          <wp:anchor distT="0" distB="0" distL="114300" distR="114300" simplePos="0" relativeHeight="251656192" behindDoc="1" locked="0" layoutInCell="1" allowOverlap="0">
            <wp:simplePos x="0" y="0"/>
            <wp:positionH relativeFrom="column">
              <wp:posOffset>379730</wp:posOffset>
            </wp:positionH>
            <wp:positionV relativeFrom="paragraph">
              <wp:posOffset>548640</wp:posOffset>
            </wp:positionV>
            <wp:extent cx="5324475" cy="1729740"/>
            <wp:effectExtent l="19050" t="0" r="9525" b="0"/>
            <wp:wrapTight wrapText="bothSides">
              <wp:wrapPolygon>
                <wp:start x="-77" y="0"/>
                <wp:lineTo x="-77" y="21410"/>
                <wp:lineTo x="21639" y="21410"/>
                <wp:lineTo x="21639" y="0"/>
                <wp:lineTo x="-77" y="0"/>
              </wp:wrapPolygon>
            </wp:wrapTight>
            <wp:docPr id="18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55"/>
                    <pic:cNvPicPr>
                      <a:picLocks noChangeAspect="1" noChangeArrowheads="1"/>
                    </pic:cNvPicPr>
                  </pic:nvPicPr>
                  <pic:blipFill>
                    <a:blip r:embed="rId39"/>
                    <a:srcRect/>
                    <a:stretch>
                      <a:fillRect/>
                    </a:stretch>
                  </pic:blipFill>
                  <pic:spPr>
                    <a:xfrm>
                      <a:off x="0" y="0"/>
                      <a:ext cx="5324475" cy="1729740"/>
                    </a:xfrm>
                    <a:prstGeom prst="rect">
                      <a:avLst/>
                    </a:prstGeom>
                    <a:noFill/>
                    <a:ln w="9525">
                      <a:noFill/>
                      <a:miter lim="800000"/>
                      <a:headEnd/>
                      <a:tailEnd/>
                    </a:ln>
                    <a:effectLst/>
                  </pic:spPr>
                </pic:pic>
              </a:graphicData>
            </a:graphic>
          </wp:anchor>
        </w:drawing>
      </w:r>
      <w:r>
        <w:rPr>
          <w:rFonts w:hint="default" w:ascii="Times New Roman" w:hAnsi="Times New Roman" w:eastAsia="宋体" w:cs="Times New Roman"/>
          <w:b w:val="0"/>
          <w:bCs w:val="0"/>
          <w:sz w:val="24"/>
          <w:szCs w:val="24"/>
          <w:lang w:val="zh-CN"/>
        </w:rPr>
        <w:t>本项目施工期主要包括基础工程、主体工程、装饰工程、工程验收等，具体工艺流程及产污环节见图3</w:t>
      </w:r>
      <w:r>
        <w:rPr>
          <w:rFonts w:hint="default" w:ascii="Times New Roman" w:hAnsi="Times New Roman" w:eastAsia="宋体" w:cs="Times New Roman"/>
          <w:b w:val="0"/>
          <w:bCs w:val="0"/>
          <w:sz w:val="24"/>
          <w:szCs w:val="24"/>
        </w:rPr>
        <w:t>.2</w:t>
      </w:r>
      <w:r>
        <w:rPr>
          <w:rFonts w:hint="default" w:ascii="Times New Roman" w:hAnsi="Times New Roman" w:eastAsia="宋体" w:cs="Times New Roman"/>
          <w:b w:val="0"/>
          <w:bCs w:val="0"/>
          <w:sz w:val="24"/>
          <w:szCs w:val="24"/>
          <w:lang w:val="zh-CN"/>
        </w:rPr>
        <w:t>-1：</w:t>
      </w:r>
      <w:bookmarkEnd w:id="158"/>
      <w:bookmarkEnd w:id="159"/>
    </w:p>
    <w:p>
      <w:pPr>
        <w:pStyle w:val="2"/>
        <w:spacing w:line="360" w:lineRule="auto"/>
        <w:jc w:val="center"/>
        <w:rPr>
          <w:rFonts w:hint="default" w:ascii="Times New Roman" w:hAnsi="Times New Roman" w:cs="Times New Roman"/>
          <w:bCs/>
          <w:lang w:val="zh-CN"/>
        </w:rPr>
      </w:pPr>
    </w:p>
    <w:p>
      <w:pPr>
        <w:pStyle w:val="2"/>
        <w:spacing w:line="360" w:lineRule="auto"/>
        <w:jc w:val="center"/>
        <w:rPr>
          <w:rFonts w:hint="default" w:ascii="Times New Roman" w:hAnsi="Times New Roman" w:cs="Times New Roman"/>
          <w:bCs/>
          <w:lang w:val="zh-CN"/>
        </w:rPr>
      </w:pPr>
    </w:p>
    <w:p>
      <w:pPr>
        <w:pStyle w:val="2"/>
        <w:spacing w:line="360" w:lineRule="auto"/>
        <w:jc w:val="center"/>
        <w:rPr>
          <w:rFonts w:hint="default" w:ascii="Times New Roman" w:hAnsi="Times New Roman" w:cs="Times New Roman"/>
          <w:bCs/>
          <w:lang w:val="zh-CN"/>
        </w:rPr>
      </w:pPr>
    </w:p>
    <w:p>
      <w:pPr>
        <w:pStyle w:val="2"/>
        <w:spacing w:line="360" w:lineRule="auto"/>
        <w:jc w:val="center"/>
        <w:rPr>
          <w:rFonts w:hint="default" w:ascii="Times New Roman" w:hAnsi="Times New Roman" w:cs="Times New Roman"/>
          <w:bCs/>
          <w:lang w:val="zh-CN"/>
        </w:rPr>
      </w:pPr>
    </w:p>
    <w:p>
      <w:pPr>
        <w:pStyle w:val="2"/>
        <w:spacing w:line="360" w:lineRule="auto"/>
        <w:jc w:val="center"/>
        <w:rPr>
          <w:rFonts w:hint="default" w:ascii="Times New Roman" w:hAnsi="Times New Roman" w:cs="Times New Roman"/>
          <w:bCs/>
          <w:lang w:val="zh-CN"/>
        </w:rPr>
      </w:pPr>
    </w:p>
    <w:p>
      <w:pPr>
        <w:pStyle w:val="2"/>
        <w:spacing w:line="360" w:lineRule="auto"/>
        <w:jc w:val="center"/>
        <w:rPr>
          <w:rFonts w:hint="default" w:ascii="Times New Roman" w:hAnsi="Times New Roman" w:cs="Times New Roman"/>
          <w:bCs/>
          <w:lang w:val="zh-CN"/>
        </w:rPr>
      </w:pPr>
    </w:p>
    <w:p>
      <w:pPr>
        <w:pStyle w:val="2"/>
        <w:spacing w:line="360" w:lineRule="auto"/>
        <w:jc w:val="center"/>
        <w:rPr>
          <w:rFonts w:hint="default" w:ascii="Times New Roman" w:hAnsi="Times New Roman" w:cs="Times New Roman"/>
          <w:bCs/>
          <w:lang w:val="zh-CN"/>
        </w:rPr>
      </w:pPr>
    </w:p>
    <w:p>
      <w:pPr>
        <w:jc w:val="center"/>
        <w:rPr>
          <w:rFonts w:hint="default" w:ascii="Times New Roman" w:hAnsi="Times New Roman" w:eastAsia="黑体" w:cs="Times New Roman"/>
          <w:bCs/>
          <w:sz w:val="24"/>
          <w:szCs w:val="24"/>
          <w:lang w:val="zh-CN"/>
        </w:rPr>
      </w:pPr>
      <w:r>
        <w:rPr>
          <w:rFonts w:hint="default" w:ascii="Times New Roman" w:hAnsi="Times New Roman" w:eastAsia="黑体" w:cs="Times New Roman"/>
          <w:bCs/>
          <w:sz w:val="24"/>
          <w:szCs w:val="24"/>
          <w:lang w:val="zh-CN"/>
        </w:rPr>
        <w:t>图3.2-1  施工期工艺流程及产污位置图</w:t>
      </w:r>
    </w:p>
    <w:p>
      <w:pPr>
        <w:spacing w:line="360" w:lineRule="auto"/>
        <w:ind w:firstLine="482"/>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工艺流程简述：</w:t>
      </w:r>
    </w:p>
    <w:p>
      <w:pPr>
        <w:spacing w:line="360" w:lineRule="auto"/>
        <w:ind w:firstLine="482"/>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w:t>
      </w:r>
      <w:r>
        <w:rPr>
          <w:rFonts w:hint="default" w:ascii="Times New Roman" w:hAnsi="Times New Roman" w:cs="Times New Roman"/>
          <w:b/>
          <w:bCs/>
          <w:sz w:val="24"/>
          <w:szCs w:val="24"/>
        </w:rPr>
        <w:t>1</w:t>
      </w:r>
      <w:r>
        <w:rPr>
          <w:rFonts w:hint="default" w:ascii="Times New Roman" w:hAnsi="Times New Roman" w:cs="Times New Roman"/>
          <w:b/>
          <w:bCs/>
          <w:sz w:val="24"/>
          <w:szCs w:val="24"/>
          <w:lang w:val="zh-CN"/>
        </w:rPr>
        <w:t>）场地平整</w:t>
      </w:r>
    </w:p>
    <w:p>
      <w:pPr>
        <w:spacing w:line="360" w:lineRule="auto"/>
        <w:ind w:firstLine="482"/>
        <w:rPr>
          <w:rFonts w:hint="default" w:ascii="Times New Roman" w:hAnsi="Times New Roman" w:cs="Times New Roman"/>
          <w:sz w:val="24"/>
          <w:szCs w:val="24"/>
          <w:lang w:val="zh-CN"/>
        </w:rPr>
      </w:pPr>
      <w:r>
        <w:rPr>
          <w:rFonts w:hint="default" w:ascii="Times New Roman" w:hAnsi="Times New Roman" w:cs="Times New Roman"/>
          <w:sz w:val="24"/>
          <w:szCs w:val="24"/>
          <w:lang w:val="zh-CN"/>
        </w:rPr>
        <w:t>本项目用地现状，地势高低起伏，建筑施工前先进行挖填方将场地进行平整。根据业主介绍，本项目挖方全部用于填方及场地平整，无弃方外排。场地平整过程中将产生设备设施噪声、扬尘等。</w:t>
      </w:r>
    </w:p>
    <w:p>
      <w:pPr>
        <w:spacing w:line="360" w:lineRule="auto"/>
        <w:ind w:firstLine="482"/>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w:t>
      </w:r>
      <w:r>
        <w:rPr>
          <w:rFonts w:hint="default" w:ascii="Times New Roman" w:hAnsi="Times New Roman" w:cs="Times New Roman"/>
          <w:b/>
          <w:bCs/>
          <w:sz w:val="24"/>
          <w:szCs w:val="24"/>
        </w:rPr>
        <w:t>2</w:t>
      </w:r>
      <w:r>
        <w:rPr>
          <w:rFonts w:hint="default" w:ascii="Times New Roman" w:hAnsi="Times New Roman" w:cs="Times New Roman"/>
          <w:b/>
          <w:bCs/>
          <w:sz w:val="24"/>
          <w:szCs w:val="24"/>
          <w:lang w:val="zh-CN"/>
        </w:rPr>
        <w:t>）基础工程施工</w:t>
      </w:r>
    </w:p>
    <w:p>
      <w:pPr>
        <w:spacing w:line="360" w:lineRule="auto"/>
        <w:ind w:firstLine="482"/>
        <w:rPr>
          <w:rFonts w:hint="default" w:ascii="Times New Roman" w:hAnsi="Times New Roman" w:cs="Times New Roman"/>
          <w:sz w:val="24"/>
          <w:szCs w:val="24"/>
          <w:lang w:val="zh-CN"/>
        </w:rPr>
      </w:pPr>
      <w:r>
        <w:rPr>
          <w:rFonts w:hint="default" w:ascii="Times New Roman" w:hAnsi="Times New Roman" w:cs="Times New Roman"/>
          <w:sz w:val="24"/>
          <w:szCs w:val="24"/>
          <w:lang w:val="zh-CN"/>
        </w:rPr>
        <w:t>在基础开挖、地基处理（岩土工程）与基础施工时，由于挖土机、运土卡车等施工机械的运行，将产生一定的噪声；同时产生扬尘，不同条件下，扬尘对环境的影响不同；基础开挖会造成生态变化并引起一定程度的水土流失。</w:t>
      </w:r>
    </w:p>
    <w:p>
      <w:pPr>
        <w:spacing w:line="360" w:lineRule="auto"/>
        <w:ind w:firstLine="482"/>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w:t>
      </w:r>
      <w:r>
        <w:rPr>
          <w:rFonts w:hint="default" w:ascii="Times New Roman" w:hAnsi="Times New Roman" w:cs="Times New Roman"/>
          <w:b/>
          <w:bCs/>
          <w:sz w:val="24"/>
          <w:szCs w:val="24"/>
        </w:rPr>
        <w:t>3</w:t>
      </w:r>
      <w:r>
        <w:rPr>
          <w:rFonts w:hint="default" w:ascii="Times New Roman" w:hAnsi="Times New Roman" w:cs="Times New Roman"/>
          <w:b/>
          <w:bCs/>
          <w:sz w:val="24"/>
          <w:szCs w:val="24"/>
          <w:lang w:val="zh-CN"/>
        </w:rPr>
        <w:t>）主体工程</w:t>
      </w:r>
    </w:p>
    <w:p>
      <w:pPr>
        <w:spacing w:line="360" w:lineRule="auto"/>
        <w:ind w:firstLine="482"/>
        <w:rPr>
          <w:rFonts w:hint="default" w:ascii="Times New Roman" w:hAnsi="Times New Roman" w:cs="Times New Roman"/>
          <w:sz w:val="24"/>
          <w:szCs w:val="24"/>
          <w:lang w:val="zh-CN"/>
        </w:rPr>
      </w:pPr>
      <w:r>
        <w:rPr>
          <w:rFonts w:hint="default" w:ascii="Times New Roman" w:hAnsi="Times New Roman" w:cs="Times New Roman"/>
          <w:sz w:val="24"/>
          <w:szCs w:val="24"/>
          <w:lang w:val="zh-CN"/>
        </w:rPr>
        <w:t>挖掘机、打夯机、装载汽车、混凝土输送泵、卷扬机、钢筋切割机等运行时会产生噪声，同时产生扬尘。此外，还有一些原材料废弃料以及生产和生活污水产生。</w:t>
      </w:r>
    </w:p>
    <w:p>
      <w:pPr>
        <w:spacing w:line="360" w:lineRule="auto"/>
        <w:ind w:firstLine="482"/>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w:t>
      </w:r>
      <w:r>
        <w:rPr>
          <w:rFonts w:hint="default" w:ascii="Times New Roman" w:hAnsi="Times New Roman" w:cs="Times New Roman"/>
          <w:b/>
          <w:bCs/>
          <w:sz w:val="24"/>
          <w:szCs w:val="24"/>
        </w:rPr>
        <w:t>4</w:t>
      </w:r>
      <w:r>
        <w:rPr>
          <w:rFonts w:hint="default" w:ascii="Times New Roman" w:hAnsi="Times New Roman" w:cs="Times New Roman"/>
          <w:b/>
          <w:bCs/>
          <w:sz w:val="24"/>
          <w:szCs w:val="24"/>
          <w:lang w:val="zh-CN"/>
        </w:rPr>
        <w:t>）装饰工程及安装工程</w:t>
      </w:r>
    </w:p>
    <w:p>
      <w:pPr>
        <w:spacing w:line="360" w:lineRule="auto"/>
        <w:ind w:firstLine="482"/>
        <w:rPr>
          <w:rFonts w:hint="default" w:ascii="Times New Roman" w:hAnsi="Times New Roman" w:cs="Times New Roman"/>
          <w:sz w:val="24"/>
          <w:szCs w:val="24"/>
          <w:lang w:val="zh-CN"/>
        </w:rPr>
      </w:pPr>
      <w:r>
        <w:rPr>
          <w:rFonts w:hint="default" w:ascii="Times New Roman" w:hAnsi="Times New Roman" w:cs="Times New Roman"/>
          <w:sz w:val="24"/>
          <w:szCs w:val="24"/>
          <w:lang w:val="zh-CN"/>
        </w:rPr>
        <w:t>在对构筑物的室内外进行装修时（如表面粉刷、喷涂、裱糊、镶贴装饰等），同时安装水电、设备设施等。施工使用的钻机、电锤等产生噪声，喷涂产生废气、废弃物料及污水。</w:t>
      </w:r>
    </w:p>
    <w:p>
      <w:pPr>
        <w:spacing w:line="360" w:lineRule="auto"/>
        <w:ind w:firstLine="482"/>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w:t>
      </w:r>
      <w:r>
        <w:rPr>
          <w:rFonts w:hint="default" w:ascii="Times New Roman" w:hAnsi="Times New Roman" w:cs="Times New Roman"/>
          <w:b/>
          <w:bCs/>
          <w:sz w:val="24"/>
          <w:szCs w:val="24"/>
        </w:rPr>
        <w:t>5</w:t>
      </w:r>
      <w:r>
        <w:rPr>
          <w:rFonts w:hint="default" w:ascii="Times New Roman" w:hAnsi="Times New Roman" w:cs="Times New Roman"/>
          <w:b/>
          <w:bCs/>
          <w:sz w:val="24"/>
          <w:szCs w:val="24"/>
          <w:lang w:val="zh-CN"/>
        </w:rPr>
        <w:t>）工程验收</w:t>
      </w:r>
    </w:p>
    <w:p>
      <w:pPr>
        <w:spacing w:line="360" w:lineRule="auto"/>
        <w:ind w:firstLine="482"/>
        <w:rPr>
          <w:rFonts w:hint="default" w:ascii="Times New Roman" w:hAnsi="Times New Roman" w:cs="Times New Roman"/>
          <w:sz w:val="24"/>
          <w:szCs w:val="24"/>
          <w:lang w:val="zh-CN"/>
        </w:rPr>
      </w:pPr>
      <w:r>
        <w:rPr>
          <w:rFonts w:hint="default" w:ascii="Times New Roman" w:hAnsi="Times New Roman" w:cs="Times New Roman"/>
          <w:sz w:val="24"/>
          <w:szCs w:val="24"/>
          <w:lang w:val="zh-CN"/>
        </w:rPr>
        <w:t>当施工完成验收合格后，方可投入使用。</w:t>
      </w:r>
    </w:p>
    <w:p>
      <w:pPr>
        <w:spacing w:line="360" w:lineRule="auto"/>
        <w:ind w:firstLine="482"/>
        <w:rPr>
          <w:rFonts w:hint="default" w:ascii="Times New Roman" w:hAnsi="Times New Roman" w:cs="Times New Roman"/>
          <w:sz w:val="24"/>
          <w:szCs w:val="24"/>
          <w:lang w:val="zh-CN"/>
        </w:rPr>
      </w:pPr>
      <w:r>
        <w:rPr>
          <w:rFonts w:hint="default" w:ascii="Times New Roman" w:hAnsi="Times New Roman" w:cs="Times New Roman"/>
          <w:sz w:val="24"/>
          <w:szCs w:val="24"/>
          <w:lang w:val="zh-CN"/>
        </w:rPr>
        <w:t>项目在施工期以施工噪声、施工扬尘、废弃物料（建筑弃渣及其它废料）和废水为主要污染物。</w:t>
      </w:r>
    </w:p>
    <w:p>
      <w:pPr>
        <w:spacing w:line="360" w:lineRule="auto"/>
        <w:ind w:firstLine="482"/>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3.2.2 施工期产污环节</w:t>
      </w:r>
    </w:p>
    <w:p>
      <w:pPr>
        <w:spacing w:line="360" w:lineRule="auto"/>
        <w:ind w:firstLine="482"/>
        <w:rPr>
          <w:rFonts w:hint="default" w:ascii="Times New Roman" w:hAnsi="Times New Roman" w:cs="Times New Roman"/>
          <w:sz w:val="24"/>
          <w:szCs w:val="24"/>
        </w:rPr>
      </w:pPr>
      <w:r>
        <w:rPr>
          <w:rFonts w:hint="default" w:ascii="Times New Roman" w:hAnsi="Times New Roman" w:cs="Times New Roman"/>
          <w:sz w:val="24"/>
          <w:szCs w:val="24"/>
        </w:rPr>
        <w:t>（1）废气：施工扬尘、施工机械燃油废气。</w:t>
      </w:r>
    </w:p>
    <w:p>
      <w:pPr>
        <w:spacing w:line="360" w:lineRule="auto"/>
        <w:ind w:firstLine="482"/>
        <w:rPr>
          <w:rFonts w:hint="default" w:ascii="Times New Roman" w:hAnsi="Times New Roman" w:cs="Times New Roman"/>
          <w:sz w:val="24"/>
          <w:szCs w:val="24"/>
        </w:rPr>
      </w:pPr>
      <w:r>
        <w:rPr>
          <w:rFonts w:hint="default" w:ascii="Times New Roman" w:hAnsi="Times New Roman" w:cs="Times New Roman"/>
          <w:sz w:val="24"/>
          <w:szCs w:val="24"/>
        </w:rPr>
        <w:t>（2）废水：施工废水、施工人员生活废水。</w:t>
      </w:r>
    </w:p>
    <w:p>
      <w:pPr>
        <w:spacing w:line="360" w:lineRule="auto"/>
        <w:ind w:firstLine="482"/>
        <w:rPr>
          <w:rFonts w:hint="default" w:ascii="Times New Roman" w:hAnsi="Times New Roman" w:cs="Times New Roman"/>
          <w:sz w:val="24"/>
          <w:szCs w:val="24"/>
        </w:rPr>
      </w:pPr>
      <w:r>
        <w:rPr>
          <w:rFonts w:hint="default" w:ascii="Times New Roman" w:hAnsi="Times New Roman" w:cs="Times New Roman"/>
          <w:sz w:val="24"/>
          <w:szCs w:val="24"/>
        </w:rPr>
        <w:t>（3）噪声：设备噪声，主要来源于施工现场的各类机械设备。</w:t>
      </w:r>
    </w:p>
    <w:p>
      <w:pPr>
        <w:spacing w:line="360" w:lineRule="auto"/>
        <w:ind w:firstLine="482"/>
        <w:rPr>
          <w:rFonts w:hint="default" w:ascii="Times New Roman" w:hAnsi="Times New Roman" w:cs="Times New Roman"/>
          <w:sz w:val="24"/>
          <w:szCs w:val="24"/>
        </w:rPr>
      </w:pPr>
      <w:r>
        <w:rPr>
          <w:rFonts w:hint="default" w:ascii="Times New Roman" w:hAnsi="Times New Roman" w:cs="Times New Roman"/>
          <w:sz w:val="24"/>
          <w:szCs w:val="24"/>
        </w:rPr>
        <w:t>（4）固废：基础开挖产生的土石方、施工过程产生的工程废料、施工人员产生的生活垃圾等。</w:t>
      </w:r>
    </w:p>
    <w:p>
      <w:pPr>
        <w:spacing w:line="360" w:lineRule="auto"/>
        <w:ind w:firstLine="482"/>
        <w:outlineLvl w:val="2"/>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3.2.</w:t>
      </w:r>
      <w:bookmarkEnd w:id="144"/>
      <w:bookmarkEnd w:id="154"/>
      <w:bookmarkEnd w:id="155"/>
      <w:bookmarkEnd w:id="156"/>
      <w:bookmarkEnd w:id="157"/>
      <w:r>
        <w:rPr>
          <w:rFonts w:hint="default" w:ascii="Times New Roman" w:hAnsi="Times New Roman" w:cs="Times New Roman"/>
          <w:b/>
          <w:bCs/>
          <w:sz w:val="24"/>
          <w:szCs w:val="24"/>
        </w:rPr>
        <w:t xml:space="preserve">3 </w:t>
      </w:r>
      <w:r>
        <w:rPr>
          <w:rFonts w:hint="default" w:ascii="Times New Roman" w:hAnsi="Times New Roman" w:cs="Times New Roman"/>
          <w:b/>
          <w:bCs/>
          <w:sz w:val="24"/>
          <w:szCs w:val="24"/>
          <w:lang w:val="zh-CN"/>
        </w:rPr>
        <w:t>施工期产排污分析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本项目施工时，不设置施工营地，就近租用民房办公。</w:t>
      </w:r>
    </w:p>
    <w:p>
      <w:pPr>
        <w:spacing w:line="360" w:lineRule="auto"/>
        <w:ind w:firstLine="522" w:firstLineChars="200"/>
        <w:outlineLvl w:val="3"/>
        <w:rPr>
          <w:rFonts w:hint="default" w:ascii="Times New Roman" w:hAnsi="Times New Roman" w:cs="Times New Roman"/>
          <w:b/>
          <w:sz w:val="24"/>
          <w:szCs w:val="24"/>
        </w:rPr>
      </w:pPr>
      <w:r>
        <w:rPr>
          <w:rFonts w:hint="default" w:ascii="Times New Roman" w:hAnsi="Times New Roman" w:cs="Times New Roman"/>
          <w:b/>
          <w:bCs/>
          <w:spacing w:val="10"/>
          <w:sz w:val="24"/>
          <w:szCs w:val="24"/>
        </w:rPr>
        <w:t>3.2.3.1 施工期大气污染物</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（1）排放源</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根据项目实施工程分析，项目在施工期其大气污染源主要来自于以下方面：</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sz w:val="24"/>
          <w:szCs w:val="24"/>
        </w:rPr>
        <w:t>①土建混凝土浇铸及运输车辆装卸材料和行驶时产生的扬尘；建筑材料的现场搬运及堆放扬尘；施工垃圾的清理及堆放扬尘；人来车往造成的现场道路扬尘。</w:t>
      </w:r>
      <w:r>
        <w:rPr>
          <w:rFonts w:hint="default" w:ascii="Times New Roman" w:hAnsi="Times New Roman" w:cs="Times New Roman"/>
          <w:bCs/>
          <w:sz w:val="24"/>
          <w:szCs w:val="24"/>
        </w:rPr>
        <w:t>经类比分析，施工场地扬尘浓度平均值约为3.5mg/m</w:t>
      </w:r>
      <w:r>
        <w:rPr>
          <w:rFonts w:hint="default" w:ascii="Times New Roman" w:hAnsi="Times New Roman" w:cs="Times New Roman"/>
          <w:bCs/>
          <w:sz w:val="24"/>
          <w:szCs w:val="24"/>
          <w:vertAlign w:val="superscript"/>
        </w:rPr>
        <w:t>3</w:t>
      </w:r>
      <w:r>
        <w:rPr>
          <w:rFonts w:hint="default" w:ascii="Times New Roman" w:hAnsi="Times New Roman" w:cs="Times New Roman"/>
          <w:bCs/>
          <w:sz w:val="24"/>
          <w:szCs w:val="24"/>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②装饰工程施工如涂、磨、刨、钻、砂等装饰作业以及使用某些装饰材料如涂料、人造板、某些有害物质（如苯系物、甲醛、酚等污染物）等形成有机废气污染物；</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③施工机械及运输车辆废气来源于施工过程中燃油机械的使用以及来往的运输车辆，主要污染物为</w:t>
      </w:r>
      <w:r>
        <w:rPr>
          <w:rFonts w:hint="default" w:ascii="Times New Roman" w:hAnsi="Times New Roman" w:cs="Times New Roman"/>
          <w:sz w:val="24"/>
          <w:szCs w:val="24"/>
          <w:lang w:val="zh-CN"/>
        </w:rPr>
        <w:t>CO、NOx等。</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（2）治理措施</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b/>
          <w:bCs/>
          <w:sz w:val="24"/>
          <w:szCs w:val="24"/>
        </w:rPr>
        <w:t>扬尘：</w:t>
      </w:r>
      <w:r>
        <w:rPr>
          <w:rFonts w:hint="default" w:ascii="Times New Roman" w:hAnsi="Times New Roman" w:cs="Times New Roman"/>
          <w:color w:val="000000"/>
          <w:sz w:val="24"/>
          <w:szCs w:val="24"/>
        </w:rPr>
        <w:t>建设单位应要求工程施工单位制定施工期环境管理计划，加强管理，按进度、有计划地进行文明施工，必须严格按国务院印发的《打赢蓝天保卫战三年行动计划的通知》（国发[2018]22号）、四川省人民政府办公厅发布的《关于加强灰霾污染防治的通知》进行扬尘防治。</w:t>
      </w:r>
    </w:p>
    <w:p>
      <w:pPr>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A.</w:t>
      </w:r>
      <w:r>
        <w:rPr>
          <w:rFonts w:hint="default" w:ascii="Times New Roman" w:hAnsi="Times New Roman" w:cs="Times New Roman"/>
          <w:color w:val="000000"/>
          <w:sz w:val="24"/>
          <w:szCs w:val="24"/>
        </w:rPr>
        <w:t>工程建设单位应按照《中华人民共和国环境影响评价法》和《建设项目环境保护管理条例》的相关规定，向当地环境保护行政主管部门提供施工扬尘防治实施方案，并提请排污申报。工程建设单位根据施工工序编制施工期内扬尘污染防治任务书，实施扬尘防治全过程管理，责任到每个施工工序。</w:t>
      </w:r>
    </w:p>
    <w:p>
      <w:pPr>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B.</w:t>
      </w:r>
      <w:r>
        <w:rPr>
          <w:rFonts w:hint="default" w:ascii="Times New Roman" w:hAnsi="Times New Roman" w:cs="Times New Roman"/>
          <w:color w:val="000000"/>
          <w:sz w:val="24"/>
          <w:szCs w:val="24"/>
        </w:rPr>
        <w:t>施工单位应根据《建设工程施工现场管理规定》的规定设置现场平面布置图、工程概况牌、安全生产牌、消防保卫牌、文明施工牌、环境保护牌、管理人员名单及监督电话牌等。</w:t>
      </w:r>
    </w:p>
    <w:p>
      <w:pPr>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C.</w:t>
      </w:r>
      <w:r>
        <w:rPr>
          <w:rFonts w:hint="default" w:ascii="Times New Roman" w:hAnsi="Times New Roman" w:cs="Times New Roman"/>
          <w:color w:val="000000"/>
          <w:sz w:val="24"/>
          <w:szCs w:val="24"/>
        </w:rPr>
        <w:t>根据《打赢蓝天保卫战三年行动计划的通知》（国发[2018]22号），施工工地要做到工地周边围挡、物料堆放覆盖、土方开挖湿法作业、路面硬化、出入车辆清洗、渣土车辆密闭运输“六个百分之百”。</w:t>
      </w:r>
    </w:p>
    <w:p>
      <w:pPr>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D.</w:t>
      </w:r>
      <w:r>
        <w:rPr>
          <w:rFonts w:hint="default" w:ascii="Times New Roman" w:hAnsi="Times New Roman" w:cs="Times New Roman"/>
          <w:color w:val="000000"/>
          <w:sz w:val="24"/>
          <w:szCs w:val="24"/>
        </w:rPr>
        <w:t xml:space="preserve">施工现场架设2.5m~3m高墙，封闭施工现场，采用密目安全网，以减少建筑结构和装修过程中的粉尘飞扬现象，降低粉尘向大气中的排放； </w:t>
      </w:r>
    </w:p>
    <w:p>
      <w:pPr>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E.</w:t>
      </w:r>
      <w:r>
        <w:rPr>
          <w:rFonts w:hint="default" w:ascii="Times New Roman" w:hAnsi="Times New Roman" w:cs="Times New Roman"/>
          <w:color w:val="000000"/>
          <w:sz w:val="24"/>
          <w:szCs w:val="24"/>
        </w:rPr>
        <w:t>要求施工单位文明施工，定期对地面及施工道路洒水，每天定时洒水达到有效防尘；</w:t>
      </w:r>
    </w:p>
    <w:p>
      <w:pPr>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F.</w:t>
      </w:r>
      <w:r>
        <w:rPr>
          <w:rFonts w:hint="default" w:ascii="Times New Roman" w:hAnsi="Times New Roman" w:cs="Times New Roman"/>
          <w:color w:val="000000"/>
          <w:sz w:val="24"/>
          <w:szCs w:val="24"/>
        </w:rPr>
        <w:t xml:space="preserve"> 施工运送弃土车辆，车厢应严密清洁，尽量减少渣土运输时洒落在地面上，并对撒落在路面的渣土及时清除，清理时做到先洒水后清扫，避免产生扬尘对周边居民正常生活造成影响；</w:t>
      </w:r>
    </w:p>
    <w:p>
      <w:pPr>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G.</w:t>
      </w:r>
      <w:r>
        <w:rPr>
          <w:rFonts w:hint="default" w:ascii="Times New Roman" w:hAnsi="Times New Roman" w:cs="Times New Roman"/>
          <w:color w:val="000000"/>
          <w:sz w:val="24"/>
          <w:szCs w:val="24"/>
        </w:rPr>
        <w:t>由于道路和扬尘量与车辆的行驶速度有关，速度越快，扬尘量越大，因此， 在施工场地对施工车辆必须实施限速行驶；</w:t>
      </w:r>
    </w:p>
    <w:p>
      <w:pPr>
        <w:spacing w:line="360" w:lineRule="auto"/>
        <w:ind w:firstLine="474" w:firstLineChars="200"/>
        <w:rPr>
          <w:rFonts w:hint="default" w:ascii="Times New Roman" w:hAnsi="Times New Roman" w:cs="Times New Roman"/>
          <w:color w:val="000000"/>
          <w:sz w:val="24"/>
          <w:szCs w:val="24"/>
        </w:rPr>
      </w:pPr>
      <w:r>
        <w:rPr>
          <w:rFonts w:hint="default" w:ascii="Times New Roman" w:hAnsi="Times New Roman" w:cs="Times New Roman"/>
          <w:b/>
          <w:color w:val="000000"/>
          <w:spacing w:val="-2"/>
          <w:sz w:val="24"/>
          <w:szCs w:val="24"/>
        </w:rPr>
        <w:t>H.</w:t>
      </w:r>
      <w:r>
        <w:rPr>
          <w:rFonts w:hint="default" w:ascii="Times New Roman" w:hAnsi="Times New Roman" w:cs="Times New Roman"/>
          <w:color w:val="000000"/>
          <w:spacing w:val="-2"/>
          <w:sz w:val="24"/>
          <w:szCs w:val="24"/>
        </w:rPr>
        <w:t>在施工场地出口放置防尘垫，设置车辆冲洗系统设施，对运输车辆现场设置 洗车场，用水清洗车体和轮胎；</w:t>
      </w:r>
    </w:p>
    <w:p>
      <w:pPr>
        <w:spacing w:line="360" w:lineRule="auto"/>
        <w:ind w:firstLine="466" w:firstLineChars="200"/>
        <w:rPr>
          <w:rFonts w:hint="default" w:ascii="Times New Roman" w:hAnsi="Times New Roman" w:cs="Times New Roman"/>
          <w:color w:val="000000"/>
          <w:spacing w:val="-2"/>
          <w:sz w:val="24"/>
          <w:szCs w:val="24"/>
        </w:rPr>
      </w:pPr>
      <w:r>
        <w:rPr>
          <w:rFonts w:hint="default" w:ascii="Times New Roman" w:hAnsi="Times New Roman" w:cs="Times New Roman"/>
          <w:b/>
          <w:color w:val="000000"/>
          <w:spacing w:val="-4"/>
          <w:sz w:val="24"/>
          <w:szCs w:val="24"/>
        </w:rPr>
        <w:t>I.</w:t>
      </w:r>
      <w:r>
        <w:rPr>
          <w:rFonts w:hint="default" w:ascii="Times New Roman" w:hAnsi="Times New Roman" w:cs="Times New Roman"/>
          <w:color w:val="000000"/>
          <w:spacing w:val="-4"/>
          <w:sz w:val="24"/>
          <w:szCs w:val="24"/>
        </w:rPr>
        <w:t>建材堆放地点要相对集中，应堆放在项目施工场地上设置的材料堆放间处，减少建材的露天堆放时间，对建材使用毡布覆盖；</w:t>
      </w:r>
    </w:p>
    <w:p>
      <w:pPr>
        <w:spacing w:line="360" w:lineRule="auto"/>
        <w:ind w:firstLine="466" w:firstLineChars="200"/>
        <w:rPr>
          <w:rFonts w:hint="default" w:ascii="Times New Roman" w:hAnsi="Times New Roman" w:cs="Times New Roman"/>
          <w:color w:val="000000"/>
          <w:spacing w:val="-4"/>
          <w:sz w:val="24"/>
          <w:szCs w:val="24"/>
        </w:rPr>
      </w:pPr>
      <w:r>
        <w:rPr>
          <w:rFonts w:hint="default" w:ascii="Times New Roman" w:hAnsi="Times New Roman" w:cs="Times New Roman"/>
          <w:b/>
          <w:color w:val="000000"/>
          <w:spacing w:val="-4"/>
          <w:sz w:val="24"/>
          <w:szCs w:val="24"/>
        </w:rPr>
        <w:t>J.</w:t>
      </w:r>
      <w:r>
        <w:rPr>
          <w:rFonts w:hint="default" w:ascii="Times New Roman" w:hAnsi="Times New Roman" w:cs="Times New Roman"/>
          <w:color w:val="000000"/>
          <w:spacing w:val="-4"/>
          <w:sz w:val="24"/>
          <w:szCs w:val="24"/>
        </w:rPr>
        <w:t>自卸车、垃圾运输车、拉土车等运输车辆不允许超载，选择对周围环境影响较小的运输路线，定时对运输路线进行清扫，运输车辆出场时必须封闭，避免在运 输过程中的抛洒现象；</w:t>
      </w:r>
    </w:p>
    <w:p>
      <w:pPr>
        <w:spacing w:line="360" w:lineRule="auto"/>
        <w:ind w:firstLine="466" w:firstLineChars="200"/>
        <w:rPr>
          <w:rFonts w:hint="default" w:ascii="Times New Roman" w:hAnsi="Times New Roman" w:cs="Times New Roman"/>
          <w:color w:val="000000"/>
          <w:spacing w:val="-4"/>
          <w:sz w:val="24"/>
          <w:szCs w:val="24"/>
        </w:rPr>
      </w:pPr>
      <w:r>
        <w:rPr>
          <w:rFonts w:hint="default" w:ascii="Times New Roman" w:hAnsi="Times New Roman" w:cs="Times New Roman"/>
          <w:b/>
          <w:color w:val="000000"/>
          <w:spacing w:val="-4"/>
          <w:sz w:val="24"/>
          <w:szCs w:val="24"/>
        </w:rPr>
        <w:t>K.</w:t>
      </w:r>
      <w:r>
        <w:rPr>
          <w:rFonts w:hint="default" w:ascii="Times New Roman" w:hAnsi="Times New Roman" w:cs="Times New Roman"/>
          <w:color w:val="000000"/>
          <w:spacing w:val="-4"/>
          <w:sz w:val="24"/>
          <w:szCs w:val="24"/>
        </w:rPr>
        <w:t>施工过程中，施工产生的建筑渣土，不许在楼上向下倾倒，须运送地面；</w:t>
      </w:r>
    </w:p>
    <w:p>
      <w:pPr>
        <w:spacing w:line="360" w:lineRule="auto"/>
        <w:ind w:firstLine="466" w:firstLineChars="200"/>
        <w:rPr>
          <w:rFonts w:hint="default" w:ascii="Times New Roman" w:hAnsi="Times New Roman" w:cs="Times New Roman"/>
          <w:color w:val="000000"/>
          <w:sz w:val="24"/>
          <w:szCs w:val="24"/>
        </w:rPr>
      </w:pPr>
      <w:r>
        <w:rPr>
          <w:rFonts w:hint="default" w:ascii="Times New Roman" w:hAnsi="Times New Roman" w:cs="Times New Roman"/>
          <w:b/>
          <w:color w:val="000000"/>
          <w:spacing w:val="-4"/>
          <w:sz w:val="24"/>
          <w:szCs w:val="24"/>
        </w:rPr>
        <w:t>L.</w:t>
      </w:r>
      <w:r>
        <w:rPr>
          <w:rFonts w:hint="default" w:ascii="Times New Roman" w:hAnsi="Times New Roman" w:cs="Times New Roman"/>
          <w:color w:val="000000"/>
          <w:sz w:val="24"/>
          <w:szCs w:val="24"/>
        </w:rPr>
        <w:t xml:space="preserve"> </w:t>
      </w:r>
      <w:r>
        <w:rPr>
          <w:rFonts w:hint="default" w:ascii="Times New Roman" w:hAnsi="Times New Roman" w:cs="Times New Roman"/>
          <w:color w:val="000000"/>
          <w:spacing w:val="-4"/>
          <w:sz w:val="24"/>
          <w:szCs w:val="24"/>
        </w:rPr>
        <w:t>禁止在大风天进行渣土堆放作业，土石方堆场采用塑料篷布遮盖，覆盖率需达100%。；</w:t>
      </w:r>
    </w:p>
    <w:p>
      <w:pPr>
        <w:spacing w:line="360" w:lineRule="auto"/>
        <w:ind w:firstLine="466" w:firstLineChars="200"/>
        <w:rPr>
          <w:rFonts w:hint="default" w:ascii="Times New Roman" w:hAnsi="Times New Roman" w:cs="Times New Roman"/>
          <w:color w:val="000000"/>
          <w:sz w:val="24"/>
          <w:szCs w:val="24"/>
        </w:rPr>
      </w:pPr>
      <w:r>
        <w:rPr>
          <w:rFonts w:hint="default" w:ascii="Times New Roman" w:hAnsi="Times New Roman" w:cs="Times New Roman"/>
          <w:b/>
          <w:color w:val="000000"/>
          <w:spacing w:val="-4"/>
          <w:sz w:val="24"/>
          <w:szCs w:val="24"/>
        </w:rPr>
        <w:t>M.</w:t>
      </w:r>
      <w:r>
        <w:rPr>
          <w:rFonts w:hint="default" w:ascii="Times New Roman" w:hAnsi="Times New Roman" w:cs="Times New Roman"/>
          <w:color w:val="000000"/>
          <w:sz w:val="24"/>
          <w:szCs w:val="24"/>
        </w:rPr>
        <w:t>运输车等运输车辆不允许超载，选择对周围环境影响较小的运输路线，定时对运输路线进行清扫，运输车辆出场时必须封闭，避免在运输过程中的抛洒现象。</w:t>
      </w:r>
    </w:p>
    <w:p>
      <w:pPr>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N.</w:t>
      </w:r>
      <w:r>
        <w:rPr>
          <w:rFonts w:hint="default" w:ascii="Times New Roman" w:hAnsi="Times New Roman" w:cs="Times New Roman"/>
          <w:color w:val="000000"/>
          <w:sz w:val="24"/>
          <w:szCs w:val="24"/>
        </w:rPr>
        <w:t>为了减少扬尘的产生，施工时使用商品混凝土，不设置混凝土搅拌站。</w:t>
      </w:r>
    </w:p>
    <w:p>
      <w:pPr>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O.</w:t>
      </w:r>
      <w:r>
        <w:rPr>
          <w:rFonts w:hint="default" w:ascii="Times New Roman" w:hAnsi="Times New Roman" w:cs="Times New Roman"/>
          <w:color w:val="000000"/>
          <w:sz w:val="24"/>
          <w:szCs w:val="24"/>
        </w:rPr>
        <w:t>各区的施工管理由专人负责，并设定专门负责人定期对该区的施工扬尘污染防治措施以及环保管理进行检查和核实，严格按城市扬尘污染管理的有关规定和规范进行治理，尽量减少扬尘对环境的影响程度。</w:t>
      </w:r>
    </w:p>
    <w:p>
      <w:pPr>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bCs/>
          <w:sz w:val="24"/>
          <w:szCs w:val="24"/>
        </w:rPr>
        <w:t>施工机械废气：</w:t>
      </w:r>
      <w:r>
        <w:rPr>
          <w:rFonts w:hint="default" w:ascii="Times New Roman" w:hAnsi="Times New Roman" w:cs="Times New Roman"/>
          <w:color w:val="000000"/>
          <w:sz w:val="24"/>
          <w:szCs w:val="24"/>
        </w:rPr>
        <w:t>施工期间，使用机动车运送原材料、设备和建筑机械设备的运转，均会排放一定量的CO、NOx以及未完全燃烧的THC等，其特点是排放量小，且属间断性无组织排放，由于其这一特点，加之施工场地开阔，扩散条件良好，因此对其不加处理也可达到相应的排放标准。在施工期内应多加注意施工设备的维护，使其能够正常的运行，提高设备原料的利用率。</w:t>
      </w:r>
    </w:p>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bCs/>
          <w:sz w:val="24"/>
          <w:szCs w:val="24"/>
        </w:rPr>
        <w:t>汽车尾气：</w:t>
      </w:r>
      <w:r>
        <w:rPr>
          <w:rFonts w:hint="default" w:ascii="Times New Roman" w:hAnsi="Times New Roman" w:cs="Times New Roman"/>
          <w:sz w:val="24"/>
          <w:szCs w:val="24"/>
        </w:rPr>
        <w:t>施工期间，有运输车辆尾气排放，其特点是排放量小，属于间断性排放，项目施工场地扩散条件良好，这些废气可得到有效地稀释扩散，能够达标排放。本环评要求建设方对运输车辆加强保养，选取优质燃料，禁止运输车辆超载行驶；并做好施工现场的交通组织，避免因施工造 成的交通阻塞，减少运输车辆怠速产生的废气排放，进一步降低其对外界环境的影响。</w:t>
      </w:r>
    </w:p>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bCs/>
          <w:sz w:val="24"/>
          <w:szCs w:val="24"/>
        </w:rPr>
        <w:t>装修废气：</w:t>
      </w:r>
      <w:r>
        <w:rPr>
          <w:rFonts w:hint="default" w:ascii="Times New Roman" w:hAnsi="Times New Roman" w:cs="Times New Roman"/>
          <w:bCs/>
          <w:sz w:val="24"/>
          <w:szCs w:val="24"/>
        </w:rPr>
        <w:t>装修废气主要为</w:t>
      </w:r>
      <w:r>
        <w:rPr>
          <w:rFonts w:hint="default" w:ascii="Times New Roman" w:hAnsi="Times New Roman" w:cs="Times New Roman"/>
          <w:sz w:val="24"/>
          <w:szCs w:val="24"/>
        </w:rPr>
        <w:t>装修阶段使用的涂料等挥发的有机废气等气体以及装修施工产生的扬尘，该废气的排放属无组织排放，涂料挥发废气其主要污染因子为二甲苯和甲苯等，此外还有极少量的汽油、丁醇和丙醇等。</w:t>
      </w:r>
      <w:r>
        <w:rPr>
          <w:rFonts w:hint="default" w:ascii="Times New Roman" w:hAnsi="Times New Roman" w:cs="Times New Roman"/>
          <w:bCs/>
          <w:sz w:val="24"/>
          <w:szCs w:val="24"/>
        </w:rPr>
        <w:t>在建筑装饰装修过程中，装修材料和涂料的选用应按照国家质检总局颁布的《室内装修材料10项有害物质限量》规定进行，使用污染相对较小的环保型涂料和装修材料，以减少材料中有害物质的散发量。</w:t>
      </w:r>
      <w:r>
        <w:rPr>
          <w:rFonts w:hint="default" w:ascii="Times New Roman" w:hAnsi="Times New Roman" w:cs="Times New Roman"/>
          <w:sz w:val="24"/>
          <w:szCs w:val="24"/>
        </w:rPr>
        <w:t>在装修期间，应加强室内的通风换气，装修结束完成以后，也应每天进行通风换气一至二个月后才能使用。由于装修时采用的三合板和涂料等中含有的甲醛、甲苯、二甲苯等影响环境质量的有毒有害物质挥发时间长，所以入住也要注意室内空气的流畅。装修扬尘则采用室内洒水降尘予以控制，降低施工扬尘产生量。</w:t>
      </w:r>
    </w:p>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color w:val="000000"/>
          <w:sz w:val="24"/>
          <w:szCs w:val="24"/>
        </w:rPr>
        <w:t>在采取以上大气污染物防治措施后，加上项目所在场地扩散条件较好，因此本项目施工阶段产生的废气可达标排放。</w:t>
      </w:r>
    </w:p>
    <w:p>
      <w:pPr>
        <w:spacing w:line="360" w:lineRule="auto"/>
        <w:ind w:firstLine="522" w:firstLineChars="200"/>
        <w:outlineLvl w:val="3"/>
        <w:rPr>
          <w:rFonts w:hint="default" w:ascii="Times New Roman" w:hAnsi="Times New Roman" w:cs="Times New Roman"/>
          <w:sz w:val="24"/>
          <w:szCs w:val="24"/>
        </w:rPr>
      </w:pPr>
      <w:r>
        <w:rPr>
          <w:rFonts w:hint="default" w:ascii="Times New Roman" w:hAnsi="Times New Roman" w:cs="Times New Roman"/>
          <w:b/>
          <w:bCs/>
          <w:spacing w:val="10"/>
          <w:sz w:val="24"/>
          <w:szCs w:val="24"/>
        </w:rPr>
        <w:t>3.2.3.2 施工期水污染物</w:t>
      </w:r>
    </w:p>
    <w:p>
      <w:pPr>
        <w:spacing w:line="360" w:lineRule="auto"/>
        <w:ind w:firstLine="482"/>
        <w:rPr>
          <w:rFonts w:hint="default" w:ascii="Times New Roman" w:hAnsi="Times New Roman" w:cs="Times New Roman"/>
          <w:b/>
          <w:sz w:val="24"/>
          <w:szCs w:val="24"/>
        </w:rPr>
      </w:pPr>
      <w:r>
        <w:rPr>
          <w:rFonts w:hint="default" w:ascii="Times New Roman" w:hAnsi="Times New Roman" w:cs="Times New Roman"/>
          <w:b/>
          <w:sz w:val="24"/>
          <w:szCs w:val="24"/>
        </w:rPr>
        <w:t>（1）污染源分析</w:t>
      </w:r>
    </w:p>
    <w:p>
      <w:pPr>
        <w:adjustRightInd w:val="0"/>
        <w:spacing w:line="360" w:lineRule="auto"/>
        <w:ind w:firstLine="482"/>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项目施工期废水主要分为施工人员的生活污水，施工生产废水。施工生产废水主要包括养护用水、施工机械设备、进出场车辆轮胎冲洗水。</w:t>
      </w:r>
    </w:p>
    <w:p>
      <w:pPr>
        <w:adjustRightInd w:val="0"/>
        <w:spacing w:line="360" w:lineRule="auto"/>
        <w:ind w:firstLine="482"/>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1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①</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施工生产废水</w:t>
      </w:r>
    </w:p>
    <w:p>
      <w:pPr>
        <w:adjustRightInd w:val="0"/>
        <w:spacing w:line="360" w:lineRule="auto"/>
        <w:ind w:firstLine="482"/>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主要来源于机械的冲刷、构件与建筑材料的保潮、墙体的浸润以及材料的洗刷以及进出场车辆轮胎冲洗。该部分废水一般呈碱性，废水中的主要污染物为SS。污水中SS约1000mg/L。</w:t>
      </w:r>
    </w:p>
    <w:p>
      <w:pPr>
        <w:adjustRightInd w:val="0"/>
        <w:spacing w:line="360" w:lineRule="auto"/>
        <w:ind w:firstLine="482"/>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2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②</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施工人员生活污水</w:t>
      </w:r>
    </w:p>
    <w:p>
      <w:pPr>
        <w:autoSpaceDE w:val="0"/>
        <w:autoSpaceDN w:val="0"/>
        <w:adjustRightInd w:val="0"/>
        <w:spacing w:line="360" w:lineRule="auto"/>
        <w:ind w:firstLine="482"/>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施工人员生活污水中主要含COD</w:t>
      </w:r>
      <w:r>
        <w:rPr>
          <w:rFonts w:hint="default" w:ascii="Times New Roman" w:hAnsi="Times New Roman" w:cs="Times New Roman"/>
          <w:color w:val="000000"/>
          <w:sz w:val="24"/>
          <w:szCs w:val="24"/>
          <w:vertAlign w:val="subscript"/>
        </w:rPr>
        <w:t>Cr</w:t>
      </w:r>
      <w:r>
        <w:rPr>
          <w:rFonts w:hint="default" w:ascii="Times New Roman" w:hAnsi="Times New Roman" w:cs="Times New Roman"/>
          <w:color w:val="000000"/>
          <w:sz w:val="24"/>
          <w:szCs w:val="24"/>
        </w:rPr>
        <w:t>、BOD</w:t>
      </w:r>
      <w:r>
        <w:rPr>
          <w:rFonts w:hint="default" w:ascii="Times New Roman" w:hAnsi="Times New Roman" w:cs="Times New Roman"/>
          <w:color w:val="000000"/>
          <w:sz w:val="24"/>
          <w:szCs w:val="24"/>
          <w:vertAlign w:val="subscript"/>
        </w:rPr>
        <w:t>5</w:t>
      </w:r>
      <w:r>
        <w:rPr>
          <w:rFonts w:hint="default" w:ascii="Times New Roman" w:hAnsi="Times New Roman" w:cs="Times New Roman"/>
          <w:color w:val="000000"/>
          <w:sz w:val="24"/>
          <w:szCs w:val="24"/>
        </w:rPr>
        <w:t>、NH</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rPr>
        <w:t>-N、SS等。</w:t>
      </w:r>
    </w:p>
    <w:p>
      <w:pPr>
        <w:spacing w:line="360" w:lineRule="auto"/>
        <w:ind w:firstLine="482"/>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项目设置施工营地。预计施工高峰期施工人员约有50人，根据《四川省用水定额》，结合项目实际情况，施工期人员用水定额按照50L/人·天计算，用水量为2.5m³/d，排污系数取0.8，每天产生的污水量为2m³/d。</w:t>
      </w:r>
    </w:p>
    <w:p>
      <w:pPr>
        <w:spacing w:line="360" w:lineRule="auto"/>
        <w:ind w:firstLine="482"/>
        <w:rPr>
          <w:rFonts w:hint="default" w:ascii="Times New Roman" w:hAnsi="Times New Roman" w:cs="Times New Roman"/>
          <w:b/>
          <w:sz w:val="24"/>
          <w:szCs w:val="24"/>
        </w:rPr>
      </w:pPr>
      <w:r>
        <w:rPr>
          <w:rFonts w:hint="default" w:ascii="Times New Roman" w:hAnsi="Times New Roman" w:cs="Times New Roman"/>
          <w:b/>
          <w:color w:val="000000"/>
          <w:sz w:val="24"/>
          <w:szCs w:val="24"/>
        </w:rPr>
        <w:t>（2）治理措施</w:t>
      </w:r>
    </w:p>
    <w:p>
      <w:pPr>
        <w:adjustRightInd w:val="0"/>
        <w:spacing w:line="360" w:lineRule="auto"/>
        <w:ind w:firstLine="482"/>
        <w:rPr>
          <w:rFonts w:hint="default" w:ascii="Times New Roman" w:hAnsi="Times New Roman" w:cs="Times New Roman"/>
          <w:color w:val="FF0000"/>
          <w:sz w:val="24"/>
          <w:szCs w:val="24"/>
        </w:rPr>
      </w:pPr>
      <w:r>
        <w:rPr>
          <w:rFonts w:hint="default" w:ascii="Times New Roman" w:hAnsi="Times New Roman" w:cs="Times New Roman"/>
          <w:b/>
          <w:color w:val="000000"/>
          <w:sz w:val="24"/>
          <w:szCs w:val="24"/>
        </w:rPr>
        <w:t>施工生产废水：</w:t>
      </w:r>
      <w:r>
        <w:rPr>
          <w:rFonts w:hint="default" w:ascii="Times New Roman" w:hAnsi="Times New Roman" w:cs="Times New Roman"/>
          <w:color w:val="000000"/>
          <w:sz w:val="24"/>
          <w:szCs w:val="24"/>
        </w:rPr>
        <w:t>项目施工废水污染因子主要为SS，环评要求修建简易临时沉淀池1个，用水收集处理施工废水，经沉淀处理后的施工废水用于洒水抑尘，不外排。</w:t>
      </w:r>
    </w:p>
    <w:p>
      <w:pPr>
        <w:spacing w:line="360" w:lineRule="auto"/>
        <w:ind w:firstLine="482"/>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施工人员生活污水：</w:t>
      </w:r>
      <w:r>
        <w:rPr>
          <w:rFonts w:hint="default" w:ascii="Times New Roman" w:hAnsi="Times New Roman" w:cs="Times New Roman"/>
          <w:color w:val="000000"/>
          <w:sz w:val="24"/>
          <w:szCs w:val="24"/>
        </w:rPr>
        <w:t>评价要求施工前修建预处理池1座，施工人员生活污水采用该预处理处理后运至附近农田施肥，不外排。该预处理池施工完成后可用于运营期生活污水的处理。</w:t>
      </w:r>
    </w:p>
    <w:p>
      <w:pPr>
        <w:spacing w:line="360" w:lineRule="auto"/>
        <w:ind w:firstLine="522" w:firstLineChars="200"/>
        <w:outlineLvl w:val="3"/>
        <w:rPr>
          <w:rFonts w:hint="default" w:ascii="Times New Roman" w:hAnsi="Times New Roman" w:cs="Times New Roman"/>
          <w:color w:val="FF0000"/>
          <w:sz w:val="24"/>
          <w:szCs w:val="24"/>
        </w:rPr>
      </w:pPr>
      <w:r>
        <w:rPr>
          <w:rFonts w:hint="default" w:ascii="Times New Roman" w:hAnsi="Times New Roman" w:cs="Times New Roman"/>
          <w:b/>
          <w:bCs/>
          <w:spacing w:val="10"/>
          <w:sz w:val="24"/>
          <w:szCs w:val="24"/>
        </w:rPr>
        <w:t>3.2.3.3 施工期噪声污染</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kern w:val="0"/>
          <w:sz w:val="24"/>
          <w:szCs w:val="24"/>
        </w:rPr>
        <w:t>（1）污染源分析</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施工期噪声是本项目主要的环境影响因子之一，主要可分为机械噪声、施工作业噪声和施工车辆噪声。机械噪声主要由施工机械所造成，多为点声源；施工作业噪声主要指一些零星的敲打声、装卸车辆的撞击声、拆装模板的撞击声等，多为瞬间噪声，施工车辆的噪声属于交通噪声。不同施工阶段和不同施工机械发出的噪声水平是不同的，且有大量设备交互作业，因此施工作业噪声将会对施工场地内、外环境带来一定的影响。噪声源主要为：</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1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①</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土石方挖掘机、基础施工工序使用的塔吊，钢筋加工时使用的冲击机、压缩机等机械设备及运输车辆产生的噪声，声级值数 75~95dB(A)。</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2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②</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板、梁、柱浇筑时，使用的混凝土输送泵、振捣碾，钢筋加工使用的电锯、 电焊机等设备及运输车辆产生的噪声，声级值约 80~105dB(A)。</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3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③</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隔间、装修安装时，电钻、电锤、手工钻、无齿锯等设备的使用将会产生噪声，声级值90~105dB(A)。</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4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④</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以及施工过程中运输车辆的使用将会产生交通噪声，声级在75~89dB（A）之间。</w:t>
      </w:r>
    </w:p>
    <w:p>
      <w:pPr>
        <w:spacing w:line="360" w:lineRule="auto"/>
        <w:ind w:firstLine="600" w:firstLineChars="250"/>
        <w:rPr>
          <w:rFonts w:hint="default" w:ascii="Times New Roman" w:hAnsi="Times New Roman" w:cs="Times New Roman"/>
          <w:sz w:val="24"/>
          <w:szCs w:val="24"/>
        </w:rPr>
      </w:pPr>
      <w:r>
        <w:rPr>
          <w:rFonts w:hint="default" w:ascii="Times New Roman" w:hAnsi="Times New Roman" w:cs="Times New Roman"/>
          <w:color w:val="000000"/>
          <w:sz w:val="24"/>
          <w:szCs w:val="24"/>
        </w:rPr>
        <w:t>根据施工量，按经验计算各施工阶段的昼夜的主要噪声声源见下表：</w:t>
      </w:r>
    </w:p>
    <w:p>
      <w:pPr>
        <w:jc w:val="center"/>
        <w:rPr>
          <w:rFonts w:hint="default" w:ascii="Times New Roman" w:hAnsi="Times New Roman" w:eastAsia="黑体" w:cs="Times New Roman"/>
          <w:bCs/>
          <w:sz w:val="24"/>
          <w:szCs w:val="24"/>
          <w:lang w:val="zh-CN"/>
        </w:rPr>
      </w:pPr>
      <w:r>
        <w:rPr>
          <w:rFonts w:hint="default" w:ascii="Times New Roman" w:hAnsi="Times New Roman" w:eastAsia="黑体" w:cs="Times New Roman"/>
          <w:bCs/>
          <w:sz w:val="24"/>
          <w:szCs w:val="24"/>
          <w:lang w:val="zh-CN"/>
        </w:rPr>
        <w:t>表3.2-1    交通运输车辆噪声</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08"/>
        <w:gridCol w:w="2905"/>
        <w:gridCol w:w="2443"/>
        <w:gridCol w:w="20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3" w:hRule="atLeast"/>
          <w:jc w:val="center"/>
        </w:trPr>
        <w:tc>
          <w:tcPr>
            <w:tcW w:w="230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施工阶段</w:t>
            </w:r>
          </w:p>
        </w:tc>
        <w:tc>
          <w:tcPr>
            <w:tcW w:w="2905" w:type="dxa"/>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运输内容</w:t>
            </w:r>
          </w:p>
        </w:tc>
        <w:tc>
          <w:tcPr>
            <w:tcW w:w="2443" w:type="dxa"/>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车辆类型</w:t>
            </w:r>
          </w:p>
        </w:tc>
        <w:tc>
          <w:tcPr>
            <w:tcW w:w="2057" w:type="dxa"/>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声源强度[dB(A)]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8" w:hRule="atLeast"/>
          <w:jc w:val="center"/>
        </w:trPr>
        <w:tc>
          <w:tcPr>
            <w:tcW w:w="230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土石方、主体阶段</w:t>
            </w:r>
          </w:p>
        </w:tc>
        <w:tc>
          <w:tcPr>
            <w:tcW w:w="290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土石方、建渣外运</w:t>
            </w:r>
          </w:p>
        </w:tc>
        <w:tc>
          <w:tcPr>
            <w:tcW w:w="244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大型载重车</w:t>
            </w:r>
          </w:p>
        </w:tc>
        <w:tc>
          <w:tcPr>
            <w:tcW w:w="2057"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84～89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230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底板与结构阶段</w:t>
            </w:r>
          </w:p>
        </w:tc>
        <w:tc>
          <w:tcPr>
            <w:tcW w:w="290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钢筋、混凝土等</w:t>
            </w:r>
          </w:p>
        </w:tc>
        <w:tc>
          <w:tcPr>
            <w:tcW w:w="244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混凝土罐车、载重车</w:t>
            </w:r>
          </w:p>
        </w:tc>
        <w:tc>
          <w:tcPr>
            <w:tcW w:w="2057"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80～85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230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装修安装阶段</w:t>
            </w:r>
          </w:p>
        </w:tc>
        <w:tc>
          <w:tcPr>
            <w:tcW w:w="290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各种装修材料机必备设备</w:t>
            </w:r>
          </w:p>
        </w:tc>
        <w:tc>
          <w:tcPr>
            <w:tcW w:w="244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轻型载重卡车</w:t>
            </w:r>
          </w:p>
        </w:tc>
        <w:tc>
          <w:tcPr>
            <w:tcW w:w="2057"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75～80</w:t>
            </w:r>
          </w:p>
        </w:tc>
      </w:tr>
    </w:tbl>
    <w:p>
      <w:pPr>
        <w:jc w:val="center"/>
        <w:rPr>
          <w:rFonts w:hint="default" w:ascii="Times New Roman" w:hAnsi="Times New Roman" w:eastAsia="黑体" w:cs="Times New Roman"/>
          <w:bCs/>
          <w:sz w:val="24"/>
          <w:szCs w:val="24"/>
          <w:lang w:val="zh-CN"/>
        </w:rPr>
      </w:pPr>
      <w:r>
        <w:rPr>
          <w:rFonts w:hint="default" w:ascii="Times New Roman" w:hAnsi="Times New Roman" w:eastAsia="黑体" w:cs="Times New Roman"/>
          <w:bCs/>
          <w:sz w:val="24"/>
          <w:szCs w:val="24"/>
          <w:lang w:val="zh-CN"/>
        </w:rPr>
        <w:t>表3.2-2   施工期主要机械噪声源及其声级值（dB（A））</w:t>
      </w:r>
    </w:p>
    <w:tbl>
      <w:tblPr>
        <w:tblStyle w:val="33"/>
        <w:tblW w:w="9553"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180"/>
        <w:gridCol w:w="1624"/>
        <w:gridCol w:w="1766"/>
        <w:gridCol w:w="1181"/>
        <w:gridCol w:w="967"/>
        <w:gridCol w:w="968"/>
        <w:gridCol w:w="966"/>
        <w:gridCol w:w="9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180" w:type="dxa"/>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施工阶段</w:t>
            </w:r>
          </w:p>
        </w:tc>
        <w:tc>
          <w:tcPr>
            <w:tcW w:w="1624" w:type="dxa"/>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声源</w:t>
            </w:r>
          </w:p>
        </w:tc>
        <w:tc>
          <w:tcPr>
            <w:tcW w:w="1766" w:type="dxa"/>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声源强度[dB(A)]</w:t>
            </w:r>
          </w:p>
        </w:tc>
        <w:tc>
          <w:tcPr>
            <w:tcW w:w="1181" w:type="dxa"/>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噪声类型</w:t>
            </w:r>
          </w:p>
        </w:tc>
        <w:tc>
          <w:tcPr>
            <w:tcW w:w="3802" w:type="dxa"/>
            <w:gridSpan w:val="4"/>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场界噪声 [dB(A)]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180" w:type="dxa"/>
            <w:vMerge w:val="continue"/>
            <w:vAlign w:val="center"/>
          </w:tcPr>
          <w:p>
            <w:pPr>
              <w:jc w:val="center"/>
              <w:rPr>
                <w:rFonts w:hint="default" w:ascii="Times New Roman" w:hAnsi="Times New Roman" w:cs="Times New Roman"/>
                <w:b/>
                <w:szCs w:val="21"/>
              </w:rPr>
            </w:pPr>
          </w:p>
        </w:tc>
        <w:tc>
          <w:tcPr>
            <w:tcW w:w="1624" w:type="dxa"/>
            <w:vMerge w:val="continue"/>
            <w:vAlign w:val="center"/>
          </w:tcPr>
          <w:p>
            <w:pPr>
              <w:jc w:val="center"/>
              <w:rPr>
                <w:rFonts w:hint="default" w:ascii="Times New Roman" w:hAnsi="Times New Roman" w:cs="Times New Roman"/>
                <w:b/>
                <w:szCs w:val="21"/>
              </w:rPr>
            </w:pPr>
          </w:p>
        </w:tc>
        <w:tc>
          <w:tcPr>
            <w:tcW w:w="1766" w:type="dxa"/>
            <w:vMerge w:val="continue"/>
            <w:vAlign w:val="center"/>
          </w:tcPr>
          <w:p>
            <w:pPr>
              <w:jc w:val="center"/>
              <w:rPr>
                <w:rFonts w:hint="default" w:ascii="Times New Roman" w:hAnsi="Times New Roman" w:cs="Times New Roman"/>
                <w:b/>
                <w:szCs w:val="21"/>
              </w:rPr>
            </w:pPr>
          </w:p>
        </w:tc>
        <w:tc>
          <w:tcPr>
            <w:tcW w:w="1181" w:type="dxa"/>
            <w:vMerge w:val="continue"/>
            <w:vAlign w:val="center"/>
          </w:tcPr>
          <w:p>
            <w:pPr>
              <w:jc w:val="center"/>
              <w:rPr>
                <w:rFonts w:hint="default" w:ascii="Times New Roman" w:hAnsi="Times New Roman" w:cs="Times New Roman"/>
                <w:b/>
                <w:szCs w:val="21"/>
              </w:rPr>
            </w:pPr>
          </w:p>
        </w:tc>
        <w:tc>
          <w:tcPr>
            <w:tcW w:w="1935" w:type="dxa"/>
            <w:gridSpan w:val="2"/>
            <w:tcBorders>
              <w:right w:val="single"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场界值（未处理）</w:t>
            </w:r>
          </w:p>
        </w:tc>
        <w:tc>
          <w:tcPr>
            <w:tcW w:w="1867" w:type="dxa"/>
            <w:gridSpan w:val="2"/>
            <w:tcBorders>
              <w:left w:val="single"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标准值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180" w:type="dxa"/>
            <w:vMerge w:val="continue"/>
            <w:vAlign w:val="center"/>
          </w:tcPr>
          <w:p>
            <w:pPr>
              <w:jc w:val="center"/>
              <w:rPr>
                <w:rFonts w:hint="default" w:ascii="Times New Roman" w:hAnsi="Times New Roman" w:cs="Times New Roman"/>
                <w:b/>
                <w:szCs w:val="21"/>
              </w:rPr>
            </w:pPr>
          </w:p>
        </w:tc>
        <w:tc>
          <w:tcPr>
            <w:tcW w:w="1624" w:type="dxa"/>
            <w:vMerge w:val="continue"/>
            <w:vAlign w:val="center"/>
          </w:tcPr>
          <w:p>
            <w:pPr>
              <w:jc w:val="center"/>
              <w:rPr>
                <w:rFonts w:hint="default" w:ascii="Times New Roman" w:hAnsi="Times New Roman" w:cs="Times New Roman"/>
                <w:b/>
                <w:szCs w:val="21"/>
              </w:rPr>
            </w:pPr>
          </w:p>
        </w:tc>
        <w:tc>
          <w:tcPr>
            <w:tcW w:w="1766" w:type="dxa"/>
            <w:vMerge w:val="continue"/>
            <w:vAlign w:val="center"/>
          </w:tcPr>
          <w:p>
            <w:pPr>
              <w:jc w:val="center"/>
              <w:rPr>
                <w:rFonts w:hint="default" w:ascii="Times New Roman" w:hAnsi="Times New Roman" w:cs="Times New Roman"/>
                <w:b/>
                <w:szCs w:val="21"/>
              </w:rPr>
            </w:pPr>
          </w:p>
        </w:tc>
        <w:tc>
          <w:tcPr>
            <w:tcW w:w="1181" w:type="dxa"/>
            <w:vMerge w:val="continue"/>
            <w:vAlign w:val="center"/>
          </w:tcPr>
          <w:p>
            <w:pPr>
              <w:jc w:val="center"/>
              <w:rPr>
                <w:rFonts w:hint="default" w:ascii="Times New Roman" w:hAnsi="Times New Roman" w:cs="Times New Roman"/>
                <w:b/>
                <w:szCs w:val="21"/>
              </w:rPr>
            </w:pPr>
          </w:p>
        </w:tc>
        <w:tc>
          <w:tcPr>
            <w:tcW w:w="967" w:type="dxa"/>
            <w:tcBorders>
              <w:right w:val="single"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昼间</w:t>
            </w:r>
          </w:p>
        </w:tc>
        <w:tc>
          <w:tcPr>
            <w:tcW w:w="968" w:type="dxa"/>
            <w:tcBorders>
              <w:left w:val="single" w:color="auto" w:sz="4" w:space="0"/>
              <w:right w:val="single"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夜间</w:t>
            </w:r>
          </w:p>
        </w:tc>
        <w:tc>
          <w:tcPr>
            <w:tcW w:w="966" w:type="dxa"/>
            <w:tcBorders>
              <w:left w:val="single" w:color="auto" w:sz="4" w:space="0"/>
              <w:right w:val="single"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昼间</w:t>
            </w:r>
          </w:p>
        </w:tc>
        <w:tc>
          <w:tcPr>
            <w:tcW w:w="901" w:type="dxa"/>
            <w:tcBorders>
              <w:left w:val="single"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土石</w:t>
            </w:r>
          </w:p>
          <w:p>
            <w:pPr>
              <w:jc w:val="center"/>
              <w:rPr>
                <w:rFonts w:hint="default" w:ascii="Times New Roman" w:hAnsi="Times New Roman" w:cs="Times New Roman"/>
                <w:b/>
                <w:szCs w:val="21"/>
              </w:rPr>
            </w:pPr>
            <w:r>
              <w:rPr>
                <w:rFonts w:hint="default" w:ascii="Times New Roman" w:hAnsi="Times New Roman" w:cs="Times New Roman"/>
                <w:b/>
                <w:szCs w:val="21"/>
              </w:rPr>
              <w:t>方、主体施工阶段</w:t>
            </w: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挖土机</w:t>
            </w:r>
          </w:p>
        </w:tc>
        <w:tc>
          <w:tcPr>
            <w:tcW w:w="1766" w:type="dxa"/>
            <w:tcBorders>
              <w:bottom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78~95</w:t>
            </w:r>
          </w:p>
        </w:tc>
        <w:tc>
          <w:tcPr>
            <w:tcW w:w="1181"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机械噪声</w:t>
            </w:r>
          </w:p>
        </w:tc>
        <w:tc>
          <w:tcPr>
            <w:tcW w:w="967" w:type="dxa"/>
            <w:vMerge w:val="restart"/>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75~85</w:t>
            </w:r>
          </w:p>
        </w:tc>
        <w:tc>
          <w:tcPr>
            <w:tcW w:w="968" w:type="dxa"/>
            <w:vMerge w:val="restart"/>
            <w:tcBorders>
              <w:left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75~85</w:t>
            </w:r>
          </w:p>
        </w:tc>
        <w:tc>
          <w:tcPr>
            <w:tcW w:w="966" w:type="dxa"/>
            <w:vMerge w:val="restart"/>
            <w:tcBorders>
              <w:left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70</w:t>
            </w:r>
          </w:p>
        </w:tc>
        <w:tc>
          <w:tcPr>
            <w:tcW w:w="901" w:type="dxa"/>
            <w:vMerge w:val="restart"/>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continue"/>
            <w:vAlign w:val="center"/>
          </w:tcPr>
          <w:p>
            <w:pPr>
              <w:jc w:val="center"/>
              <w:rPr>
                <w:rFonts w:hint="default" w:ascii="Times New Roman" w:hAnsi="Times New Roman" w:cs="Times New Roman"/>
                <w:b/>
                <w:szCs w:val="21"/>
              </w:rPr>
            </w:pP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冲击机</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95</w:t>
            </w:r>
          </w:p>
        </w:tc>
        <w:tc>
          <w:tcPr>
            <w:tcW w:w="1181" w:type="dxa"/>
            <w:vMerge w:val="continue"/>
            <w:vAlign w:val="center"/>
          </w:tcPr>
          <w:p>
            <w:pPr>
              <w:jc w:val="center"/>
              <w:rPr>
                <w:rFonts w:hint="default" w:ascii="Times New Roman" w:hAnsi="Times New Roman" w:cs="Times New Roman"/>
                <w:szCs w:val="21"/>
              </w:rPr>
            </w:pPr>
          </w:p>
        </w:tc>
        <w:tc>
          <w:tcPr>
            <w:tcW w:w="967"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68"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66"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01" w:type="dxa"/>
            <w:vMerge w:val="continue"/>
            <w:tcBorders>
              <w:left w:val="single" w:color="auto" w:sz="4" w:space="0"/>
            </w:tcBorders>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continue"/>
            <w:vAlign w:val="center"/>
          </w:tcPr>
          <w:p>
            <w:pPr>
              <w:jc w:val="center"/>
              <w:rPr>
                <w:rFonts w:hint="default" w:ascii="Times New Roman" w:hAnsi="Times New Roman" w:cs="Times New Roman"/>
                <w:b/>
                <w:szCs w:val="21"/>
              </w:rPr>
            </w:pP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空压机</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75~85</w:t>
            </w:r>
          </w:p>
        </w:tc>
        <w:tc>
          <w:tcPr>
            <w:tcW w:w="1181" w:type="dxa"/>
            <w:vMerge w:val="continue"/>
            <w:vAlign w:val="center"/>
          </w:tcPr>
          <w:p>
            <w:pPr>
              <w:jc w:val="center"/>
              <w:rPr>
                <w:rFonts w:hint="default" w:ascii="Times New Roman" w:hAnsi="Times New Roman" w:cs="Times New Roman"/>
                <w:szCs w:val="21"/>
              </w:rPr>
            </w:pPr>
          </w:p>
        </w:tc>
        <w:tc>
          <w:tcPr>
            <w:tcW w:w="967"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68"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66"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01" w:type="dxa"/>
            <w:vMerge w:val="continue"/>
            <w:tcBorders>
              <w:left w:val="single" w:color="auto" w:sz="4" w:space="0"/>
            </w:tcBorders>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continue"/>
            <w:vAlign w:val="center"/>
          </w:tcPr>
          <w:p>
            <w:pPr>
              <w:jc w:val="center"/>
              <w:rPr>
                <w:rFonts w:hint="default" w:ascii="Times New Roman" w:hAnsi="Times New Roman" w:cs="Times New Roman"/>
                <w:b/>
                <w:szCs w:val="21"/>
              </w:rPr>
            </w:pP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压缩机</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75~88</w:t>
            </w:r>
          </w:p>
        </w:tc>
        <w:tc>
          <w:tcPr>
            <w:tcW w:w="1181" w:type="dxa"/>
            <w:vMerge w:val="continue"/>
            <w:tcBorders>
              <w:bottom w:val="single" w:color="auto" w:sz="4" w:space="0"/>
            </w:tcBorders>
            <w:vAlign w:val="center"/>
          </w:tcPr>
          <w:p>
            <w:pPr>
              <w:jc w:val="center"/>
              <w:rPr>
                <w:rFonts w:hint="default" w:ascii="Times New Roman" w:hAnsi="Times New Roman" w:cs="Times New Roman"/>
                <w:szCs w:val="21"/>
              </w:rPr>
            </w:pPr>
          </w:p>
        </w:tc>
        <w:tc>
          <w:tcPr>
            <w:tcW w:w="967"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68"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66"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01" w:type="dxa"/>
            <w:vMerge w:val="continue"/>
            <w:tcBorders>
              <w:left w:val="single" w:color="auto" w:sz="4" w:space="0"/>
            </w:tcBorders>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trHeight w:val="226" w:hRule="atLeast"/>
          <w:jc w:val="center"/>
        </w:trPr>
        <w:tc>
          <w:tcPr>
            <w:tcW w:w="1180" w:type="dxa"/>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底板与</w:t>
            </w:r>
          </w:p>
          <w:p>
            <w:pPr>
              <w:jc w:val="center"/>
              <w:rPr>
                <w:rFonts w:hint="default" w:ascii="Times New Roman" w:hAnsi="Times New Roman" w:cs="Times New Roman"/>
                <w:b/>
                <w:szCs w:val="21"/>
              </w:rPr>
            </w:pPr>
            <w:r>
              <w:rPr>
                <w:rFonts w:hint="default" w:ascii="Times New Roman" w:hAnsi="Times New Roman" w:cs="Times New Roman"/>
                <w:b/>
                <w:szCs w:val="21"/>
              </w:rPr>
              <w:t>结构阶段</w:t>
            </w: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混凝土输送泵</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90~100</w:t>
            </w:r>
          </w:p>
        </w:tc>
        <w:tc>
          <w:tcPr>
            <w:tcW w:w="1181" w:type="dxa"/>
            <w:vMerge w:val="restart"/>
            <w:tcBorders>
              <w:top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机械噪声</w:t>
            </w:r>
          </w:p>
        </w:tc>
        <w:tc>
          <w:tcPr>
            <w:tcW w:w="967" w:type="dxa"/>
            <w:vMerge w:val="restart"/>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70~85</w:t>
            </w:r>
          </w:p>
        </w:tc>
        <w:tc>
          <w:tcPr>
            <w:tcW w:w="968" w:type="dxa"/>
            <w:vMerge w:val="restart"/>
            <w:tcBorders>
              <w:left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70~85</w:t>
            </w:r>
          </w:p>
        </w:tc>
        <w:tc>
          <w:tcPr>
            <w:tcW w:w="966" w:type="dxa"/>
            <w:vMerge w:val="restart"/>
            <w:tcBorders>
              <w:left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70</w:t>
            </w:r>
          </w:p>
        </w:tc>
        <w:tc>
          <w:tcPr>
            <w:tcW w:w="901" w:type="dxa"/>
            <w:vMerge w:val="restart"/>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continue"/>
            <w:vAlign w:val="center"/>
          </w:tcPr>
          <w:p>
            <w:pPr>
              <w:jc w:val="center"/>
              <w:rPr>
                <w:rFonts w:hint="default" w:ascii="Times New Roman" w:hAnsi="Times New Roman" w:cs="Times New Roman"/>
                <w:b/>
                <w:szCs w:val="21"/>
              </w:rPr>
            </w:pP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振捣器</w:t>
            </w:r>
          </w:p>
        </w:tc>
        <w:tc>
          <w:tcPr>
            <w:tcW w:w="1766" w:type="dxa"/>
            <w:tcBorders>
              <w:bottom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100~105</w:t>
            </w:r>
          </w:p>
        </w:tc>
        <w:tc>
          <w:tcPr>
            <w:tcW w:w="1181" w:type="dxa"/>
            <w:vMerge w:val="continue"/>
            <w:vAlign w:val="center"/>
          </w:tcPr>
          <w:p>
            <w:pPr>
              <w:jc w:val="center"/>
              <w:rPr>
                <w:rFonts w:hint="default" w:ascii="Times New Roman" w:hAnsi="Times New Roman" w:cs="Times New Roman"/>
                <w:szCs w:val="21"/>
              </w:rPr>
            </w:pPr>
          </w:p>
        </w:tc>
        <w:tc>
          <w:tcPr>
            <w:tcW w:w="967"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68"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66"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01" w:type="dxa"/>
            <w:vMerge w:val="continue"/>
            <w:tcBorders>
              <w:left w:val="single" w:color="auto" w:sz="4" w:space="0"/>
            </w:tcBorders>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continue"/>
            <w:vAlign w:val="center"/>
          </w:tcPr>
          <w:p>
            <w:pPr>
              <w:jc w:val="center"/>
              <w:rPr>
                <w:rFonts w:hint="default" w:ascii="Times New Roman" w:hAnsi="Times New Roman" w:cs="Times New Roman"/>
                <w:b/>
                <w:szCs w:val="21"/>
              </w:rPr>
            </w:pP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电锯</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100~105</w:t>
            </w:r>
          </w:p>
        </w:tc>
        <w:tc>
          <w:tcPr>
            <w:tcW w:w="1181" w:type="dxa"/>
            <w:vMerge w:val="continue"/>
            <w:vAlign w:val="center"/>
          </w:tcPr>
          <w:p>
            <w:pPr>
              <w:jc w:val="center"/>
              <w:rPr>
                <w:rFonts w:hint="default" w:ascii="Times New Roman" w:hAnsi="Times New Roman" w:cs="Times New Roman"/>
                <w:szCs w:val="21"/>
              </w:rPr>
            </w:pPr>
          </w:p>
        </w:tc>
        <w:tc>
          <w:tcPr>
            <w:tcW w:w="967"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68"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66"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01" w:type="dxa"/>
            <w:vMerge w:val="continue"/>
            <w:tcBorders>
              <w:left w:val="single" w:color="auto" w:sz="4" w:space="0"/>
            </w:tcBorders>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continue"/>
            <w:vAlign w:val="center"/>
          </w:tcPr>
          <w:p>
            <w:pPr>
              <w:jc w:val="center"/>
              <w:rPr>
                <w:rFonts w:hint="default" w:ascii="Times New Roman" w:hAnsi="Times New Roman" w:cs="Times New Roman"/>
                <w:b/>
                <w:szCs w:val="21"/>
              </w:rPr>
            </w:pP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电焊机</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90~95</w:t>
            </w:r>
          </w:p>
        </w:tc>
        <w:tc>
          <w:tcPr>
            <w:tcW w:w="1181" w:type="dxa"/>
            <w:vMerge w:val="continue"/>
            <w:vAlign w:val="center"/>
          </w:tcPr>
          <w:p>
            <w:pPr>
              <w:jc w:val="center"/>
              <w:rPr>
                <w:rFonts w:hint="default" w:ascii="Times New Roman" w:hAnsi="Times New Roman" w:cs="Times New Roman"/>
                <w:szCs w:val="21"/>
              </w:rPr>
            </w:pPr>
          </w:p>
        </w:tc>
        <w:tc>
          <w:tcPr>
            <w:tcW w:w="967"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68"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66"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01" w:type="dxa"/>
            <w:vMerge w:val="continue"/>
            <w:tcBorders>
              <w:left w:val="single" w:color="auto" w:sz="4" w:space="0"/>
            </w:tcBorders>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restart"/>
            <w:vAlign w:val="center"/>
          </w:tcPr>
          <w:p>
            <w:pPr>
              <w:jc w:val="center"/>
              <w:rPr>
                <w:rFonts w:hint="default" w:ascii="Times New Roman" w:hAnsi="Times New Roman" w:cs="Times New Roman"/>
                <w:b/>
                <w:szCs w:val="21"/>
              </w:rPr>
            </w:pPr>
          </w:p>
          <w:p>
            <w:pPr>
              <w:jc w:val="center"/>
              <w:rPr>
                <w:rFonts w:hint="default" w:ascii="Times New Roman" w:hAnsi="Times New Roman" w:cs="Times New Roman"/>
                <w:b/>
                <w:szCs w:val="21"/>
              </w:rPr>
            </w:pPr>
            <w:r>
              <w:rPr>
                <w:rFonts w:hint="default" w:ascii="Times New Roman" w:hAnsi="Times New Roman" w:cs="Times New Roman"/>
                <w:b/>
                <w:szCs w:val="21"/>
              </w:rPr>
              <w:t>隔间、装修、安装阶段</w:t>
            </w: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电  钻</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100~105</w:t>
            </w:r>
          </w:p>
        </w:tc>
        <w:tc>
          <w:tcPr>
            <w:tcW w:w="1181"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机械噪声</w:t>
            </w:r>
          </w:p>
        </w:tc>
        <w:tc>
          <w:tcPr>
            <w:tcW w:w="967" w:type="dxa"/>
            <w:vMerge w:val="restart"/>
            <w:tcBorders>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80~95</w:t>
            </w:r>
          </w:p>
        </w:tc>
        <w:tc>
          <w:tcPr>
            <w:tcW w:w="968" w:type="dxa"/>
            <w:vMerge w:val="restart"/>
            <w:tcBorders>
              <w:left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80~95</w:t>
            </w:r>
          </w:p>
        </w:tc>
        <w:tc>
          <w:tcPr>
            <w:tcW w:w="966" w:type="dxa"/>
            <w:vMerge w:val="restart"/>
            <w:tcBorders>
              <w:left w:val="single" w:color="auto" w:sz="4" w:space="0"/>
              <w:righ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70</w:t>
            </w:r>
          </w:p>
        </w:tc>
        <w:tc>
          <w:tcPr>
            <w:tcW w:w="901" w:type="dxa"/>
            <w:vMerge w:val="restart"/>
            <w:tcBorders>
              <w:left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continue"/>
            <w:vAlign w:val="center"/>
          </w:tcPr>
          <w:p>
            <w:pPr>
              <w:jc w:val="center"/>
              <w:rPr>
                <w:rFonts w:hint="default" w:ascii="Times New Roman" w:hAnsi="Times New Roman" w:cs="Times New Roman"/>
                <w:szCs w:val="21"/>
              </w:rPr>
            </w:pP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电  锤</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100~105</w:t>
            </w:r>
          </w:p>
        </w:tc>
        <w:tc>
          <w:tcPr>
            <w:tcW w:w="1181" w:type="dxa"/>
            <w:vMerge w:val="continue"/>
            <w:vAlign w:val="center"/>
          </w:tcPr>
          <w:p>
            <w:pPr>
              <w:jc w:val="center"/>
              <w:rPr>
                <w:rFonts w:hint="default" w:ascii="Times New Roman" w:hAnsi="Times New Roman" w:cs="Times New Roman"/>
                <w:szCs w:val="21"/>
              </w:rPr>
            </w:pPr>
          </w:p>
        </w:tc>
        <w:tc>
          <w:tcPr>
            <w:tcW w:w="967"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68"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66"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01" w:type="dxa"/>
            <w:vMerge w:val="continue"/>
            <w:tcBorders>
              <w:left w:val="single" w:color="auto" w:sz="4" w:space="0"/>
            </w:tcBorders>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continue"/>
            <w:vAlign w:val="center"/>
          </w:tcPr>
          <w:p>
            <w:pPr>
              <w:jc w:val="center"/>
              <w:rPr>
                <w:rFonts w:hint="default" w:ascii="Times New Roman" w:hAnsi="Times New Roman" w:cs="Times New Roman"/>
                <w:szCs w:val="21"/>
              </w:rPr>
            </w:pP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手工钻</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100~105</w:t>
            </w:r>
          </w:p>
        </w:tc>
        <w:tc>
          <w:tcPr>
            <w:tcW w:w="1181" w:type="dxa"/>
            <w:vMerge w:val="continue"/>
            <w:vAlign w:val="center"/>
          </w:tcPr>
          <w:p>
            <w:pPr>
              <w:jc w:val="center"/>
              <w:rPr>
                <w:rFonts w:hint="default" w:ascii="Times New Roman" w:hAnsi="Times New Roman" w:cs="Times New Roman"/>
                <w:szCs w:val="21"/>
              </w:rPr>
            </w:pPr>
          </w:p>
        </w:tc>
        <w:tc>
          <w:tcPr>
            <w:tcW w:w="967"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68"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66"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01" w:type="dxa"/>
            <w:vMerge w:val="continue"/>
            <w:tcBorders>
              <w:left w:val="single" w:color="auto" w:sz="4" w:space="0"/>
            </w:tcBorders>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continue"/>
            <w:vAlign w:val="center"/>
          </w:tcPr>
          <w:p>
            <w:pPr>
              <w:jc w:val="center"/>
              <w:rPr>
                <w:rFonts w:hint="default" w:ascii="Times New Roman" w:hAnsi="Times New Roman" w:cs="Times New Roman"/>
                <w:szCs w:val="21"/>
              </w:rPr>
            </w:pP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无齿锯</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105</w:t>
            </w:r>
          </w:p>
        </w:tc>
        <w:tc>
          <w:tcPr>
            <w:tcW w:w="1181" w:type="dxa"/>
            <w:vMerge w:val="continue"/>
            <w:vAlign w:val="center"/>
          </w:tcPr>
          <w:p>
            <w:pPr>
              <w:jc w:val="center"/>
              <w:rPr>
                <w:rFonts w:hint="default" w:ascii="Times New Roman" w:hAnsi="Times New Roman" w:cs="Times New Roman"/>
                <w:szCs w:val="21"/>
              </w:rPr>
            </w:pPr>
          </w:p>
        </w:tc>
        <w:tc>
          <w:tcPr>
            <w:tcW w:w="967"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68"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66"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01" w:type="dxa"/>
            <w:vMerge w:val="continue"/>
            <w:tcBorders>
              <w:left w:val="single" w:color="auto" w:sz="4" w:space="0"/>
            </w:tcBorders>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continue"/>
            <w:vAlign w:val="center"/>
          </w:tcPr>
          <w:p>
            <w:pPr>
              <w:jc w:val="center"/>
              <w:rPr>
                <w:rFonts w:hint="default" w:ascii="Times New Roman" w:hAnsi="Times New Roman" w:cs="Times New Roman"/>
                <w:szCs w:val="21"/>
              </w:rPr>
            </w:pP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多功能木工刨</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90~100</w:t>
            </w:r>
          </w:p>
        </w:tc>
        <w:tc>
          <w:tcPr>
            <w:tcW w:w="1181" w:type="dxa"/>
            <w:vMerge w:val="continue"/>
            <w:vAlign w:val="center"/>
          </w:tcPr>
          <w:p>
            <w:pPr>
              <w:jc w:val="center"/>
              <w:rPr>
                <w:rFonts w:hint="default" w:ascii="Times New Roman" w:hAnsi="Times New Roman" w:cs="Times New Roman"/>
                <w:szCs w:val="21"/>
              </w:rPr>
            </w:pPr>
          </w:p>
        </w:tc>
        <w:tc>
          <w:tcPr>
            <w:tcW w:w="967"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68"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66"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01" w:type="dxa"/>
            <w:vMerge w:val="continue"/>
            <w:tcBorders>
              <w:left w:val="single" w:color="auto" w:sz="4" w:space="0"/>
            </w:tcBorders>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continue"/>
            <w:vAlign w:val="center"/>
          </w:tcPr>
          <w:p>
            <w:pPr>
              <w:jc w:val="center"/>
              <w:rPr>
                <w:rFonts w:hint="default" w:ascii="Times New Roman" w:hAnsi="Times New Roman" w:cs="Times New Roman"/>
                <w:szCs w:val="21"/>
              </w:rPr>
            </w:pP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切割机</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100~105</w:t>
            </w:r>
          </w:p>
        </w:tc>
        <w:tc>
          <w:tcPr>
            <w:tcW w:w="1181" w:type="dxa"/>
            <w:vMerge w:val="continue"/>
            <w:vAlign w:val="center"/>
          </w:tcPr>
          <w:p>
            <w:pPr>
              <w:jc w:val="center"/>
              <w:rPr>
                <w:rFonts w:hint="default" w:ascii="Times New Roman" w:hAnsi="Times New Roman" w:cs="Times New Roman"/>
                <w:szCs w:val="21"/>
              </w:rPr>
            </w:pPr>
          </w:p>
        </w:tc>
        <w:tc>
          <w:tcPr>
            <w:tcW w:w="967"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68"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66"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01" w:type="dxa"/>
            <w:vMerge w:val="continue"/>
            <w:tcBorders>
              <w:left w:val="single" w:color="auto" w:sz="4" w:space="0"/>
            </w:tcBorders>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continue"/>
            <w:vAlign w:val="center"/>
          </w:tcPr>
          <w:p>
            <w:pPr>
              <w:jc w:val="center"/>
              <w:rPr>
                <w:rFonts w:hint="default" w:ascii="Times New Roman" w:hAnsi="Times New Roman" w:cs="Times New Roman"/>
                <w:szCs w:val="21"/>
              </w:rPr>
            </w:pP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云石机</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100~105</w:t>
            </w:r>
          </w:p>
        </w:tc>
        <w:tc>
          <w:tcPr>
            <w:tcW w:w="1181" w:type="dxa"/>
            <w:vMerge w:val="continue"/>
            <w:vAlign w:val="center"/>
          </w:tcPr>
          <w:p>
            <w:pPr>
              <w:jc w:val="center"/>
              <w:rPr>
                <w:rFonts w:hint="default" w:ascii="Times New Roman" w:hAnsi="Times New Roman" w:cs="Times New Roman"/>
                <w:szCs w:val="21"/>
              </w:rPr>
            </w:pPr>
          </w:p>
        </w:tc>
        <w:tc>
          <w:tcPr>
            <w:tcW w:w="967"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68"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66"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01" w:type="dxa"/>
            <w:vMerge w:val="continue"/>
            <w:tcBorders>
              <w:left w:val="single" w:color="auto" w:sz="4" w:space="0"/>
            </w:tcBorders>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80" w:type="dxa"/>
            <w:vMerge w:val="continue"/>
            <w:vAlign w:val="center"/>
          </w:tcPr>
          <w:p>
            <w:pPr>
              <w:jc w:val="center"/>
              <w:rPr>
                <w:rFonts w:hint="default" w:ascii="Times New Roman" w:hAnsi="Times New Roman" w:cs="Times New Roman"/>
                <w:szCs w:val="21"/>
              </w:rPr>
            </w:pPr>
          </w:p>
        </w:tc>
        <w:tc>
          <w:tcPr>
            <w:tcW w:w="16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角向磨光机</w:t>
            </w:r>
          </w:p>
        </w:tc>
        <w:tc>
          <w:tcPr>
            <w:tcW w:w="1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100~105</w:t>
            </w:r>
          </w:p>
        </w:tc>
        <w:tc>
          <w:tcPr>
            <w:tcW w:w="1181" w:type="dxa"/>
            <w:vMerge w:val="continue"/>
            <w:vAlign w:val="center"/>
          </w:tcPr>
          <w:p>
            <w:pPr>
              <w:jc w:val="center"/>
              <w:rPr>
                <w:rFonts w:hint="default" w:ascii="Times New Roman" w:hAnsi="Times New Roman" w:cs="Times New Roman"/>
                <w:szCs w:val="21"/>
              </w:rPr>
            </w:pPr>
          </w:p>
        </w:tc>
        <w:tc>
          <w:tcPr>
            <w:tcW w:w="967"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68"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66" w:type="dxa"/>
            <w:vMerge w:val="continue"/>
            <w:tcBorders>
              <w:left w:val="single" w:color="auto" w:sz="4" w:space="0"/>
              <w:right w:val="single" w:color="auto" w:sz="4" w:space="0"/>
            </w:tcBorders>
            <w:vAlign w:val="center"/>
          </w:tcPr>
          <w:p>
            <w:pPr>
              <w:jc w:val="center"/>
              <w:rPr>
                <w:rFonts w:hint="default" w:ascii="Times New Roman" w:hAnsi="Times New Roman" w:cs="Times New Roman"/>
                <w:szCs w:val="21"/>
              </w:rPr>
            </w:pPr>
          </w:p>
        </w:tc>
        <w:tc>
          <w:tcPr>
            <w:tcW w:w="901" w:type="dxa"/>
            <w:vMerge w:val="continue"/>
            <w:tcBorders>
              <w:left w:val="single" w:color="auto" w:sz="4" w:space="0"/>
            </w:tcBorders>
            <w:vAlign w:val="center"/>
          </w:tcPr>
          <w:p>
            <w:pPr>
              <w:jc w:val="center"/>
              <w:rPr>
                <w:rFonts w:hint="default" w:ascii="Times New Roman" w:hAnsi="Times New Roman" w:cs="Times New Roman"/>
                <w:szCs w:val="21"/>
              </w:rPr>
            </w:pPr>
          </w:p>
        </w:tc>
      </w:tr>
    </w:tbl>
    <w:p>
      <w:pPr>
        <w:tabs>
          <w:tab w:val="left" w:pos="7725"/>
        </w:tabs>
        <w:spacing w:line="360" w:lineRule="auto"/>
        <w:ind w:firstLine="361" w:firstLineChars="150"/>
        <w:rPr>
          <w:rFonts w:hint="default" w:ascii="Times New Roman" w:hAnsi="Times New Roman" w:cs="Times New Roman"/>
          <w:b/>
        </w:rPr>
      </w:pPr>
      <w:r>
        <w:rPr>
          <w:rFonts w:hint="default" w:ascii="Times New Roman" w:hAnsi="Times New Roman" w:cs="Times New Roman"/>
          <w:b/>
          <w:kern w:val="0"/>
          <w:sz w:val="24"/>
          <w:szCs w:val="24"/>
        </w:rPr>
        <w:t>（2）治理措施</w:t>
      </w:r>
      <w:r>
        <w:rPr>
          <w:rFonts w:hint="default" w:ascii="Times New Roman" w:hAnsi="Times New Roman" w:cs="Times New Roman"/>
          <w:b/>
        </w:rPr>
        <w:tab/>
      </w:r>
    </w:p>
    <w:p>
      <w:pPr>
        <w:autoSpaceDE w:val="0"/>
        <w:autoSpaceDN w:val="0"/>
        <w:adjustRightIn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由上表可以看出，项目施工期产生的噪声在未经任何处理的情况下预估场界噪声约为70dB（A）~95dB（A）之间，《建筑施工场界环境噪声排放标准》（GB12523-2011）的标准限值为昼间70dB（A）、夜间55dB（A）。若不经相关措施处理，噪声场界无法达标，因此，为了降低施工噪声的影响，施工单位应采取相应措施。在施工作业中必须合理安排各类施工机械的工作时间，对不同施工阶段，按《建筑施工场界环境噪声排放标准》（GB12523-2011）对施工场界进行噪声控制。</w:t>
      </w:r>
    </w:p>
    <w:p>
      <w:pPr>
        <w:autoSpaceDE w:val="0"/>
        <w:autoSpaceDN w:val="0"/>
        <w:adjustRightInd w:val="0"/>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A.</w:t>
      </w:r>
      <w:r>
        <w:rPr>
          <w:rFonts w:hint="default" w:ascii="Times New Roman" w:hAnsi="Times New Roman" w:cs="Times New Roman"/>
          <w:color w:val="000000"/>
          <w:sz w:val="24"/>
          <w:szCs w:val="24"/>
        </w:rPr>
        <w:t>从声源上控制：建设单位在与施工单位签订合同时，应要求其使用的主要机械设备为低噪声机械设备，例如选液压机械取代燃油机械。同时在施工过程中施工单位应设专人对设备进行定期保养和维护，并负责对现场工作人员进行培训，严格按操作规范使用各类机械。</w:t>
      </w:r>
    </w:p>
    <w:p>
      <w:pPr>
        <w:autoSpaceDE w:val="0"/>
        <w:autoSpaceDN w:val="0"/>
        <w:adjustRightInd w:val="0"/>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B.</w:t>
      </w:r>
      <w:r>
        <w:rPr>
          <w:rFonts w:hint="default" w:ascii="Times New Roman" w:hAnsi="Times New Roman" w:cs="Times New Roman"/>
          <w:color w:val="000000"/>
          <w:sz w:val="24"/>
          <w:szCs w:val="24"/>
        </w:rPr>
        <w:t>合理安排施工时间，评价要求严禁夜间（22:00~6:00）施工；工程若必须夜间施工，需取得相关部门的同意，并及时与周围住户沟通取得谅解，以免发生纠纷。</w:t>
      </w:r>
    </w:p>
    <w:p>
      <w:pPr>
        <w:autoSpaceDE w:val="0"/>
        <w:autoSpaceDN w:val="0"/>
        <w:adjustRightInd w:val="0"/>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C.</w:t>
      </w:r>
      <w:r>
        <w:rPr>
          <w:rFonts w:hint="default" w:ascii="Times New Roman" w:hAnsi="Times New Roman" w:cs="Times New Roman"/>
          <w:color w:val="000000"/>
          <w:sz w:val="24"/>
          <w:szCs w:val="24"/>
        </w:rPr>
        <w:t>合理布置：在不影响施工情况下将噪声设备尽量不集中安排，并将其移至场地中间位置，距离周边居民较远的地方。同时对固定的机械设备尽量入棚操作。</w:t>
      </w:r>
    </w:p>
    <w:p>
      <w:pPr>
        <w:autoSpaceDE w:val="0"/>
        <w:autoSpaceDN w:val="0"/>
        <w:adjustRightInd w:val="0"/>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D.</w:t>
      </w:r>
      <w:r>
        <w:rPr>
          <w:rFonts w:hint="default" w:ascii="Times New Roman" w:hAnsi="Times New Roman" w:cs="Times New Roman"/>
          <w:color w:val="000000"/>
          <w:sz w:val="24"/>
          <w:szCs w:val="24"/>
        </w:rPr>
        <w:t>车辆出入现场时应低速。</w:t>
      </w:r>
    </w:p>
    <w:p>
      <w:pPr>
        <w:autoSpaceDE w:val="0"/>
        <w:autoSpaceDN w:val="0"/>
        <w:adjustRightInd w:val="0"/>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E.</w:t>
      </w:r>
      <w:r>
        <w:rPr>
          <w:rFonts w:hint="default" w:ascii="Times New Roman" w:hAnsi="Times New Roman" w:cs="Times New Roman"/>
          <w:color w:val="000000"/>
          <w:sz w:val="24"/>
          <w:szCs w:val="24"/>
        </w:rPr>
        <w:t>建设管理部门应加强对施工场地的噪声管理，施工企业也应对施工噪声进行自律，文明施工，避免因施工噪声产生纠纷。</w:t>
      </w:r>
    </w:p>
    <w:p>
      <w:pPr>
        <w:autoSpaceDE w:val="0"/>
        <w:autoSpaceDN w:val="0"/>
        <w:adjustRightInd w:val="0"/>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F.</w:t>
      </w:r>
      <w:r>
        <w:rPr>
          <w:rFonts w:hint="default" w:ascii="Times New Roman" w:hAnsi="Times New Roman" w:cs="Times New Roman"/>
          <w:color w:val="000000"/>
          <w:sz w:val="24"/>
          <w:szCs w:val="24"/>
        </w:rPr>
        <w:t>施工现场提倡文明施工，建立健全控制人为噪声的管理制度，尽量减少人为的大声喧哗，增强全体施工人员的防噪的自觉意识。</w:t>
      </w:r>
    </w:p>
    <w:p>
      <w:pPr>
        <w:autoSpaceDE w:val="0"/>
        <w:autoSpaceDN w:val="0"/>
        <w:adjustRightInd w:val="0"/>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G.</w:t>
      </w:r>
      <w:r>
        <w:rPr>
          <w:rFonts w:hint="default" w:ascii="Times New Roman" w:hAnsi="Times New Roman" w:cs="Times New Roman"/>
          <w:color w:val="000000"/>
          <w:sz w:val="24"/>
          <w:szCs w:val="24"/>
        </w:rPr>
        <w:t>门窗、预制构件、大部分钢筋的成品，半成品在工厂完成，减少施工场地内加工机械产生的噪声，如少量需现场钢筋加工的尽量安排在白天进行。</w:t>
      </w:r>
    </w:p>
    <w:p>
      <w:pPr>
        <w:autoSpaceDE w:val="0"/>
        <w:autoSpaceDN w:val="0"/>
        <w:adjustRightInd w:val="0"/>
        <w:spacing w:line="360" w:lineRule="auto"/>
        <w:ind w:firstLine="482" w:firstLineChars="200"/>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H.</w:t>
      </w:r>
      <w:r>
        <w:rPr>
          <w:rFonts w:hint="default" w:ascii="Times New Roman" w:hAnsi="Times New Roman" w:cs="Times New Roman"/>
          <w:color w:val="000000"/>
          <w:sz w:val="24"/>
          <w:szCs w:val="24"/>
        </w:rPr>
        <w:t>及时关闭不用设备，将可在固定点施工的机械设置在临时施工棚内作业，同时定期维护保养设备，使其处于良好的运转状态。</w:t>
      </w:r>
    </w:p>
    <w:p>
      <w:pPr>
        <w:autoSpaceDE w:val="0"/>
        <w:autoSpaceDN w:val="0"/>
        <w:adjustRightIn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由于项目施工期的噪声影响是暂时的，项目完工后，声环境质量会得到恢复。因此，施工期间注意合理安排施工布局，同时高噪声作业安排在昼间进行，并在施工场界设置维护设施，噪声对周围环境和人们的正常生活影响较小。</w:t>
      </w:r>
    </w:p>
    <w:p>
      <w:pPr>
        <w:spacing w:line="360" w:lineRule="auto"/>
        <w:ind w:firstLine="522" w:firstLineChars="200"/>
        <w:outlineLvl w:val="3"/>
        <w:rPr>
          <w:rFonts w:hint="default" w:ascii="Times New Roman" w:hAnsi="Times New Roman" w:cs="Times New Roman"/>
          <w:b/>
          <w:bCs/>
          <w:spacing w:val="10"/>
          <w:sz w:val="24"/>
          <w:szCs w:val="24"/>
        </w:rPr>
      </w:pPr>
      <w:bookmarkStart w:id="160" w:name="_Toc434833474"/>
      <w:bookmarkStart w:id="161" w:name="_Toc434833660"/>
      <w:bookmarkStart w:id="162" w:name="_Toc434833294"/>
      <w:bookmarkStart w:id="163" w:name="_Toc352158191"/>
      <w:bookmarkStart w:id="164" w:name="_Toc347220074"/>
      <w:bookmarkStart w:id="165" w:name="_Toc351476516"/>
      <w:r>
        <w:rPr>
          <w:rFonts w:hint="default" w:ascii="Times New Roman" w:hAnsi="Times New Roman" w:cs="Times New Roman"/>
          <w:b/>
          <w:bCs/>
          <w:spacing w:val="10"/>
          <w:sz w:val="24"/>
          <w:szCs w:val="24"/>
        </w:rPr>
        <w:t>3.2.3.4 固体废弃物</w:t>
      </w:r>
      <w:bookmarkEnd w:id="160"/>
      <w:bookmarkEnd w:id="161"/>
      <w:bookmarkEnd w:id="162"/>
      <w:bookmarkEnd w:id="163"/>
      <w:bookmarkEnd w:id="164"/>
      <w:bookmarkEnd w:id="165"/>
      <w:r>
        <w:rPr>
          <w:rFonts w:hint="default" w:ascii="Times New Roman" w:hAnsi="Times New Roman" w:cs="Times New Roman"/>
          <w:b/>
          <w:bCs/>
          <w:spacing w:val="10"/>
          <w:sz w:val="24"/>
          <w:szCs w:val="24"/>
        </w:rPr>
        <w:t>污染</w:t>
      </w:r>
    </w:p>
    <w:p>
      <w:pPr>
        <w:spacing w:line="360" w:lineRule="auto"/>
        <w:ind w:firstLine="482" w:firstLineChars="200"/>
        <w:rPr>
          <w:rFonts w:hint="default" w:ascii="Times New Roman" w:hAnsi="Times New Roman" w:cs="Times New Roman"/>
          <w:b/>
          <w:kern w:val="0"/>
          <w:sz w:val="24"/>
          <w:szCs w:val="24"/>
        </w:rPr>
      </w:pPr>
      <w:r>
        <w:rPr>
          <w:rFonts w:hint="default" w:ascii="Times New Roman" w:hAnsi="Times New Roman" w:cs="Times New Roman"/>
          <w:b/>
          <w:kern w:val="0"/>
          <w:sz w:val="24"/>
          <w:szCs w:val="24"/>
        </w:rPr>
        <w:t>（1）污染源分析</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本项目施工期固体废弃物包括基础施工时产生的土石方、建筑垃圾、装修垃圾以及施工人员产生的生活垃圾。</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1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①</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土石方</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sz w:val="24"/>
          <w:szCs w:val="24"/>
        </w:rPr>
        <w:t>项目场地位于丘陵地块，占用土地地形起伏较大，根据统计，项目施工期开挖土石方量约1万m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左右，全部用于场地内回填、地势平整，无外运弃土产生，</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2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②</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建筑垃圾</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主要包括砂石、石块、碎砖瓦、废木料、废金属、废钢筋、钢材等杂物。</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3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③</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装修垃圾</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装修垃圾一般有废弃的砖块、砂、水泥块以及木屑等。</w:t>
      </w:r>
    </w:p>
    <w:p>
      <w:pPr>
        <w:adjustRightIn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4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④</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生活垃圾</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生活垃圾产生量按照0.5kg/d·人计算。预计施工高峰期施工人员有50人，项目施工期生活垃圾产生量为25kg/d。</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（2）治理措施</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1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①</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土石方</w:t>
      </w:r>
    </w:p>
    <w:p>
      <w:pPr>
        <w:spacing w:line="360" w:lineRule="auto"/>
        <w:ind w:firstLine="482" w:firstLineChars="200"/>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根据业主介绍，项目施工开挖的土方均用于填方或场地平整，无弃土外运。评价对土方开挖及暂存过程提出相应的防治措施。</w:t>
      </w:r>
    </w:p>
    <w:p>
      <w:pPr>
        <w:numPr>
          <w:ilvl w:val="0"/>
          <w:numId w:val="3"/>
        </w:num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对开挖的土方进行分层剥离，将可用土单独保存。在开挖土石方时，遇降雨容易形成水土流失而造成对受纳水道的影响，因此，要求在进行开挖土石方作业时，在堆放场地周围设置排水沟及沉淀池，并且在雨季不进行开挖作业或只进行小规模作业，尽可能减少堆放土形成水土流失现象。</w:t>
      </w:r>
    </w:p>
    <w:p>
      <w:pPr>
        <w:numPr>
          <w:ilvl w:val="0"/>
          <w:numId w:val="3"/>
        </w:num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堆存于场地的土石方应加强围栏，表面加盖，加盖材料防雨。</w:t>
      </w:r>
    </w:p>
    <w:p>
      <w:pPr>
        <w:numPr>
          <w:ilvl w:val="0"/>
          <w:numId w:val="3"/>
        </w:num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开挖的土方及时运至堆放区域存放，应及时使用，不宜在场地内长期、大量堆存。严禁随意乱排。</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2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②</w:t>
      </w:r>
      <w:r>
        <w:rPr>
          <w:rFonts w:hint="default" w:ascii="Times New Roman" w:hAnsi="Times New Roman" w:cs="Times New Roman"/>
          <w:sz w:val="24"/>
          <w:szCs w:val="24"/>
        </w:rPr>
        <w:fldChar w:fldCharType="end"/>
      </w:r>
      <w:r>
        <w:rPr>
          <w:rFonts w:hint="default" w:ascii="Times New Roman" w:hAnsi="Times New Roman" w:cs="Times New Roman"/>
          <w:sz w:val="24"/>
          <w:szCs w:val="24"/>
        </w:rPr>
        <w:t>建筑垃圾：</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在施工现场应设置建筑废弃物临时堆场（树立标示牌）并进行防雨、防泄漏处理。施工生产的废料首先应考虑废料的回收利用，对钢筋、钢板、木材等下角料可分类回收，交废物收购站处理；对不能回收的建筑垃圾，如混凝土废料、含砖、石、砂的杂土等要求及时运往夹江县指定的建筑垃圾堆放点堆放，并做好相应的防护措施；若实际施工时无法及时清运，在项目地集中堆放，做好防护措施，定时清运到指定垃圾场，以免影响环境质量。建筑垃圾清运车辆尽量不行走市区道路，避免给沿线地区增加车流量、造成交通堵塞。另外，建筑垃圾的清运时应加盖苫布，防止洒落，外运时间应该避开上下班的高峰期及人流物流的高峰时间。</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3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③</w:t>
      </w:r>
      <w:r>
        <w:rPr>
          <w:rFonts w:hint="default" w:ascii="Times New Roman" w:hAnsi="Times New Roman" w:cs="Times New Roman"/>
          <w:sz w:val="24"/>
          <w:szCs w:val="24"/>
        </w:rPr>
        <w:fldChar w:fldCharType="end"/>
      </w:r>
      <w:r>
        <w:rPr>
          <w:rFonts w:hint="default" w:ascii="Times New Roman" w:hAnsi="Times New Roman" w:cs="Times New Roman"/>
          <w:sz w:val="24"/>
          <w:szCs w:val="24"/>
        </w:rPr>
        <w:t>装修垃圾：</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装修垃圾不能随意倾倒，而应用编织袋包装后运出屋外，放在指定地点，由环卫部门统一清运处理。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为降低装修垃圾清运对环境的影响，外运以上各种建筑垃圾时，出场前一律清洗轮胎，用毡布覆盖，尽量避免轮胎上的泥土掉落至路面而造成扬尘。</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4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④</w:t>
      </w:r>
      <w:r>
        <w:rPr>
          <w:rFonts w:hint="default" w:ascii="Times New Roman" w:hAnsi="Times New Roman" w:cs="Times New Roman"/>
          <w:sz w:val="24"/>
          <w:szCs w:val="24"/>
        </w:rPr>
        <w:fldChar w:fldCharType="end"/>
      </w:r>
      <w:r>
        <w:rPr>
          <w:rFonts w:hint="default" w:ascii="Times New Roman" w:hAnsi="Times New Roman" w:cs="Times New Roman"/>
          <w:sz w:val="24"/>
          <w:szCs w:val="24"/>
        </w:rPr>
        <w:t>生活垃圾：</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设置垃圾桶并且加盖，施工人员每日产生的生活垃圾应经过垃圾桶收集后，由专人送往附近生活垃圾收集点堆放，不可就地填埋，不可随意丢弃。</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综上所述，项目施工期在严格落实了本环评提出的上述措施后，其施工期的固体废弃物可实现清洁处理和处置，不造成二次污染。</w:t>
      </w:r>
      <w:r>
        <w:rPr>
          <w:rFonts w:hint="default" w:ascii="Times New Roman" w:hAnsi="Times New Roman" w:cs="Times New Roman"/>
          <w:b/>
          <w:sz w:val="24"/>
          <w:szCs w:val="24"/>
        </w:rPr>
        <w:t>环评要求，施工期间严禁将固体废物随意乱排。</w:t>
      </w:r>
    </w:p>
    <w:p>
      <w:pPr>
        <w:spacing w:line="360" w:lineRule="auto"/>
        <w:ind w:firstLine="522" w:firstLineChars="200"/>
        <w:outlineLvl w:val="3"/>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3.2.3.5 生态环境</w:t>
      </w:r>
    </w:p>
    <w:p>
      <w:pPr>
        <w:spacing w:line="360" w:lineRule="auto"/>
        <w:ind w:firstLine="482" w:firstLineChars="200"/>
        <w:rPr>
          <w:rFonts w:hint="default" w:ascii="Times New Roman" w:hAnsi="Times New Roman" w:cs="Times New Roman"/>
          <w:b/>
          <w:kern w:val="0"/>
          <w:sz w:val="24"/>
          <w:szCs w:val="24"/>
        </w:rPr>
      </w:pPr>
      <w:r>
        <w:rPr>
          <w:rFonts w:hint="default" w:ascii="Times New Roman" w:hAnsi="Times New Roman" w:cs="Times New Roman"/>
          <w:b/>
          <w:kern w:val="0"/>
          <w:sz w:val="24"/>
          <w:szCs w:val="24"/>
        </w:rPr>
        <w:t>（1）影响分析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项目用地不涉及风景名胜、自然遗产地、森林公园等特殊保护区，也无珍惜、保护动植物分布。项目用地现状覆盖有植被（主要为杂草、灌木、经济作物），项目的实施将会对现有植被造成破坏。</w:t>
      </w:r>
      <w:r>
        <w:rPr>
          <w:rFonts w:hint="default" w:ascii="Times New Roman" w:hAnsi="Times New Roman" w:cs="Times New Roman"/>
          <w:color w:val="000000"/>
          <w:sz w:val="24"/>
          <w:szCs w:val="24"/>
        </w:rPr>
        <w:t>项目实施工程中造成场地内土质结构松散，易被雨水冲刷造成水土流失，另外土方临时堆场若未及时清运以及对堆场进行覆盖将由于雨水冲刷造成水土流失。</w:t>
      </w:r>
    </w:p>
    <w:p>
      <w:pPr>
        <w:spacing w:line="360" w:lineRule="auto"/>
        <w:ind w:firstLine="482" w:firstLineChars="200"/>
        <w:rPr>
          <w:rFonts w:hint="default" w:ascii="Times New Roman" w:hAnsi="Times New Roman" w:cs="Times New Roman"/>
          <w:b/>
          <w:kern w:val="0"/>
          <w:sz w:val="24"/>
          <w:szCs w:val="24"/>
        </w:rPr>
      </w:pPr>
      <w:r>
        <w:rPr>
          <w:rFonts w:hint="default" w:ascii="Times New Roman" w:hAnsi="Times New Roman" w:cs="Times New Roman"/>
          <w:b/>
          <w:kern w:val="0"/>
          <w:sz w:val="24"/>
          <w:szCs w:val="24"/>
        </w:rPr>
        <w:t>（2）治理措施</w:t>
      </w:r>
    </w:p>
    <w:p>
      <w:pPr>
        <w:spacing w:line="360" w:lineRule="auto"/>
        <w:rPr>
          <w:rFonts w:hint="default" w:ascii="Times New Roman" w:hAnsi="Times New Roman" w:cs="Times New Roman"/>
          <w:color w:val="000000"/>
          <w:sz w:val="24"/>
          <w:szCs w:val="24"/>
        </w:rPr>
      </w:pPr>
      <w:r>
        <w:rPr>
          <w:rFonts w:hint="default" w:ascii="Times New Roman" w:hAnsi="Times New Roman" w:cs="Times New Roman"/>
          <w:sz w:val="24"/>
          <w:szCs w:val="24"/>
        </w:rPr>
        <w:t xml:space="preserve">   </w:t>
      </w:r>
      <w:r>
        <w:rPr>
          <w:rFonts w:hint="default" w:ascii="Times New Roman" w:hAnsi="Times New Roman" w:cs="Times New Roman"/>
          <w:color w:val="FF0000"/>
          <w:sz w:val="24"/>
          <w:szCs w:val="24"/>
        </w:rPr>
        <w:t xml:space="preserve"> </w:t>
      </w: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1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①</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植被破坏</w:t>
      </w:r>
    </w:p>
    <w:p>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1）在施工作业过程中，不得随意开挖，强化生态环境保护意识，严格控制施工作业区，不得随意扩大范围，尽量减少对植被的破坏。</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2）合理利用场地内原有树林植被设置绿化带，尽量保留可利用植被，降低生态影响。</w:t>
      </w:r>
    </w:p>
    <w:p>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3）项目实施后，对厂区内进行绿化，种植花草树木，尽量恢复区域绿化。</w:t>
      </w:r>
    </w:p>
    <w:p>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2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②</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水土流失</w:t>
      </w:r>
    </w:p>
    <w:p>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1）整个施工过程中尽可能避开雨天开挖施工；</w:t>
      </w:r>
    </w:p>
    <w:p>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2）在施工作业过程中，不得随意开挖，强化生态环境保护意识，严格控制施工作业区，不得随意扩大范围，尽量减少对植被的破坏，保护水土资源；</w:t>
      </w:r>
    </w:p>
    <w:p>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3）对于开挖土石方，减少临时堆放和不必要的转运过程，应尽快回填剩余用于场区内土地平整。环评要求挖方时对土方进行剥离，可用土进行单独保存。</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color w:val="000000"/>
          <w:sz w:val="24"/>
          <w:szCs w:val="24"/>
        </w:rPr>
        <w:t>4）</w:t>
      </w:r>
      <w:r>
        <w:rPr>
          <w:rFonts w:hint="default" w:ascii="Times New Roman" w:hAnsi="Times New Roman" w:cs="Times New Roman"/>
          <w:sz w:val="24"/>
          <w:szCs w:val="24"/>
        </w:rPr>
        <w:t>在基础清理开挖时，为防止开挖土方进入施工区外，在开挖线外缘一侧用编织 袋装清理表层土临时拦挡；</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5）临时堆场周边设置围挡，并采用防雨布进行覆盖。</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6）尽快完善在施工场地四周雨水排水沟，防止雨水冲刷场地，并在排水沟出口设临时沉淀池，使雨水经沉淀后排放，尽力减少施工期水土流失。</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通过上述处理后，可有效减小本项目实施对生态环境的影响。</w:t>
      </w:r>
    </w:p>
    <w:p>
      <w:pPr>
        <w:pStyle w:val="68"/>
        <w:overflowPunct w:val="0"/>
        <w:spacing w:line="360" w:lineRule="auto"/>
        <w:outlineLvl w:val="1"/>
        <w:rPr>
          <w:rFonts w:hint="default" w:ascii="Times New Roman" w:hAnsi="Times New Roman" w:eastAsia="宋体" w:cs="Times New Roman"/>
          <w:color w:val="000000"/>
          <w:sz w:val="28"/>
          <w:szCs w:val="28"/>
          <w:lang w:val="zh-CN"/>
        </w:rPr>
      </w:pPr>
      <w:bookmarkStart w:id="166" w:name="_Toc13226"/>
      <w:bookmarkStart w:id="167" w:name="_Toc371868944"/>
      <w:bookmarkStart w:id="168" w:name="_Toc269400661"/>
      <w:bookmarkStart w:id="169" w:name="_Toc311979799"/>
      <w:bookmarkStart w:id="170" w:name="_Toc311979845"/>
      <w:bookmarkStart w:id="171" w:name="_Toc311979913"/>
      <w:r>
        <w:rPr>
          <w:rFonts w:hint="default" w:ascii="Times New Roman" w:hAnsi="Times New Roman" w:eastAsia="宋体" w:cs="Times New Roman"/>
          <w:color w:val="000000"/>
          <w:sz w:val="28"/>
          <w:szCs w:val="28"/>
          <w:lang w:val="zh-CN"/>
        </w:rPr>
        <w:t>3.3</w:t>
      </w:r>
      <w:r>
        <w:rPr>
          <w:rFonts w:hint="default" w:ascii="Times New Roman" w:hAnsi="Times New Roman" w:eastAsia="宋体" w:cs="Times New Roman"/>
          <w:color w:val="000000"/>
          <w:sz w:val="28"/>
          <w:szCs w:val="28"/>
        </w:rPr>
        <w:t xml:space="preserve"> </w:t>
      </w:r>
      <w:r>
        <w:rPr>
          <w:rFonts w:hint="default" w:ascii="Times New Roman" w:hAnsi="Times New Roman" w:eastAsia="宋体" w:cs="Times New Roman"/>
          <w:color w:val="000000"/>
          <w:sz w:val="28"/>
          <w:szCs w:val="28"/>
          <w:lang w:val="zh-CN"/>
        </w:rPr>
        <w:t>运营期工程分析</w:t>
      </w:r>
      <w:bookmarkEnd w:id="166"/>
    </w:p>
    <w:p>
      <w:pPr>
        <w:spacing w:line="360" w:lineRule="auto"/>
        <w:outlineLvl w:val="2"/>
        <w:rPr>
          <w:rFonts w:hint="default" w:ascii="Times New Roman" w:hAnsi="Times New Roman" w:cs="Times New Roman"/>
          <w:b/>
          <w:bCs/>
          <w:sz w:val="24"/>
          <w:szCs w:val="24"/>
          <w:lang w:val="zh-CN"/>
        </w:rPr>
      </w:pPr>
      <w:r>
        <w:rPr>
          <w:rFonts w:hint="default" w:ascii="Times New Roman" w:hAnsi="Times New Roman" w:cs="Times New Roman"/>
          <w:b/>
          <w:bCs/>
          <w:sz w:val="24"/>
          <w:szCs w:val="24"/>
        </w:rPr>
        <w:t>3.3.1 养殖工艺</w:t>
      </w:r>
      <w:r>
        <w:rPr>
          <w:rFonts w:hint="default" w:ascii="Times New Roman" w:hAnsi="Times New Roman" w:cs="Times New Roman"/>
          <w:b/>
          <w:bCs/>
          <w:sz w:val="24"/>
          <w:szCs w:val="24"/>
          <w:lang w:val="zh-CN"/>
        </w:rPr>
        <w:t>流程及产污环节</w:t>
      </w:r>
    </w:p>
    <w:p>
      <w:pPr>
        <w:pStyle w:val="2"/>
        <w:spacing w:line="360" w:lineRule="auto"/>
        <w:ind w:firstLine="480" w:firstLineChars="200"/>
        <w:rPr>
          <w:rFonts w:hint="default" w:ascii="Times New Roman" w:hAnsi="Times New Roman" w:cs="Times New Roman"/>
          <w:lang w:val="zh-CN"/>
        </w:rPr>
      </w:pPr>
      <w:r>
        <w:rPr>
          <w:rFonts w:hint="default" w:ascii="Times New Roman" w:hAnsi="Times New Roman" w:cs="Times New Roman"/>
          <w:lang w:val="zh-CN"/>
        </w:rPr>
        <w:t>本项目采取集约化养殖方式，在养殖场地内，采用新的工艺技术措施，通过集中管理饲养生猪。</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pict>
          <v:group id="_x0000_s2083" o:spid="_x0000_s2083" o:spt="203" style="position:absolute;left:0pt;margin-left:49.1pt;margin-top:26.05pt;height:241.55pt;width:379.6pt;mso-wrap-distance-bottom:0pt;mso-wrap-distance-left:9pt;mso-wrap-distance-right:9pt;mso-wrap-distance-top:0pt;z-index:251790336;mso-width-relative:page;mso-height-relative:page;" coordorigin="1501,4925" coordsize="7592,4831" editas="canvas">
            <o:lock v:ext="edit"/>
            <v:shape id="_x0000_s2125" o:spid="_x0000_s2125" o:spt="75" type="#_x0000_t75" style="position:absolute;left:1501;top:4925;height:4831;width:7592;" filled="f" stroked="f" coordsize="21600,21600">
              <v:path/>
              <v:fill on="f" focussize="0,0"/>
              <v:stroke on="f" weight="1.25pt"/>
              <v:imagedata o:title=""/>
              <o:lock v:ext="edit" text="t" aspectratio="t"/>
            </v:shape>
            <v:rect id="_x0000_s2126" o:spid="_x0000_s2126" o:spt="1" style="position:absolute;left:3166;top:5900;height:468;width:900;" fillcolor="#FFFFFF" filled="t" stroked="t" coordsize="21600,21600">
              <v:path/>
              <v:fill on="t" color2="#BBD5F0" opacity="0f" focussize="0,0"/>
              <v:stroke weight="1.25pt" color="#000000" joinstyle="miter"/>
              <v:imagedata o:title=""/>
              <o:lock v:ext="edit" aspectratio="f"/>
              <v:textbox>
                <w:txbxContent>
                  <w:p>
                    <w:pPr>
                      <w:ind w:firstLine="105" w:firstLineChars="50"/>
                      <w:rPr>
                        <w:rFonts w:hint="eastAsia"/>
                        <w:sz w:val="21"/>
                        <w:szCs w:val="21"/>
                      </w:rPr>
                    </w:pPr>
                    <w:r>
                      <w:rPr>
                        <w:rFonts w:hint="eastAsia"/>
                        <w:sz w:val="21"/>
                        <w:szCs w:val="21"/>
                      </w:rPr>
                      <w:t>饲料</w:t>
                    </w:r>
                  </w:p>
                </w:txbxContent>
              </v:textbox>
            </v:rect>
            <v:rect id="_x0000_s2127" o:spid="_x0000_s2127" o:spt="1" style="position:absolute;left:7441;top:6368;height:468;width:975;" fillcolor="#FFFFFF" filled="t" stroked="t" coordsize="21600,21600">
              <v:path/>
              <v:fill on="t" color2="#BBD5F0" opacity="0f" focussize="0,0"/>
              <v:stroke weight="1.25pt" color="#000000" joinstyle="miter"/>
              <v:imagedata o:title=""/>
              <o:lock v:ext="edit" aspectratio="f"/>
              <v:textbox>
                <w:txbxContent>
                  <w:p>
                    <w:pPr>
                      <w:ind w:firstLine="105" w:firstLineChars="50"/>
                      <w:rPr>
                        <w:rFonts w:hint="eastAsia" w:eastAsia="宋体"/>
                        <w:sz w:val="21"/>
                        <w:szCs w:val="21"/>
                        <w:lang w:eastAsia="zh-CN"/>
                      </w:rPr>
                    </w:pPr>
                    <w:r>
                      <w:rPr>
                        <w:rFonts w:hint="eastAsia"/>
                        <w:sz w:val="21"/>
                        <w:szCs w:val="21"/>
                        <w:lang w:eastAsia="zh-CN"/>
                      </w:rPr>
                      <w:t>外售</w:t>
                    </w:r>
                  </w:p>
                </w:txbxContent>
              </v:textbox>
            </v:rect>
            <v:rect id="_x0000_s2128" o:spid="_x0000_s2128" o:spt="1" style="position:absolute;left:4954;top:6368;height:468;width:1767;" fillcolor="#FFFFFF" filled="t" stroked="t" coordsize="21600,21600">
              <v:path/>
              <v:fill on="t" color2="#BBD5F0" opacity="0f" focussize="0,0"/>
              <v:stroke weight="1.25pt" color="#000000" joinstyle="miter"/>
              <v:imagedata o:title=""/>
              <o:lock v:ext="edit" aspectratio="f"/>
              <v:textbox>
                <w:txbxContent>
                  <w:p>
                    <w:pPr>
                      <w:jc w:val="center"/>
                      <w:rPr>
                        <w:rFonts w:hint="eastAsia"/>
                        <w:sz w:val="21"/>
                        <w:szCs w:val="21"/>
                      </w:rPr>
                    </w:pPr>
                    <w:r>
                      <w:rPr>
                        <w:rFonts w:hint="eastAsia"/>
                        <w:sz w:val="21"/>
                        <w:szCs w:val="21"/>
                      </w:rPr>
                      <w:t>育肥</w:t>
                    </w:r>
                  </w:p>
                </w:txbxContent>
              </v:textbox>
            </v:rect>
            <v:rect id="_x0000_s2129" o:spid="_x0000_s2129" o:spt="1" style="position:absolute;left:5059;top:5318;height:468;width:1500;" fillcolor="#FFFFFF" filled="t" stroked="t" coordsize="21600,21600">
              <v:path/>
              <v:fill on="t" color2="#BBD5F0" opacity="0f" focussize="0,0"/>
              <v:stroke weight="1.25pt" color="#000000" joinstyle="miter" dashstyle="1 1"/>
              <v:imagedata o:title=""/>
              <o:lock v:ext="edit" aspectratio="f"/>
              <v:textbox>
                <w:txbxContent>
                  <w:p>
                    <w:pPr>
                      <w:rPr>
                        <w:rFonts w:hint="eastAsia"/>
                      </w:rPr>
                    </w:pPr>
                    <w:r>
                      <w:rPr>
                        <w:rFonts w:hint="eastAsia"/>
                        <w:sz w:val="21"/>
                        <w:szCs w:val="21"/>
                      </w:rPr>
                      <w:t>噪声、恶臭</w:t>
                    </w:r>
                  </w:p>
                </w:txbxContent>
              </v:textbox>
            </v:rect>
            <v:shape id="_x0000_s2130" o:spid="_x0000_s2130" o:spt="32" type="#_x0000_t32" style="position:absolute;left:6733;top:6602;height:1;width:696;" filled="f" stroked="t" coordsize="21600,21600">
              <v:path arrowok="t"/>
              <v:fill on="f" focussize="0,0"/>
              <v:stroke weight="1.25pt" color="#000000" endarrow="block"/>
              <v:imagedata o:title=""/>
              <o:lock v:ext="edit" aspectratio="f"/>
            </v:shape>
            <v:shape id="_x0000_s2131" o:spid="_x0000_s2131" o:spt="32" type="#_x0000_t32" style="position:absolute;left:5838;top:5786;flip:y;height:570;width:1;" filled="f" stroked="t" coordsize="21600,21600">
              <v:path arrowok="t"/>
              <v:fill on="f" focussize="0,0"/>
              <v:stroke weight="1.25pt" color="#000000" dashstyle="1 1" endarrow="block"/>
              <v:imagedata o:title=""/>
              <o:lock v:ext="edit" aspectratio="f"/>
            </v:shape>
            <v:rect id="_x0000_s2132" o:spid="_x0000_s2132" o:spt="1" style="position:absolute;left:2806;top:6836;height:468;width:1260;" fillcolor="#FFFFFF" filled="t" stroked="t" coordsize="21600,21600">
              <v:path/>
              <v:fill on="t" color2="#BBD5F0" opacity="0f" focussize="0,0"/>
              <v:stroke weight="1.25pt" color="#000000" joinstyle="miter"/>
              <v:imagedata o:title=""/>
              <o:lock v:ext="edit" aspectratio="f"/>
              <v:textbox>
                <w:txbxContent>
                  <w:p>
                    <w:pPr>
                      <w:rPr>
                        <w:rFonts w:hint="eastAsia"/>
                        <w:sz w:val="21"/>
                        <w:szCs w:val="21"/>
                      </w:rPr>
                    </w:pPr>
                    <w:r>
                      <w:rPr>
                        <w:rFonts w:hint="eastAsia"/>
                        <w:sz w:val="21"/>
                        <w:szCs w:val="21"/>
                      </w:rPr>
                      <w:t>养殖用水</w:t>
                    </w:r>
                  </w:p>
                </w:txbxContent>
              </v:textbox>
            </v:rect>
            <v:shape id="_x0000_s2133" o:spid="_x0000_s2133" o:spt="33" type="#_x0000_t33" style="position:absolute;left:4078;top:6134;height:390;width:348;" filled="f" stroked="t" coordsize="21600,21600">
              <v:path arrowok="t"/>
              <v:fill on="f" focussize="0,0"/>
              <v:stroke weight="1.25pt" color="#000000" joinstyle="miter"/>
              <v:imagedata o:title=""/>
              <o:lock v:ext="edit" aspectratio="f"/>
            </v:shape>
            <v:shape id="_x0000_s2134" o:spid="_x0000_s2134" o:spt="33" type="#_x0000_t33" style="position:absolute;left:4078;top:6524;flip:y;height:546;width:348;" filled="f" stroked="t" coordsize="21600,21600">
              <v:path arrowok="t"/>
              <v:fill on="f" focussize="0,0"/>
              <v:stroke weight="1.25pt" color="#000000" joinstyle="miter"/>
              <v:imagedata o:title=""/>
              <o:lock v:ext="edit" aspectratio="f"/>
            </v:shape>
            <v:shape id="_x0000_s2135" o:spid="_x0000_s2135" o:spt="32" type="#_x0000_t32" style="position:absolute;left:4426;top:6601;height:1;width:528;" filled="f" stroked="t" coordsize="21600,21600">
              <v:path arrowok="t"/>
              <v:fill on="f" focussize="0,0"/>
              <v:stroke weight="1.25pt" color="#000000" endarrow="block"/>
              <v:imagedata o:title=""/>
              <o:lock v:ext="edit" aspectratio="f"/>
            </v:shape>
            <v:shape id="_x0000_s2136" o:spid="_x0000_s2136" o:spt="32" type="#_x0000_t32" style="position:absolute;left:5164;top:6869;height:435;width:2;" filled="f" stroked="t" coordsize="21600,21600">
              <v:path arrowok="t"/>
              <v:fill on="f" focussize="0,0"/>
              <v:stroke color="#000000" dashstyle="dash" endarrow="block"/>
              <v:imagedata o:title=""/>
              <o:lock v:ext="edit" aspectratio="f"/>
            </v:shape>
            <v:shape id="_x0000_s2137" o:spid="_x0000_s2137" o:spt="32" type="#_x0000_t32" style="position:absolute;left:6424;top:6869;height:435;width:1;" filled="f" stroked="t" coordsize="21600,21600">
              <v:path arrowok="t"/>
              <v:fill on="f" focussize="0,0"/>
              <v:stroke color="#000000" dashstyle="dash" endarrow="block"/>
              <v:imagedata o:title=""/>
              <o:lock v:ext="edit" aspectratio="f"/>
            </v:shape>
            <v:rect id="_x0000_s2138" o:spid="_x0000_s2138" o:spt="1" style="position:absolute;left:4426;top:7304;height:468;width:1412;" fillcolor="#FFFFFF" filled="t" stroked="t" coordsize="21600,21600">
              <v:path/>
              <v:fill on="t" color2="#BBD5F0" opacity="0f" focussize="0,0"/>
              <v:stroke weight="1.25pt" color="#000000" joinstyle="miter" dashstyle="1 1"/>
              <v:imagedata o:title=""/>
              <o:lock v:ext="edit" aspectratio="f"/>
              <v:textbox>
                <w:txbxContent>
                  <w:p>
                    <w:pPr>
                      <w:rPr>
                        <w:rFonts w:hint="eastAsia"/>
                      </w:rPr>
                    </w:pPr>
                    <w:r>
                      <w:rPr>
                        <w:rFonts w:hint="eastAsia"/>
                        <w:sz w:val="21"/>
                        <w:szCs w:val="21"/>
                      </w:rPr>
                      <w:t>废水、猪尿</w:t>
                    </w:r>
                  </w:p>
                </w:txbxContent>
              </v:textbox>
            </v:rect>
            <v:shape id="_x0000_s2139" o:spid="_x0000_s2139" o:spt="32" type="#_x0000_t32" style="position:absolute;left:5166;top:7772;height:477;width:1;" filled="f" stroked="t" coordsize="21600,21600">
              <v:path arrowok="t"/>
              <v:fill on="f" focussize="0,0"/>
              <v:stroke color="#000000" dashstyle="dash" endarrow="block"/>
              <v:imagedata o:title=""/>
              <o:lock v:ext="edit" aspectratio="f"/>
            </v:shape>
            <v:rect id="_x0000_s2140" o:spid="_x0000_s2140" o:spt="1" style="position:absolute;left:6077;top:7304;height:468;width:854;" fillcolor="#FFFFFF" filled="t" stroked="t" coordsize="21600,21600">
              <v:path/>
              <v:fill on="t" color2="#BBD5F0" opacity="0f" focussize="0,0"/>
              <v:stroke weight="1.25pt" color="#000000" joinstyle="miter" dashstyle="1 1"/>
              <v:imagedata o:title=""/>
              <o:lock v:ext="edit" aspectratio="f"/>
              <v:textbox>
                <w:txbxContent>
                  <w:p>
                    <w:pPr>
                      <w:rPr>
                        <w:rFonts w:hint="eastAsia"/>
                      </w:rPr>
                    </w:pPr>
                    <w:r>
                      <w:rPr>
                        <w:rFonts w:hint="eastAsia"/>
                        <w:sz w:val="21"/>
                        <w:szCs w:val="21"/>
                      </w:rPr>
                      <w:t>猪粪</w:t>
                    </w:r>
                  </w:p>
                </w:txbxContent>
              </v:textbox>
            </v:rect>
            <v:shape id="_x0000_s2141" o:spid="_x0000_s2141" o:spt="32" type="#_x0000_t32" style="position:absolute;left:6425;top:7772;height:477;width:1;" filled="f" stroked="t" coordsize="21600,21600">
              <v:path arrowok="t"/>
              <v:fill on="f" focussize="0,0"/>
              <v:stroke color="#000000" dashstyle="dash" endarrow="block"/>
              <v:imagedata o:title=""/>
              <o:lock v:ext="edit" aspectratio="f"/>
            </v:shape>
            <v:rect id="_x0000_s2142" o:spid="_x0000_s2142" o:spt="1" style="position:absolute;left:4427;top:8249;height:468;width:1412;" fillcolor="#FFFFFF" filled="t" stroked="t" coordsize="21600,21600">
              <v:path/>
              <v:fill on="t" color2="#BBD5F0" opacity="0f" focussize="0,0"/>
              <v:stroke weight="1.25pt" color="#000000" joinstyle="miter" dashstyle="1 1"/>
              <v:imagedata o:title=""/>
              <o:lock v:ext="edit" aspectratio="f"/>
              <v:textbox>
                <w:txbxContent>
                  <w:p>
                    <w:pPr>
                      <w:rPr>
                        <w:rFonts w:hint="eastAsia"/>
                      </w:rPr>
                    </w:pPr>
                    <w:r>
                      <w:rPr>
                        <w:rFonts w:hint="eastAsia"/>
                        <w:sz w:val="21"/>
                        <w:szCs w:val="21"/>
                      </w:rPr>
                      <w:t>污水处理站</w:t>
                    </w:r>
                  </w:p>
                </w:txbxContent>
              </v:textbox>
            </v:rect>
            <v:rect id="_x0000_s2143" o:spid="_x0000_s2143" o:spt="1" style="position:absolute;left:6077;top:8249;height:468;width:854;" fillcolor="#FFFFFF" filled="t" stroked="t" coordsize="21600,21600">
              <v:path/>
              <v:fill on="t" color2="#BBD5F0" opacity="0f" focussize="0,0"/>
              <v:stroke weight="1.25pt" color="#000000" joinstyle="miter" dashstyle="1 1"/>
              <v:imagedata o:title=""/>
              <o:lock v:ext="edit" aspectratio="f"/>
              <v:textbox>
                <w:txbxContent>
                  <w:p>
                    <w:pPr>
                      <w:rPr>
                        <w:rFonts w:hint="eastAsia" w:eastAsia="宋体"/>
                        <w:lang w:eastAsia="zh-CN"/>
                      </w:rPr>
                    </w:pPr>
                    <w:r>
                      <w:rPr>
                        <w:rFonts w:hint="eastAsia"/>
                        <w:sz w:val="21"/>
                        <w:szCs w:val="21"/>
                        <w:lang w:eastAsia="zh-CN"/>
                      </w:rPr>
                      <w:t>暂存</w:t>
                    </w:r>
                  </w:p>
                </w:txbxContent>
              </v:textbox>
            </v:rect>
            <v:shape id="_x0000_s2144" o:spid="_x0000_s2144" o:spt="32" type="#_x0000_t32" style="position:absolute;left:5059;top:8717;height:477;width:1;" filled="f" stroked="t" coordsize="21600,21600">
              <v:path arrowok="t"/>
              <v:fill on="f" focussize="0,0"/>
              <v:stroke color="#000000" dashstyle="dash" endarrow="block"/>
              <v:imagedata o:title=""/>
              <o:lock v:ext="edit" aspectratio="f"/>
            </v:shape>
            <v:shape id="_x0000_s2145" o:spid="_x0000_s2145" o:spt="32" type="#_x0000_t32" style="position:absolute;left:6423;top:8717;height:477;width:1;" filled="f" stroked="t" coordsize="21600,21600">
              <v:path arrowok="t"/>
              <v:fill on="f" focussize="0,0"/>
              <v:stroke color="#000000" dashstyle="dash" endarrow="block"/>
              <v:imagedata o:title=""/>
              <o:lock v:ext="edit" aspectratio="f"/>
            </v:shape>
            <v:rect id="_x0000_s2146" o:spid="_x0000_s2146" o:spt="1" style="position:absolute;left:4427;top:9201;height:468;width:1262;" fillcolor="#FFFFFF" filled="t" stroked="f" coordsize="21600,21600">
              <v:path/>
              <v:fill on="t" color2="#BBD5F0" opacity="0f" focussize="0,0"/>
              <v:stroke on="f" weight="1.25pt"/>
              <v:imagedata o:title=""/>
              <o:lock v:ext="edit" aspectratio="f"/>
              <v:textbox>
                <w:txbxContent>
                  <w:p>
                    <w:pPr>
                      <w:rPr>
                        <w:rFonts w:hint="eastAsia"/>
                      </w:rPr>
                    </w:pPr>
                    <w:r>
                      <w:rPr>
                        <w:rFonts w:hint="eastAsia"/>
                        <w:sz w:val="21"/>
                        <w:szCs w:val="21"/>
                      </w:rPr>
                      <w:t>土地消纳</w:t>
                    </w:r>
                  </w:p>
                </w:txbxContent>
              </v:textbox>
            </v:rect>
            <v:rect id="_x0000_s2147" o:spid="_x0000_s2147" o:spt="1" style="position:absolute;left:5839;top:9194;height:468;width:1262;" fillcolor="#FFFFFF" filled="t" stroked="f" coordsize="21600,21600">
              <v:path/>
              <v:fill on="t" color2="#BBD5F0" opacity="0f" focussize="0,0"/>
              <v:stroke on="f" weight="1.25pt"/>
              <v:imagedata o:title=""/>
              <o:lock v:ext="edit" aspectratio="f"/>
              <v:textbox>
                <w:txbxContent>
                  <w:p>
                    <w:pPr>
                      <w:jc w:val="center"/>
                      <w:rPr>
                        <w:rFonts w:hint="eastAsia" w:eastAsia="宋体"/>
                        <w:lang w:eastAsia="zh-CN"/>
                      </w:rPr>
                    </w:pPr>
                    <w:r>
                      <w:rPr>
                        <w:rFonts w:hint="eastAsia"/>
                        <w:sz w:val="21"/>
                        <w:szCs w:val="21"/>
                        <w:lang w:eastAsia="zh-CN"/>
                      </w:rPr>
                      <w:t>外售</w:t>
                    </w:r>
                  </w:p>
                </w:txbxContent>
              </v:textbox>
            </v:rect>
            <v:shape id="_x0000_s2148" o:spid="_x0000_s2148" o:spt="32" type="#_x0000_t32" style="position:absolute;left:6928;top:8511;height:1;width:528;" filled="f" stroked="t" coordsize="21600,21600">
              <v:path arrowok="t"/>
              <v:fill on="f" focussize="0,0"/>
              <v:stroke color="#000000" dashstyle="dash" endarrow="block"/>
              <v:imagedata o:title=""/>
              <o:lock v:ext="edit" aspectratio="f"/>
            </v:shape>
            <v:rect id="_x0000_s2149" o:spid="_x0000_s2149" o:spt="1" style="position:absolute;left:7471;top:8249;height:468;width:854;" fillcolor="#FFFFFF" filled="t" stroked="t" coordsize="21600,21600">
              <v:path/>
              <v:fill on="t" color2="#BBD5F0" opacity="0f" focussize="0,0"/>
              <v:stroke weight="1.25pt" color="#000000" joinstyle="miter" dashstyle="1 1"/>
              <v:imagedata o:title=""/>
              <o:lock v:ext="edit" aspectratio="f"/>
              <v:textbox>
                <w:txbxContent>
                  <w:p>
                    <w:pPr>
                      <w:rPr>
                        <w:rFonts w:hint="eastAsia"/>
                      </w:rPr>
                    </w:pPr>
                    <w:r>
                      <w:rPr>
                        <w:rFonts w:hint="eastAsia"/>
                        <w:sz w:val="21"/>
                        <w:szCs w:val="21"/>
                      </w:rPr>
                      <w:t>恶臭</w:t>
                    </w:r>
                  </w:p>
                </w:txbxContent>
              </v:textbox>
            </v:rect>
            <v:shape id="_x0000_s2150" o:spid="_x0000_s2150" o:spt="32" type="#_x0000_t32" style="position:absolute;left:3877;top:8480;flip:x;height:1;width:549;" filled="f" stroked="t" coordsize="21600,21600">
              <v:path arrowok="t"/>
              <v:fill on="f" focussize="0,0"/>
              <v:stroke color="#000000" dashstyle="dash" endarrow="block"/>
              <v:imagedata o:title=""/>
              <o:lock v:ext="edit" aspectratio="f"/>
            </v:shape>
            <v:rect id="_x0000_s2151" o:spid="_x0000_s2151" o:spt="1" style="position:absolute;left:3023;top:8249;height:468;width:854;" fillcolor="#FFFFFF" filled="t" stroked="t" coordsize="21600,21600">
              <v:path/>
              <v:fill on="t" color2="#BBD5F0" opacity="0f" focussize="0,0"/>
              <v:stroke weight="1.25pt" color="#000000" joinstyle="miter" dashstyle="1 1"/>
              <v:imagedata o:title=""/>
              <o:lock v:ext="edit" aspectratio="f"/>
              <v:textbox>
                <w:txbxContent>
                  <w:p>
                    <w:pPr>
                      <w:rPr>
                        <w:rFonts w:hint="eastAsia"/>
                      </w:rPr>
                    </w:pPr>
                    <w:r>
                      <w:rPr>
                        <w:rFonts w:hint="eastAsia"/>
                        <w:sz w:val="21"/>
                        <w:szCs w:val="21"/>
                      </w:rPr>
                      <w:t>恶臭</w:t>
                    </w:r>
                  </w:p>
                </w:txbxContent>
              </v:textbox>
            </v:rect>
            <w10:wrap type="square"/>
          </v:group>
        </w:pict>
      </w:r>
      <w:r>
        <w:rPr>
          <w:rFonts w:hint="default" w:ascii="Times New Roman" w:hAnsi="Times New Roman" w:cs="Times New Roman"/>
        </w:rPr>
        <w:t>本项目养殖工艺流程如下示：</w:t>
      </w:r>
    </w:p>
    <w:p>
      <w:pPr>
        <w:pStyle w:val="2"/>
        <w:spacing w:line="360" w:lineRule="auto"/>
        <w:ind w:firstLine="480" w:firstLineChars="200"/>
        <w:jc w:val="center"/>
        <w:rPr>
          <w:rFonts w:hint="default" w:ascii="Times New Roman" w:hAnsi="Times New Roman" w:cs="Times New Roman"/>
        </w:rPr>
      </w:pPr>
    </w:p>
    <w:p>
      <w:pPr>
        <w:pStyle w:val="2"/>
        <w:spacing w:line="360" w:lineRule="auto"/>
        <w:ind w:firstLine="480" w:firstLineChars="200"/>
        <w:jc w:val="center"/>
        <w:rPr>
          <w:rFonts w:hint="default" w:ascii="Times New Roman" w:hAnsi="Times New Roman" w:cs="Times New Roman"/>
        </w:rPr>
      </w:pPr>
    </w:p>
    <w:p>
      <w:pPr>
        <w:pStyle w:val="2"/>
        <w:spacing w:line="360" w:lineRule="auto"/>
        <w:jc w:val="center"/>
        <w:rPr>
          <w:rFonts w:hint="default" w:ascii="Times New Roman" w:hAnsi="Times New Roman" w:eastAsia="黑体" w:cs="Times New Roman"/>
          <w:bCs/>
        </w:rPr>
      </w:pPr>
    </w:p>
    <w:p>
      <w:pPr>
        <w:pStyle w:val="2"/>
        <w:spacing w:line="360" w:lineRule="auto"/>
        <w:jc w:val="center"/>
        <w:rPr>
          <w:rFonts w:hint="default" w:ascii="Times New Roman" w:hAnsi="Times New Roman" w:eastAsia="黑体" w:cs="Times New Roman"/>
          <w:bCs/>
        </w:rPr>
      </w:pPr>
    </w:p>
    <w:p>
      <w:pPr>
        <w:pStyle w:val="2"/>
        <w:spacing w:line="360" w:lineRule="auto"/>
        <w:jc w:val="center"/>
        <w:rPr>
          <w:rFonts w:hint="default" w:ascii="Times New Roman" w:hAnsi="Times New Roman" w:eastAsia="黑体" w:cs="Times New Roman"/>
          <w:bCs/>
        </w:rPr>
      </w:pPr>
    </w:p>
    <w:p>
      <w:pPr>
        <w:pStyle w:val="2"/>
        <w:spacing w:line="360" w:lineRule="auto"/>
        <w:jc w:val="center"/>
        <w:rPr>
          <w:rFonts w:hint="default" w:ascii="Times New Roman" w:hAnsi="Times New Roman" w:eastAsia="黑体" w:cs="Times New Roman"/>
          <w:bCs/>
        </w:rPr>
      </w:pPr>
    </w:p>
    <w:p>
      <w:pPr>
        <w:pStyle w:val="2"/>
        <w:spacing w:line="360" w:lineRule="auto"/>
        <w:jc w:val="center"/>
        <w:rPr>
          <w:rFonts w:hint="default" w:ascii="Times New Roman" w:hAnsi="Times New Roman" w:eastAsia="黑体" w:cs="Times New Roman"/>
          <w:bCs/>
        </w:rPr>
      </w:pPr>
    </w:p>
    <w:p>
      <w:pPr>
        <w:pStyle w:val="2"/>
        <w:spacing w:line="360" w:lineRule="auto"/>
        <w:jc w:val="center"/>
        <w:rPr>
          <w:rFonts w:hint="default" w:ascii="Times New Roman" w:hAnsi="Times New Roman" w:eastAsia="黑体" w:cs="Times New Roman"/>
          <w:bCs/>
        </w:rPr>
      </w:pPr>
    </w:p>
    <w:p>
      <w:pPr>
        <w:pStyle w:val="2"/>
        <w:spacing w:line="360" w:lineRule="auto"/>
        <w:jc w:val="center"/>
        <w:rPr>
          <w:rFonts w:hint="default" w:ascii="Times New Roman" w:hAnsi="Times New Roman" w:eastAsia="黑体" w:cs="Times New Roman"/>
          <w:bCs/>
        </w:rPr>
      </w:pPr>
    </w:p>
    <w:p>
      <w:pPr>
        <w:pStyle w:val="2"/>
        <w:spacing w:line="360" w:lineRule="auto"/>
        <w:jc w:val="center"/>
        <w:rPr>
          <w:rFonts w:hint="default" w:ascii="Times New Roman" w:hAnsi="Times New Roman" w:eastAsia="黑体" w:cs="Times New Roman"/>
          <w:bCs/>
        </w:rPr>
      </w:pPr>
    </w:p>
    <w:p>
      <w:pPr>
        <w:pStyle w:val="2"/>
        <w:spacing w:line="360" w:lineRule="auto"/>
        <w:jc w:val="center"/>
        <w:rPr>
          <w:rFonts w:hint="default" w:ascii="Times New Roman" w:hAnsi="Times New Roman" w:eastAsia="黑体" w:cs="Times New Roman"/>
          <w:bCs/>
        </w:rPr>
      </w:pPr>
    </w:p>
    <w:p>
      <w:pPr>
        <w:pStyle w:val="2"/>
        <w:spacing w:line="360" w:lineRule="auto"/>
        <w:jc w:val="center"/>
        <w:rPr>
          <w:rFonts w:hint="default" w:ascii="Times New Roman" w:hAnsi="Times New Roman" w:eastAsia="黑体" w:cs="Times New Roman"/>
          <w:bCs/>
        </w:rPr>
      </w:pPr>
    </w:p>
    <w:p>
      <w:pPr>
        <w:pStyle w:val="2"/>
        <w:spacing w:line="360" w:lineRule="auto"/>
        <w:jc w:val="center"/>
        <w:rPr>
          <w:rFonts w:hint="default" w:ascii="Times New Roman" w:hAnsi="Times New Roman" w:eastAsia="黑体" w:cs="Times New Roman"/>
          <w:bCs/>
        </w:rPr>
      </w:pPr>
      <w:r>
        <w:rPr>
          <w:rFonts w:hint="default" w:ascii="Times New Roman" w:hAnsi="Times New Roman" w:eastAsia="黑体" w:cs="Times New Roman"/>
          <w:bCs/>
        </w:rPr>
        <w:t>图3.3-1 育肥猪饲养工艺流程</w:t>
      </w:r>
    </w:p>
    <w:p>
      <w:pPr>
        <w:spacing w:line="360" w:lineRule="auto"/>
        <w:ind w:firstLine="482"/>
        <w:rPr>
          <w:rFonts w:hint="default" w:ascii="Times New Roman" w:hAnsi="Times New Roman" w:cs="Times New Roman"/>
          <w:sz w:val="24"/>
          <w:szCs w:val="24"/>
        </w:rPr>
      </w:pPr>
      <w:r>
        <w:rPr>
          <w:rFonts w:hint="default" w:ascii="Times New Roman" w:hAnsi="Times New Roman" w:cs="Times New Roman"/>
          <w:b/>
          <w:sz w:val="24"/>
          <w:szCs w:val="24"/>
        </w:rPr>
        <w:t>仔猪育肥分为两种，一种为企业自身繁殖的仔猪，一种为外购仔猪。本项目采取仔猪外购，主要来源于正大集团及新希望集团，仔猪10~20kg进场，在项目地进行育肥养殖，养殖至150~170kg后外卖。项目不在养殖场内进行仔猪繁殖。</w:t>
      </w:r>
    </w:p>
    <w:p>
      <w:pPr>
        <w:spacing w:line="360" w:lineRule="auto"/>
        <w:ind w:firstLine="482"/>
        <w:rPr>
          <w:rFonts w:hint="default" w:ascii="Times New Roman" w:hAnsi="Times New Roman" w:cs="Times New Roman"/>
          <w:sz w:val="24"/>
          <w:szCs w:val="24"/>
        </w:rPr>
      </w:pPr>
      <w:r>
        <w:rPr>
          <w:rFonts w:hint="default" w:ascii="Times New Roman" w:hAnsi="Times New Roman" w:cs="Times New Roman"/>
          <w:sz w:val="24"/>
          <w:szCs w:val="24"/>
        </w:rPr>
        <w:t>（1）生猪的饲养</w:t>
      </w:r>
    </w:p>
    <w:p>
      <w:pPr>
        <w:spacing w:line="360" w:lineRule="auto"/>
        <w:ind w:firstLine="482"/>
        <w:rPr>
          <w:rFonts w:hint="default" w:ascii="Times New Roman" w:hAnsi="Times New Roman" w:cs="Times New Roman"/>
          <w:kern w:val="0"/>
          <w:sz w:val="24"/>
          <w:szCs w:val="24"/>
        </w:rPr>
      </w:pPr>
      <w:r>
        <w:rPr>
          <w:rFonts w:hint="default" w:ascii="Times New Roman" w:hAnsi="Times New Roman" w:cs="Times New Roman"/>
          <w:kern w:val="0"/>
          <w:sz w:val="24"/>
          <w:szCs w:val="24"/>
        </w:rPr>
        <w:t>育肥舍在进猪前应进行维修和彻底地冲洗、消毒。进猪后保持舍内清洁、干燥、通风良好、饮水充足，温度控制在18～22℃，夏季注意防暑降温。每月要定期称重，以检查饲喂效果，外购颗粒饲料可直接投喂，项目不再场内进行饲料加工。经常检查猪群的采食、发育等情况，及时调整饲料配方，发现疫病及时报告，采取有效措施进行治疗和处理。商品猪体重达110~120kg时及时出栏上市。</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项目饲养期间应保持圈舍的卫生清洁。每天清理圈内粪便，定期对场地内以及圈舍等采用卫可消毒剂进行消毒，消毒方法如下：</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1）喷雾消毒：</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采用电动喷雾器进行雾化消毒（每天一次），以每平方米喷雾30ML，可喷雾500平方米的畜禽舍；高温季节用电动喷雾器，每15KG水配30克卫可，以每平方米喷雾60ML（目的起到防暑降温的作用）。</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2）当畜禽处于疫情敏感或发病时期：</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使用卫可1:250喷雾消毒，每天2次，连续3-5天，或至疾病减缓及完全控制后恢复正常用法；同时配合卫可1:1000饮水，每天1次；</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注：圈舍消毒时可以关闭部分通风设备，高温季节最好选在清晨、傍晚凉爽时候关闭通风系统操作。</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3）饮水消毒：</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首次清理：圈舍有畜禽的情况下用卫可1:1000于傍晚时候添加自由饮用，次日早上冲洗管线，连用两次即可。</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4）洗手盆消毒：卫可1:250，5-7天更换一次。</w:t>
      </w:r>
    </w:p>
    <w:p>
      <w:pPr>
        <w:pStyle w:val="2"/>
        <w:spacing w:line="360" w:lineRule="auto"/>
        <w:ind w:firstLine="465"/>
        <w:rPr>
          <w:rFonts w:hint="default" w:ascii="Times New Roman" w:hAnsi="Times New Roman" w:cs="Times New Roman"/>
          <w:color w:val="auto"/>
        </w:rPr>
      </w:pPr>
      <w:r>
        <w:rPr>
          <w:rFonts w:hint="default" w:ascii="Times New Roman" w:hAnsi="Times New Roman" w:cs="Times New Roman"/>
          <w:color w:val="auto"/>
          <w:spacing w:val="2"/>
        </w:rPr>
        <w:t>同时项目还将辅助戊二醛、过氧乙酸进行消毒。</w:t>
      </w:r>
    </w:p>
    <w:p>
      <w:pPr>
        <w:spacing w:line="360" w:lineRule="auto"/>
        <w:jc w:val="left"/>
        <w:outlineLvl w:val="2"/>
        <w:rPr>
          <w:rFonts w:hint="default" w:ascii="Times New Roman" w:hAnsi="Times New Roman" w:cs="Times New Roman"/>
          <w:b/>
          <w:bCs/>
          <w:sz w:val="24"/>
          <w:szCs w:val="24"/>
        </w:rPr>
      </w:pPr>
      <w:bookmarkStart w:id="172" w:name="_Toc371868949"/>
      <w:r>
        <w:rPr>
          <w:rFonts w:hint="default" w:ascii="Times New Roman" w:hAnsi="Times New Roman" w:cs="Times New Roman"/>
          <w:b/>
          <w:bCs/>
          <w:sz w:val="24"/>
          <w:szCs w:val="24"/>
        </w:rPr>
        <w:t>3.3.2 污染治理工程工艺</w:t>
      </w:r>
      <w:bookmarkEnd w:id="172"/>
    </w:p>
    <w:p>
      <w:pPr>
        <w:spacing w:line="360" w:lineRule="auto"/>
        <w:ind w:firstLine="482" w:firstLineChars="200"/>
        <w:jc w:val="left"/>
        <w:outlineLvl w:val="3"/>
        <w:rPr>
          <w:rFonts w:hint="default" w:ascii="Times New Roman" w:hAnsi="Times New Roman" w:cs="Times New Roman"/>
          <w:b/>
          <w:bCs/>
          <w:sz w:val="24"/>
          <w:szCs w:val="24"/>
        </w:rPr>
      </w:pPr>
      <w:r>
        <w:rPr>
          <w:rFonts w:hint="default" w:ascii="Times New Roman" w:hAnsi="Times New Roman" w:cs="Times New Roman"/>
          <w:b/>
          <w:bCs/>
          <w:sz w:val="24"/>
          <w:szCs w:val="24"/>
        </w:rPr>
        <w:t>3.3.2.1 粪水处理工程</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工艺流程简述：在选用粪污处理工艺时，根据养殖场的养殖种类、养殖规模、粪污收集方式、当地的自然地理环境条件、排放去向等因素确定工艺路线及处理目标。</w:t>
      </w:r>
    </w:p>
    <w:p>
      <w:pPr>
        <w:spacing w:line="360" w:lineRule="auto"/>
        <w:ind w:firstLine="490" w:firstLineChars="200"/>
        <w:outlineLvl w:val="4"/>
        <w:rPr>
          <w:rFonts w:hint="default" w:ascii="Times New Roman" w:hAnsi="Times New Roman" w:cs="Times New Roman"/>
          <w:b/>
          <w:bCs/>
          <w:spacing w:val="2"/>
          <w:sz w:val="24"/>
          <w:szCs w:val="24"/>
        </w:rPr>
      </w:pPr>
      <w:r>
        <w:rPr>
          <w:rFonts w:hint="default" w:ascii="Times New Roman" w:hAnsi="Times New Roman" w:cs="Times New Roman"/>
          <w:b/>
          <w:bCs/>
          <w:spacing w:val="2"/>
          <w:sz w:val="24"/>
          <w:szCs w:val="24"/>
        </w:rPr>
        <w:t>1、工艺比选：</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根据</w:t>
      </w:r>
      <w:r>
        <w:rPr>
          <w:rFonts w:hint="default" w:ascii="Times New Roman" w:hAnsi="Times New Roman" w:cs="Times New Roman"/>
          <w:spacing w:val="2"/>
          <w:sz w:val="24"/>
          <w:szCs w:val="24"/>
          <w:u w:val="single"/>
        </w:rPr>
        <w:t>《畜禽养殖业污染治理工程技术规范》（HJ497-2009）</w:t>
      </w:r>
      <w:r>
        <w:rPr>
          <w:rFonts w:hint="default" w:ascii="Times New Roman" w:hAnsi="Times New Roman" w:cs="Times New Roman"/>
          <w:spacing w:val="2"/>
          <w:sz w:val="24"/>
          <w:szCs w:val="24"/>
        </w:rPr>
        <w:t>，目前，我国规模化养殖场（区）采用的清粪工艺有水冲粪、水泡粪（自流式）和干清粪工艺。采用水冲或水泡粪工艺比干清粪工艺产生的污水量大且有机物浓度高。我国集约化畜禽养殖场粪污处理主要有三种模式，即以获取沼气能源、将沼液沼渣进行资源化利用为目的的模式Ⅰ、模式Ⅱ工艺和以废水处理后达标排放为目标的模式Ⅲ工艺。畜禽养殖废水由于其有机物浓度高及大量致病菌的存在，无论采取何种处理模式，厌氧反应是一个必不可少的处理阶段。</w:t>
      </w:r>
    </w:p>
    <w:p>
      <w:pPr>
        <w:spacing w:line="360" w:lineRule="auto"/>
        <w:ind w:firstLine="490" w:firstLineChars="200"/>
        <w:rPr>
          <w:rFonts w:hint="default" w:ascii="Times New Roman" w:hAnsi="Times New Roman" w:cs="Times New Roman"/>
          <w:b/>
          <w:bCs/>
          <w:spacing w:val="2"/>
          <w:sz w:val="24"/>
          <w:szCs w:val="24"/>
        </w:rPr>
      </w:pPr>
      <w:r>
        <w:rPr>
          <w:rFonts w:hint="default" w:ascii="Times New Roman" w:hAnsi="Times New Roman" w:cs="Times New Roman"/>
          <w:b/>
          <w:bCs/>
          <w:spacing w:val="2"/>
          <w:sz w:val="24"/>
          <w:szCs w:val="24"/>
        </w:rPr>
        <w:t>（1）模式Ⅰ适用范围及工艺流程</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模式Ⅰ适用于非环境敏感区，当地能源需求量大，有足够可供施用的土地资源的养殖场（区），该模式工艺要求粪尿全进厌氧反应器。其典型的工艺流程见图3.3-2。</w:t>
      </w:r>
    </w:p>
    <w:p>
      <w:pPr>
        <w:autoSpaceDE w:val="0"/>
        <w:autoSpaceDN w:val="0"/>
        <w:adjustRightInd w:val="0"/>
        <w:snapToGrid w:val="0"/>
        <w:spacing w:line="360" w:lineRule="auto"/>
        <w:jc w:val="center"/>
        <w:rPr>
          <w:rFonts w:hint="default" w:ascii="Times New Roman" w:hAnsi="Times New Roman" w:cs="Times New Roman"/>
          <w:b/>
          <w:sz w:val="24"/>
          <w:szCs w:val="24"/>
        </w:rPr>
      </w:pPr>
      <w:r>
        <w:rPr>
          <w:rFonts w:hint="default" w:ascii="Times New Roman" w:hAnsi="Times New Roman" w:cs="Times New Roman"/>
          <w:sz w:val="24"/>
          <w:szCs w:val="24"/>
        </w:rPr>
        <w:drawing>
          <wp:inline distT="0" distB="0" distL="0" distR="0">
            <wp:extent cx="5486400" cy="1733550"/>
            <wp:effectExtent l="19050" t="0" r="0" b="0"/>
            <wp:docPr id="1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8"/>
                    <pic:cNvPicPr>
                      <a:picLocks noChangeAspect="1" noChangeArrowheads="1"/>
                    </pic:cNvPicPr>
                  </pic:nvPicPr>
                  <pic:blipFill>
                    <a:blip r:embed="rId40"/>
                    <a:srcRect/>
                    <a:stretch>
                      <a:fillRect/>
                    </a:stretch>
                  </pic:blipFill>
                  <pic:spPr>
                    <a:xfrm>
                      <a:off x="0" y="0"/>
                      <a:ext cx="5486400" cy="1733550"/>
                    </a:xfrm>
                    <a:prstGeom prst="rect">
                      <a:avLst/>
                    </a:prstGeom>
                    <a:noFill/>
                    <a:ln w="9525">
                      <a:noFill/>
                      <a:miter lim="800000"/>
                      <a:headEnd/>
                      <a:tailEnd/>
                    </a:ln>
                  </pic:spPr>
                </pic:pic>
              </a:graphicData>
            </a:graphic>
          </wp:inline>
        </w:drawing>
      </w:r>
    </w:p>
    <w:p>
      <w:pPr>
        <w:pStyle w:val="2"/>
        <w:spacing w:line="360" w:lineRule="auto"/>
        <w:jc w:val="center"/>
        <w:rPr>
          <w:rFonts w:hint="default" w:ascii="Times New Roman" w:hAnsi="Times New Roman" w:eastAsia="黑体" w:cs="Times New Roman"/>
          <w:bCs/>
          <w:color w:val="auto"/>
        </w:rPr>
      </w:pPr>
      <w:r>
        <w:rPr>
          <w:rFonts w:hint="default" w:ascii="Times New Roman" w:hAnsi="Times New Roman" w:eastAsia="黑体" w:cs="Times New Roman"/>
          <w:bCs/>
          <w:color w:val="auto"/>
        </w:rPr>
        <w:t>图3.3-2  模式</w:t>
      </w:r>
      <w:r>
        <w:rPr>
          <w:rFonts w:hint="default" w:ascii="Times New Roman" w:hAnsi="Times New Roman" w:eastAsia="黑体" w:cs="Times New Roman"/>
          <w:bCs/>
          <w:color w:val="auto"/>
        </w:rPr>
        <w:fldChar w:fldCharType="begin"/>
      </w:r>
      <w:r>
        <w:rPr>
          <w:rFonts w:hint="default" w:ascii="Times New Roman" w:hAnsi="Times New Roman" w:eastAsia="黑体" w:cs="Times New Roman"/>
          <w:bCs/>
          <w:color w:val="auto"/>
        </w:rPr>
        <w:instrText xml:space="preserve"> = 1 \* ROMAN </w:instrText>
      </w:r>
      <w:r>
        <w:rPr>
          <w:rFonts w:hint="default" w:ascii="Times New Roman" w:hAnsi="Times New Roman" w:eastAsia="黑体" w:cs="Times New Roman"/>
          <w:bCs/>
          <w:color w:val="auto"/>
        </w:rPr>
        <w:fldChar w:fldCharType="separate"/>
      </w:r>
      <w:r>
        <w:rPr>
          <w:rFonts w:hint="default" w:ascii="Times New Roman" w:hAnsi="Times New Roman" w:eastAsia="黑体" w:cs="Times New Roman"/>
          <w:bCs/>
          <w:color w:val="auto"/>
        </w:rPr>
        <w:t>I</w:t>
      </w:r>
      <w:r>
        <w:rPr>
          <w:rFonts w:hint="default" w:ascii="Times New Roman" w:hAnsi="Times New Roman" w:eastAsia="黑体" w:cs="Times New Roman"/>
          <w:bCs/>
          <w:color w:val="auto"/>
        </w:rPr>
        <w:fldChar w:fldCharType="end"/>
      </w:r>
      <w:r>
        <w:rPr>
          <w:rFonts w:hint="default" w:ascii="Times New Roman" w:hAnsi="Times New Roman" w:eastAsia="黑体" w:cs="Times New Roman"/>
          <w:bCs/>
          <w:color w:val="auto"/>
        </w:rPr>
        <w:t>基本工艺流程</w:t>
      </w:r>
    </w:p>
    <w:p>
      <w:pPr>
        <w:spacing w:line="360" w:lineRule="auto"/>
        <w:ind w:firstLine="490" w:firstLineChars="200"/>
        <w:rPr>
          <w:rFonts w:hint="default" w:ascii="Times New Roman" w:hAnsi="Times New Roman" w:cs="Times New Roman"/>
          <w:b/>
          <w:bCs/>
          <w:spacing w:val="2"/>
          <w:sz w:val="24"/>
          <w:szCs w:val="24"/>
        </w:rPr>
      </w:pPr>
      <w:r>
        <w:rPr>
          <w:rFonts w:hint="default" w:ascii="Times New Roman" w:hAnsi="Times New Roman" w:cs="Times New Roman"/>
          <w:b/>
          <w:bCs/>
          <w:spacing w:val="2"/>
          <w:sz w:val="24"/>
          <w:szCs w:val="24"/>
        </w:rPr>
        <w:t>（2）模式Ⅱ适用范围及工艺流程</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模式Ⅱ适用于座落于非环境敏感区的养殖场，且沼气能源需求不大，主要以进行污染物无害化处理、降低有机物浓度、减少沼液和沼渣消纳所需配套的土地面积为目的，周围具有足够大的土地面积以全部消纳低浓度沼液。废水进入厌氧反应器之前应先进行固液（干湿）分离，然后再对固体粪渣和废水分别进行处理。其典型的工艺流程见图3.3-3。</w:t>
      </w:r>
    </w:p>
    <w:p>
      <w:pPr>
        <w:autoSpaceDE w:val="0"/>
        <w:autoSpaceDN w:val="0"/>
        <w:adjustRightInd w:val="0"/>
        <w:snapToGrid w:val="0"/>
        <w:spacing w:line="360" w:lineRule="auto"/>
        <w:jc w:val="center"/>
        <w:rPr>
          <w:rFonts w:hint="default" w:ascii="Times New Roman" w:hAnsi="Times New Roman" w:cs="Times New Roman"/>
          <w:b/>
          <w:sz w:val="24"/>
          <w:szCs w:val="24"/>
        </w:rPr>
      </w:pPr>
      <w:r>
        <w:rPr>
          <w:rFonts w:hint="default" w:ascii="Times New Roman" w:hAnsi="Times New Roman" w:cs="Times New Roman"/>
          <w:sz w:val="24"/>
          <w:szCs w:val="24"/>
        </w:rPr>
        <w:drawing>
          <wp:inline distT="0" distB="0" distL="0" distR="0">
            <wp:extent cx="5462270" cy="1454785"/>
            <wp:effectExtent l="19050" t="0" r="5080" b="0"/>
            <wp:docPr id="1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9"/>
                    <pic:cNvPicPr>
                      <a:picLocks noChangeAspect="1" noChangeArrowheads="1"/>
                    </pic:cNvPicPr>
                  </pic:nvPicPr>
                  <pic:blipFill>
                    <a:blip r:embed="rId41"/>
                    <a:srcRect/>
                    <a:stretch>
                      <a:fillRect/>
                    </a:stretch>
                  </pic:blipFill>
                  <pic:spPr>
                    <a:xfrm>
                      <a:off x="0" y="0"/>
                      <a:ext cx="5462270" cy="1454785"/>
                    </a:xfrm>
                    <a:prstGeom prst="rect">
                      <a:avLst/>
                    </a:prstGeom>
                    <a:noFill/>
                    <a:ln w="9525">
                      <a:noFill/>
                      <a:miter lim="800000"/>
                      <a:headEnd/>
                      <a:tailEnd/>
                    </a:ln>
                    <a:effectLst/>
                  </pic:spPr>
                </pic:pic>
              </a:graphicData>
            </a:graphic>
          </wp:inline>
        </w:drawing>
      </w:r>
    </w:p>
    <w:p>
      <w:pPr>
        <w:pStyle w:val="2"/>
        <w:spacing w:line="360" w:lineRule="auto"/>
        <w:jc w:val="center"/>
        <w:rPr>
          <w:rFonts w:hint="default" w:ascii="Times New Roman" w:hAnsi="Times New Roman" w:eastAsia="黑体" w:cs="Times New Roman"/>
          <w:bCs/>
          <w:color w:val="auto"/>
        </w:rPr>
      </w:pPr>
      <w:r>
        <w:rPr>
          <w:rFonts w:hint="default" w:ascii="Times New Roman" w:hAnsi="Times New Roman" w:eastAsia="黑体" w:cs="Times New Roman"/>
          <w:bCs/>
          <w:color w:val="auto"/>
        </w:rPr>
        <w:t>图3.3-3  模式</w:t>
      </w:r>
      <w:r>
        <w:rPr>
          <w:rFonts w:hint="default" w:ascii="Times New Roman" w:hAnsi="Times New Roman" w:eastAsia="黑体" w:cs="Times New Roman"/>
          <w:bCs/>
          <w:color w:val="auto"/>
        </w:rPr>
        <w:fldChar w:fldCharType="begin"/>
      </w:r>
      <w:r>
        <w:rPr>
          <w:rFonts w:hint="default" w:ascii="Times New Roman" w:hAnsi="Times New Roman" w:eastAsia="黑体" w:cs="Times New Roman"/>
          <w:bCs/>
          <w:color w:val="auto"/>
        </w:rPr>
        <w:instrText xml:space="preserve"> = 2 \* ROMAN </w:instrText>
      </w:r>
      <w:r>
        <w:rPr>
          <w:rFonts w:hint="default" w:ascii="Times New Roman" w:hAnsi="Times New Roman" w:eastAsia="黑体" w:cs="Times New Roman"/>
          <w:bCs/>
          <w:color w:val="auto"/>
        </w:rPr>
        <w:fldChar w:fldCharType="separate"/>
      </w:r>
      <w:r>
        <w:rPr>
          <w:rFonts w:hint="default" w:ascii="Times New Roman" w:hAnsi="Times New Roman" w:eastAsia="黑体" w:cs="Times New Roman"/>
          <w:bCs/>
          <w:color w:val="auto"/>
        </w:rPr>
        <w:t>II</w:t>
      </w:r>
      <w:r>
        <w:rPr>
          <w:rFonts w:hint="default" w:ascii="Times New Roman" w:hAnsi="Times New Roman" w:eastAsia="黑体" w:cs="Times New Roman"/>
          <w:bCs/>
          <w:color w:val="auto"/>
        </w:rPr>
        <w:fldChar w:fldCharType="end"/>
      </w:r>
      <w:r>
        <w:rPr>
          <w:rFonts w:hint="default" w:ascii="Times New Roman" w:hAnsi="Times New Roman" w:eastAsia="黑体" w:cs="Times New Roman"/>
          <w:bCs/>
          <w:color w:val="auto"/>
        </w:rPr>
        <w:t>基本工艺流程</w:t>
      </w:r>
    </w:p>
    <w:p>
      <w:pPr>
        <w:spacing w:line="360" w:lineRule="auto"/>
        <w:ind w:firstLine="490" w:firstLineChars="200"/>
        <w:rPr>
          <w:rFonts w:hint="default" w:ascii="Times New Roman" w:hAnsi="Times New Roman" w:cs="Times New Roman"/>
          <w:b/>
          <w:bCs/>
          <w:spacing w:val="2"/>
          <w:sz w:val="24"/>
          <w:szCs w:val="24"/>
        </w:rPr>
      </w:pPr>
      <w:r>
        <w:rPr>
          <w:rFonts w:hint="default" w:ascii="Times New Roman" w:hAnsi="Times New Roman" w:cs="Times New Roman"/>
          <w:b/>
          <w:bCs/>
          <w:spacing w:val="2"/>
          <w:sz w:val="24"/>
          <w:szCs w:val="24"/>
        </w:rPr>
        <w:t>（3）模式Ⅲ适用范围及工艺流程</w:t>
      </w:r>
    </w:p>
    <w:p>
      <w:pPr>
        <w:spacing w:line="360" w:lineRule="auto"/>
        <w:ind w:firstLine="488" w:firstLineChars="200"/>
        <w:rPr>
          <w:rFonts w:hint="default" w:ascii="Times New Roman" w:hAnsi="Times New Roman" w:cs="Times New Roman"/>
          <w:spacing w:val="2"/>
          <w:sz w:val="24"/>
          <w:szCs w:val="24"/>
        </w:rPr>
      </w:pPr>
      <w:r>
        <w:rPr>
          <w:rFonts w:hint="default" w:ascii="Times New Roman" w:hAnsi="Times New Roman" w:cs="Times New Roman"/>
          <w:spacing w:val="2"/>
          <w:sz w:val="24"/>
          <w:szCs w:val="24"/>
        </w:rPr>
        <w:t>模式Ⅲ主要是基于受当地沼气能源供求实际情况的限制，周边又没有足够的可供消纳沼液、沼渣的土地，其厌氧出水（沼液）必须再经过进一步处理，达到国家和地方排放标准。其典型的工艺流程见图3.3-4。</w:t>
      </w:r>
    </w:p>
    <w:p>
      <w:pPr>
        <w:adjustRightInd w:val="0"/>
        <w:snapToGrid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589905" cy="1852930"/>
            <wp:effectExtent l="19050" t="0" r="0" b="0"/>
            <wp:docPr id="1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0"/>
                    <pic:cNvPicPr>
                      <a:picLocks noChangeAspect="1" noChangeArrowheads="1"/>
                    </pic:cNvPicPr>
                  </pic:nvPicPr>
                  <pic:blipFill>
                    <a:blip r:embed="rId42"/>
                    <a:srcRect/>
                    <a:stretch>
                      <a:fillRect/>
                    </a:stretch>
                  </pic:blipFill>
                  <pic:spPr>
                    <a:xfrm>
                      <a:off x="0" y="0"/>
                      <a:ext cx="5589905" cy="1852930"/>
                    </a:xfrm>
                    <a:prstGeom prst="rect">
                      <a:avLst/>
                    </a:prstGeom>
                    <a:noFill/>
                    <a:ln w="9525">
                      <a:noFill/>
                      <a:miter lim="800000"/>
                      <a:headEnd/>
                      <a:tailEnd/>
                    </a:ln>
                    <a:effectLst/>
                  </pic:spPr>
                </pic:pic>
              </a:graphicData>
            </a:graphic>
          </wp:inline>
        </w:drawing>
      </w:r>
    </w:p>
    <w:p>
      <w:pPr>
        <w:pStyle w:val="2"/>
        <w:spacing w:line="360" w:lineRule="auto"/>
        <w:jc w:val="center"/>
        <w:rPr>
          <w:rFonts w:hint="default" w:ascii="Times New Roman" w:hAnsi="Times New Roman" w:eastAsia="黑体" w:cs="Times New Roman"/>
          <w:bCs/>
          <w:color w:val="auto"/>
        </w:rPr>
      </w:pPr>
      <w:r>
        <w:rPr>
          <w:rFonts w:hint="default" w:ascii="Times New Roman" w:hAnsi="Times New Roman" w:eastAsia="黑体" w:cs="Times New Roman"/>
          <w:bCs/>
          <w:color w:val="auto"/>
        </w:rPr>
        <w:t>图3.3-4  模式Ⅲ基本工艺流程</w:t>
      </w:r>
    </w:p>
    <w:p>
      <w:pPr>
        <w:spacing w:line="360" w:lineRule="auto"/>
        <w:ind w:firstLine="490" w:firstLineChars="200"/>
        <w:rPr>
          <w:rFonts w:hint="default" w:ascii="Times New Roman" w:hAnsi="Times New Roman" w:cs="Times New Roman"/>
          <w:b/>
          <w:bCs/>
          <w:spacing w:val="2"/>
          <w:sz w:val="24"/>
          <w:szCs w:val="24"/>
        </w:rPr>
      </w:pPr>
      <w:r>
        <w:rPr>
          <w:rFonts w:hint="default" w:ascii="Times New Roman" w:hAnsi="Times New Roman" w:cs="Times New Roman"/>
          <w:b/>
          <w:bCs/>
          <w:spacing w:val="2"/>
          <w:sz w:val="24"/>
          <w:szCs w:val="24"/>
        </w:rPr>
        <w:t>（4）工艺选择原则</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1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①</w:t>
      </w:r>
      <w:r>
        <w:rPr>
          <w:rFonts w:hint="default" w:ascii="Times New Roman" w:hAnsi="Times New Roman" w:cs="Times New Roman"/>
          <w:sz w:val="24"/>
          <w:szCs w:val="24"/>
        </w:rPr>
        <w:fldChar w:fldCharType="end"/>
      </w:r>
      <w:r>
        <w:rPr>
          <w:rFonts w:hint="default" w:ascii="Times New Roman" w:hAnsi="Times New Roman" w:cs="Times New Roman"/>
          <w:sz w:val="24"/>
          <w:szCs w:val="24"/>
        </w:rPr>
        <w:t>选用粪污处理工艺时，应根据养殖场的养殖种类、养殖规模、粪污收集方式、当地的自然地理环境条件以及排水去向等因素确定工艺路线及处理目标，并应充分考虑畜禽养殖废水的特殊性，在实现综合利用或达标排放的情况下，优先选择低运行成本的处理工艺；应慎重选用物化处理工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2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②</w:t>
      </w:r>
      <w:r>
        <w:rPr>
          <w:rFonts w:hint="default" w:ascii="Times New Roman" w:hAnsi="Times New Roman" w:cs="Times New Roman"/>
          <w:sz w:val="24"/>
          <w:szCs w:val="24"/>
        </w:rPr>
        <w:fldChar w:fldCharType="end"/>
      </w:r>
      <w:r>
        <w:rPr>
          <w:rFonts w:hint="default" w:ascii="Times New Roman" w:hAnsi="Times New Roman" w:cs="Times New Roman"/>
          <w:sz w:val="24"/>
          <w:szCs w:val="24"/>
        </w:rPr>
        <w:t>养殖规模在存栏（以猪计）2000头及以下的应尽可能采用模式Ⅰ或模式Ⅱ处理工艺；存栏（以猪计）10000头及以上的，宜采用模式Ⅲ处理工艺。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3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③</w:t>
      </w:r>
      <w:r>
        <w:rPr>
          <w:rFonts w:hint="default" w:ascii="Times New Roman" w:hAnsi="Times New Roman" w:cs="Times New Roman"/>
          <w:sz w:val="24"/>
          <w:szCs w:val="24"/>
        </w:rPr>
        <w:fldChar w:fldCharType="end"/>
      </w:r>
      <w:r>
        <w:rPr>
          <w:rFonts w:hint="default" w:ascii="Times New Roman" w:hAnsi="Times New Roman" w:cs="Times New Roman"/>
          <w:sz w:val="24"/>
          <w:szCs w:val="24"/>
        </w:rPr>
        <w:t>采用模式Ⅰ或模式Ⅱ处理工艺的，养殖场应位于非环境敏感区，周围的环境容量大，远离城市，有能源需求，周边有足够土地能够消纳全部的沼液、沼渣。</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4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④</w:t>
      </w:r>
      <w:r>
        <w:rPr>
          <w:rFonts w:hint="default" w:ascii="Times New Roman" w:hAnsi="Times New Roman" w:cs="Times New Roman"/>
          <w:sz w:val="24"/>
          <w:szCs w:val="24"/>
        </w:rPr>
        <w:fldChar w:fldCharType="end"/>
      </w:r>
      <w:r>
        <w:rPr>
          <w:rFonts w:hint="default" w:ascii="Times New Roman" w:hAnsi="Times New Roman" w:cs="Times New Roman"/>
          <w:sz w:val="24"/>
          <w:szCs w:val="24"/>
        </w:rPr>
        <w:t>干清粪工艺的养殖场，不宜采用模式Ⅰ处理工艺，固体粪便宜采用好氧堆肥等技术单独进行无害化处理。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5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⑤</w:t>
      </w:r>
      <w:r>
        <w:rPr>
          <w:rFonts w:hint="default" w:ascii="Times New Roman" w:hAnsi="Times New Roman" w:cs="Times New Roman"/>
          <w:sz w:val="24"/>
          <w:szCs w:val="24"/>
        </w:rPr>
        <w:fldChar w:fldCharType="end"/>
      </w:r>
      <w:r>
        <w:rPr>
          <w:rFonts w:hint="default" w:ascii="Times New Roman" w:hAnsi="Times New Roman" w:cs="Times New Roman"/>
          <w:sz w:val="24"/>
          <w:szCs w:val="24"/>
        </w:rPr>
        <w:t>当采用干清粪工艺时，清粪比例宜控制在70%。</w:t>
      </w:r>
    </w:p>
    <w:p>
      <w:pPr>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cs="Times New Roman"/>
          <w:sz w:val="24"/>
          <w:szCs w:val="24"/>
          <w:u w:val="single"/>
        </w:rPr>
        <w:t>根据以上分析，结合项目实际情况，本项目周围有大量的消纳土地，同时本项目年存栏成年猪量为7000头，远远大于2000头，本项目的消纳土地面积为523亩，由当地农户进行玉米、生姜、黄豆、小麦、有机蔬菜、果树、茶树等种植。</w:t>
      </w:r>
    </w:p>
    <w:p>
      <w:pPr>
        <w:pStyle w:val="2"/>
        <w:spacing w:line="360" w:lineRule="auto"/>
        <w:rPr>
          <w:rFonts w:hint="default" w:ascii="Times New Roman" w:hAnsi="Times New Roman" w:cs="Times New Roman"/>
          <w:b/>
          <w:bCs/>
          <w:color w:val="auto"/>
        </w:rPr>
      </w:pPr>
      <w:r>
        <w:rPr>
          <w:rFonts w:hint="default" w:ascii="Times New Roman" w:hAnsi="Times New Roman" w:cs="Times New Roman"/>
          <w:b/>
          <w:bCs/>
          <w:color w:val="auto"/>
        </w:rPr>
        <w:t>因此，本项目采用模式Ⅲ处理工艺，废水经过厂区修建的废水处理系统（粪污收集池+集水池+固液分离+调节酸化池+沼气池+好氧池+沉淀池+消毒+沼液暂存池（兼事故应急池））处理后，</w:t>
      </w:r>
      <w:r>
        <w:rPr>
          <w:rFonts w:hint="default" w:ascii="Times New Roman" w:hAnsi="Times New Roman" w:cs="Times New Roman"/>
          <w:color w:val="auto"/>
        </w:rPr>
        <w:t>部分废水通过管网输送系统输送至三洞镇周冲村村民耕地使用，其余</w:t>
      </w:r>
      <w:r>
        <w:rPr>
          <w:rFonts w:hint="default" w:ascii="Times New Roman" w:hAnsi="Times New Roman" w:cs="Times New Roman"/>
          <w:bCs/>
          <w:color w:val="auto"/>
        </w:rPr>
        <w:t>部分废水通过罐车拉运至夹江县果香四季家庭农场的田间池中暂存，用于耕地施肥，</w:t>
      </w:r>
      <w:r>
        <w:rPr>
          <w:rFonts w:hint="default" w:ascii="Times New Roman" w:hAnsi="Times New Roman" w:cs="Times New Roman"/>
          <w:color w:val="auto"/>
        </w:rPr>
        <w:t>不外排。</w:t>
      </w:r>
    </w:p>
    <w:p>
      <w:pPr>
        <w:spacing w:line="360" w:lineRule="auto"/>
        <w:ind w:firstLine="480" w:firstLineChars="200"/>
        <w:outlineLvl w:val="4"/>
        <w:rPr>
          <w:rFonts w:hint="default" w:ascii="Times New Roman" w:hAnsi="Times New Roman" w:cs="Times New Roman"/>
          <w:sz w:val="24"/>
          <w:szCs w:val="24"/>
        </w:rPr>
      </w:pPr>
      <w:r>
        <w:rPr>
          <w:rFonts w:hint="default" w:ascii="Times New Roman" w:hAnsi="Times New Roman" w:cs="Times New Roman"/>
          <w:sz w:val="24"/>
          <w:szCs w:val="24"/>
        </w:rPr>
        <w:t>2、项目废水处理工艺路线选择</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（1）厌氧处理工艺选择</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废水沼气化处理工艺能够实现养殖场粪污的综合利用，沼气化处理工艺的种类较多，工艺的选择由粪污种类、工程类型和工艺路线确定，常用的有以下几种：</w:t>
      </w:r>
    </w:p>
    <w:p>
      <w:pPr>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CSTR工艺：又称连续搅拌反应器系统，是一种完全混合式厌氧反应方式，CSTR工艺适合各类粪污处理沼气工程。其特征是可以处理浓度较高的废液（TS浓度为6～8%），发酵均匀产气率高，处理量大，反应器结构简单，便于启动运行和管理，适用于全国各地区，特别是北方寒冷地区，不需要外来能源加热。沼渣沼液一般不经固液分离直接用于农田施肥。</w:t>
      </w:r>
    </w:p>
    <w:p>
      <w:pPr>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USR工艺：采用上流式污泥床原理，其特征是原料预处理，液泵进料，进料TS浓度3～5%，采用下进料上出料方式，没有机械搅拌；产气率在中温条件下，一般为0.7m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左右。USR是一种简单而又低值的反应器，主要适用于原料浓度较低的南方猪场粪污处理；在北方寒冷地区运行经济效益不佳。</w:t>
      </w:r>
    </w:p>
    <w:p>
      <w:pPr>
        <w:spacing w:line="5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UASB工艺：UASB工艺是20世纪70年代开发的一种适用于低SS工业有机废水的厌氧处理工艺，并被应用于畜禽养殖场的污水处理。其原理是先对养殖场污水进行固液分离，污水进入UASB反应器进行厌氧反应，产生沼气，出水需进一步好氧处理达标排放，是一种以环保治理为主，生产能源为辅的能源环保型沼气工程工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HCF工艺：是一种全混式工艺，其原理是将粪污按照TS浓度8～12%调配，直接进入带搅拌器的HCF反应器进行厌氧反应，产气率在中温条件下视原料不同在0.8～1.2m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之间，产生的沼渣直接用于农田耕作，也是典型的能源生态型沼气工程工艺。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C工艺：是目前效能最高的厌氧反应器。该反应器是集UASB反应器和流化反应器的优点于一身，利用反应器内所产沼气的提升力实现发酵料液内循环的一种新型反应器。但在实际工程存在运行能耗大、一次性投资高的问题。</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UASF厌氧处理工艺：1971年Ghosh和Poland提出了两段厌氧生物处理工艺，它的本质特征是是实现了生物相的分离，即通过调控产酸相和产甲烷相反应器的运行控制参数，使产酸相和产甲烷相成为两个独立的处理单元，各自形成产酸发酵微生物和产甲烷发酵微生物的最佳生态条件，实现完整的厌氧发酵过程，从而大幅度提高废水处理能力和反应器的运行稳定性。 </w:t>
      </w:r>
    </w:p>
    <w:p>
      <w:pPr>
        <w:pStyle w:val="26"/>
        <w:spacing w:line="360" w:lineRule="auto"/>
        <w:ind w:firstLine="420"/>
        <w:rPr>
          <w:rFonts w:hint="default" w:ascii="Times New Roman" w:hAnsi="Times New Roman" w:cs="Times New Roman"/>
          <w:kern w:val="2"/>
          <w:sz w:val="24"/>
          <w:szCs w:val="24"/>
        </w:rPr>
      </w:pPr>
      <w:r>
        <w:rPr>
          <w:rFonts w:hint="default" w:ascii="Times New Roman" w:hAnsi="Times New Roman" w:cs="Times New Roman"/>
          <w:kern w:val="2"/>
          <w:sz w:val="24"/>
          <w:szCs w:val="24"/>
        </w:rPr>
        <w:t>黑膜沼气池工艺：是在开挖好的土方基础上，采用优质材料，由底膜和顶膜密封形成的一种厌氧反应器。黑膜沼气池具有优异的化学稳定性，广泛用于污水处理，化学反应池，</w:t>
      </w:r>
      <w:r>
        <w:rPr>
          <w:rFonts w:hint="default" w:ascii="Times New Roman" w:hAnsi="Times New Roman" w:cs="Times New Roman"/>
        </w:rPr>
        <w:fldChar w:fldCharType="begin"/>
      </w:r>
      <w:r>
        <w:rPr>
          <w:rFonts w:hint="default" w:ascii="Times New Roman" w:hAnsi="Times New Roman" w:cs="Times New Roman"/>
        </w:rPr>
        <w:instrText xml:space="preserve"> HYPERLINK "https://www.baidu.com/s?wd=%E5%9E%83%E5%9C%BE%E5%A1%AB%E5%9F%8B%E5%9C%BA&amp;tn=44039180_cpr&amp;fenlei=mv6quAkxTZn0IZRqIHckPjm4nH00T1dhm1TkuyR4nym1P1wBmWb0IAYqnWm3PW64rj0d0AP8IA3qPjfsn1bkrjKxmLKz0ZNzUjdCIZwsrBtEXh9GuA7EQhF9pywdQhPEUiqkIyN1IA-EUBtkPW64rjD1P1mkrjDYPjDLnWc3" \t "https://zhidao.baidu.com/question/_blank" </w:instrText>
      </w:r>
      <w:r>
        <w:rPr>
          <w:rFonts w:hint="default" w:ascii="Times New Roman" w:hAnsi="Times New Roman" w:cs="Times New Roman"/>
        </w:rPr>
        <w:fldChar w:fldCharType="separate"/>
      </w:r>
      <w:r>
        <w:rPr>
          <w:rFonts w:hint="default" w:ascii="Times New Roman" w:hAnsi="Times New Roman" w:cs="Times New Roman"/>
          <w:kern w:val="2"/>
          <w:sz w:val="24"/>
          <w:szCs w:val="24"/>
        </w:rPr>
        <w:t>垃圾填埋场</w:t>
      </w:r>
      <w:r>
        <w:rPr>
          <w:rFonts w:hint="default" w:ascii="Times New Roman" w:hAnsi="Times New Roman" w:cs="Times New Roman"/>
          <w:kern w:val="2"/>
          <w:sz w:val="24"/>
          <w:szCs w:val="24"/>
        </w:rPr>
        <w:fldChar w:fldCharType="end"/>
      </w:r>
      <w:r>
        <w:rPr>
          <w:rFonts w:hint="default" w:ascii="Times New Roman" w:hAnsi="Times New Roman" w:cs="Times New Roman"/>
          <w:kern w:val="2"/>
          <w:sz w:val="24"/>
          <w:szCs w:val="24"/>
        </w:rPr>
        <w:t>。耐高低温，耐沥青，油及焦油，耐酸、碱、盐等80多种</w:t>
      </w:r>
      <w:r>
        <w:rPr>
          <w:rFonts w:hint="default" w:ascii="Times New Roman" w:hAnsi="Times New Roman" w:cs="Times New Roman"/>
        </w:rPr>
        <w:fldChar w:fldCharType="begin"/>
      </w:r>
      <w:r>
        <w:rPr>
          <w:rFonts w:hint="default" w:ascii="Times New Roman" w:hAnsi="Times New Roman" w:cs="Times New Roman"/>
        </w:rPr>
        <w:instrText xml:space="preserve"> HYPERLINK "https://www.baidu.com/s?wd=%E5%BC%BA%E9%85%B8%E5%BC%BA%E7%A2%B1&amp;tn=44039180_cpr&amp;fenlei=mv6quAkxTZn0IZRqIHckPjm4nH00T1dhm1TkuyR4nym1P1wBmWb0IAYqnWm3PW64rj0d0AP8IA3qPjfsn1bkrjKxmLKz0ZNzUjdCIZwsrBtEXh9GuA7EQhF9pywdQhPEUiqkIyN1IA-EUBtkPW64rjD1P1mkrjDYPjDLnWc3" \t "https://zhidao.baidu.com/question/_blank" </w:instrText>
      </w:r>
      <w:r>
        <w:rPr>
          <w:rFonts w:hint="default" w:ascii="Times New Roman" w:hAnsi="Times New Roman" w:cs="Times New Roman"/>
        </w:rPr>
        <w:fldChar w:fldCharType="separate"/>
      </w:r>
      <w:r>
        <w:rPr>
          <w:rFonts w:hint="default" w:ascii="Times New Roman" w:hAnsi="Times New Roman" w:cs="Times New Roman"/>
          <w:kern w:val="2"/>
          <w:sz w:val="24"/>
          <w:szCs w:val="24"/>
        </w:rPr>
        <w:t>强酸强碱</w:t>
      </w:r>
      <w:r>
        <w:rPr>
          <w:rFonts w:hint="default" w:ascii="Times New Roman" w:hAnsi="Times New Roman" w:cs="Times New Roman"/>
          <w:kern w:val="2"/>
          <w:sz w:val="24"/>
          <w:szCs w:val="24"/>
        </w:rPr>
        <w:fldChar w:fldCharType="end"/>
      </w:r>
      <w:r>
        <w:rPr>
          <w:rFonts w:hint="default" w:ascii="Times New Roman" w:hAnsi="Times New Roman" w:cs="Times New Roman"/>
          <w:kern w:val="2"/>
          <w:sz w:val="24"/>
          <w:szCs w:val="24"/>
        </w:rPr>
        <w:t>化学介质腐蚀。</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七种工艺的列表比较如下。</w:t>
      </w:r>
    </w:p>
    <w:p>
      <w:pPr>
        <w:jc w:val="center"/>
        <w:rPr>
          <w:rFonts w:hint="default" w:ascii="Times New Roman" w:hAnsi="Times New Roman" w:eastAsia="黑体" w:cs="Times New Roman"/>
          <w:bCs/>
          <w:sz w:val="24"/>
          <w:szCs w:val="24"/>
          <w:lang w:val="zh-CN"/>
        </w:rPr>
      </w:pPr>
      <w:r>
        <w:rPr>
          <w:rFonts w:hint="default" w:ascii="Times New Roman" w:hAnsi="Times New Roman" w:eastAsia="黑体" w:cs="Times New Roman"/>
          <w:bCs/>
          <w:sz w:val="24"/>
          <w:szCs w:val="24"/>
          <w:lang w:val="zh-CN"/>
        </w:rPr>
        <w:t>表3</w:t>
      </w:r>
      <w:r>
        <w:rPr>
          <w:rFonts w:hint="default" w:ascii="Times New Roman" w:hAnsi="Times New Roman" w:eastAsia="黑体" w:cs="Times New Roman"/>
          <w:bCs/>
          <w:sz w:val="24"/>
          <w:szCs w:val="24"/>
        </w:rPr>
        <w:t>.3</w:t>
      </w:r>
      <w:r>
        <w:rPr>
          <w:rFonts w:hint="default" w:ascii="Times New Roman" w:hAnsi="Times New Roman" w:eastAsia="黑体" w:cs="Times New Roman"/>
          <w:bCs/>
          <w:sz w:val="24"/>
          <w:szCs w:val="24"/>
          <w:lang w:val="zh-CN"/>
        </w:rPr>
        <w:t>-</w:t>
      </w:r>
      <w:r>
        <w:rPr>
          <w:rFonts w:hint="default" w:ascii="Times New Roman" w:hAnsi="Times New Roman" w:eastAsia="黑体" w:cs="Times New Roman"/>
          <w:bCs/>
          <w:sz w:val="24"/>
          <w:szCs w:val="24"/>
        </w:rPr>
        <w:t>1</w:t>
      </w:r>
      <w:r>
        <w:rPr>
          <w:rFonts w:hint="default" w:ascii="Times New Roman" w:hAnsi="Times New Roman" w:eastAsia="黑体" w:cs="Times New Roman"/>
          <w:bCs/>
          <w:sz w:val="24"/>
          <w:szCs w:val="24"/>
          <w:lang w:val="zh-CN"/>
        </w:rPr>
        <w:t xml:space="preserve"> 厌氧处理工艺对比一览表</w:t>
      </w:r>
    </w:p>
    <w:tbl>
      <w:tblPr>
        <w:tblStyle w:val="33"/>
        <w:tblW w:w="9607"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
      <w:tblGrid>
        <w:gridCol w:w="1368"/>
        <w:gridCol w:w="1346"/>
        <w:gridCol w:w="1270"/>
        <w:gridCol w:w="1319"/>
        <w:gridCol w:w="1277"/>
        <w:gridCol w:w="1406"/>
        <w:gridCol w:w="162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71" w:hRule="atLeast"/>
          <w:tblHeader/>
          <w:jc w:val="center"/>
        </w:trPr>
        <w:tc>
          <w:tcPr>
            <w:tcW w:w="1368" w:type="dxa"/>
            <w:tcBorders>
              <w:tl2br w:val="single" w:color="auto" w:sz="2" w:space="0"/>
            </w:tcBorders>
            <w:tcMar>
              <w:left w:w="0" w:type="dxa"/>
              <w:right w:w="0" w:type="dxa"/>
            </w:tcMar>
            <w:vAlign w:val="center"/>
          </w:tcPr>
          <w:p>
            <w:pPr>
              <w:adjustRightInd w:val="0"/>
              <w:snapToGrid w:val="0"/>
              <w:ind w:firstLine="450" w:firstLineChars="200"/>
              <w:rPr>
                <w:rFonts w:hint="default" w:ascii="Times New Roman" w:hAnsi="Times New Roman" w:cs="Times New Roman"/>
                <w:b/>
                <w:spacing w:val="7"/>
                <w:szCs w:val="21"/>
              </w:rPr>
            </w:pPr>
            <w:r>
              <w:rPr>
                <w:rFonts w:hint="default" w:ascii="Times New Roman" w:hAnsi="Times New Roman" w:cs="Times New Roman"/>
                <w:b/>
                <w:spacing w:val="7"/>
                <w:szCs w:val="21"/>
              </w:rPr>
              <w:t>工艺</w:t>
            </w:r>
          </w:p>
          <w:p>
            <w:pPr>
              <w:adjustRightInd w:val="0"/>
              <w:snapToGrid w:val="0"/>
              <w:rPr>
                <w:rFonts w:hint="default" w:ascii="Times New Roman" w:hAnsi="Times New Roman" w:cs="Times New Roman"/>
                <w:b/>
                <w:spacing w:val="7"/>
                <w:szCs w:val="21"/>
              </w:rPr>
            </w:pPr>
            <w:r>
              <w:rPr>
                <w:rFonts w:hint="default" w:ascii="Times New Roman" w:hAnsi="Times New Roman" w:cs="Times New Roman"/>
                <w:b/>
                <w:spacing w:val="7"/>
                <w:szCs w:val="21"/>
              </w:rPr>
              <w:t>指标</w:t>
            </w:r>
          </w:p>
        </w:tc>
        <w:tc>
          <w:tcPr>
            <w:tcW w:w="1346"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b/>
                <w:spacing w:val="7"/>
                <w:szCs w:val="21"/>
              </w:rPr>
            </w:pPr>
            <w:r>
              <w:rPr>
                <w:rFonts w:hint="default" w:ascii="Times New Roman" w:hAnsi="Times New Roman" w:cs="Times New Roman"/>
                <w:b/>
                <w:spacing w:val="7"/>
                <w:szCs w:val="21"/>
              </w:rPr>
              <w:t>CSTR</w:t>
            </w:r>
          </w:p>
        </w:tc>
        <w:tc>
          <w:tcPr>
            <w:tcW w:w="1270"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b/>
                <w:spacing w:val="7"/>
                <w:szCs w:val="21"/>
              </w:rPr>
            </w:pPr>
            <w:r>
              <w:rPr>
                <w:rFonts w:hint="default" w:ascii="Times New Roman" w:hAnsi="Times New Roman" w:cs="Times New Roman"/>
                <w:b/>
                <w:spacing w:val="7"/>
                <w:szCs w:val="21"/>
              </w:rPr>
              <w:t>UASB</w:t>
            </w:r>
          </w:p>
        </w:tc>
        <w:tc>
          <w:tcPr>
            <w:tcW w:w="1319"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b/>
                <w:spacing w:val="7"/>
                <w:szCs w:val="21"/>
              </w:rPr>
            </w:pPr>
            <w:r>
              <w:rPr>
                <w:rFonts w:hint="default" w:ascii="Times New Roman" w:hAnsi="Times New Roman" w:cs="Times New Roman"/>
                <w:b/>
                <w:spacing w:val="7"/>
                <w:szCs w:val="21"/>
              </w:rPr>
              <w:t>HCF</w:t>
            </w:r>
          </w:p>
        </w:tc>
        <w:tc>
          <w:tcPr>
            <w:tcW w:w="1277"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b/>
                <w:spacing w:val="7"/>
                <w:szCs w:val="21"/>
              </w:rPr>
            </w:pPr>
            <w:r>
              <w:rPr>
                <w:rFonts w:hint="default" w:ascii="Times New Roman" w:hAnsi="Times New Roman" w:cs="Times New Roman"/>
                <w:b/>
                <w:spacing w:val="7"/>
                <w:szCs w:val="21"/>
              </w:rPr>
              <w:t>USR</w:t>
            </w:r>
          </w:p>
        </w:tc>
        <w:tc>
          <w:tcPr>
            <w:tcW w:w="1406" w:type="dxa"/>
            <w:tcBorders>
              <w:tl2br w:val="nil"/>
              <w:tr2bl w:val="nil"/>
            </w:tcBorders>
            <w:vAlign w:val="center"/>
          </w:tcPr>
          <w:p>
            <w:pPr>
              <w:adjustRightInd w:val="0"/>
              <w:snapToGrid w:val="0"/>
              <w:jc w:val="center"/>
              <w:rPr>
                <w:rFonts w:hint="default" w:ascii="Times New Roman" w:hAnsi="Times New Roman" w:cs="Times New Roman"/>
                <w:b/>
                <w:spacing w:val="7"/>
                <w:szCs w:val="21"/>
              </w:rPr>
            </w:pPr>
            <w:r>
              <w:rPr>
                <w:rFonts w:hint="default" w:ascii="Times New Roman" w:hAnsi="Times New Roman" w:cs="Times New Roman"/>
                <w:b/>
                <w:spacing w:val="7"/>
                <w:szCs w:val="21"/>
              </w:rPr>
              <w:t>UASF</w:t>
            </w:r>
          </w:p>
        </w:tc>
        <w:tc>
          <w:tcPr>
            <w:tcW w:w="1621" w:type="dxa"/>
            <w:tcBorders>
              <w:tl2br w:val="nil"/>
              <w:tr2bl w:val="nil"/>
            </w:tcBorders>
            <w:vAlign w:val="center"/>
          </w:tcPr>
          <w:p>
            <w:pPr>
              <w:adjustRightInd w:val="0"/>
              <w:snapToGrid w:val="0"/>
              <w:jc w:val="center"/>
              <w:rPr>
                <w:rFonts w:hint="default" w:ascii="Times New Roman" w:hAnsi="Times New Roman" w:cs="Times New Roman"/>
                <w:b/>
                <w:spacing w:val="7"/>
                <w:szCs w:val="21"/>
              </w:rPr>
            </w:pPr>
            <w:r>
              <w:rPr>
                <w:rFonts w:hint="default" w:ascii="Times New Roman" w:hAnsi="Times New Roman" w:cs="Times New Roman"/>
                <w:b/>
                <w:spacing w:val="7"/>
                <w:szCs w:val="21"/>
              </w:rPr>
              <w:t>黑膜沼气池</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71" w:hRule="atLeast"/>
          <w:jc w:val="center"/>
        </w:trPr>
        <w:tc>
          <w:tcPr>
            <w:tcW w:w="1368"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原料范围</w:t>
            </w:r>
          </w:p>
        </w:tc>
        <w:tc>
          <w:tcPr>
            <w:tcW w:w="1346"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畜禽场粪污</w:t>
            </w:r>
          </w:p>
        </w:tc>
        <w:tc>
          <w:tcPr>
            <w:tcW w:w="1270"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畜禽场污水</w:t>
            </w:r>
          </w:p>
        </w:tc>
        <w:tc>
          <w:tcPr>
            <w:tcW w:w="1319"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畜禽场粪污</w:t>
            </w:r>
          </w:p>
        </w:tc>
        <w:tc>
          <w:tcPr>
            <w:tcW w:w="1277"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猪场粪污水</w:t>
            </w:r>
          </w:p>
        </w:tc>
        <w:tc>
          <w:tcPr>
            <w:tcW w:w="1406"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畜禽场污水</w:t>
            </w:r>
          </w:p>
        </w:tc>
        <w:tc>
          <w:tcPr>
            <w:tcW w:w="1621"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畜禽场污水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71" w:hRule="atLeast"/>
          <w:jc w:val="center"/>
        </w:trPr>
        <w:tc>
          <w:tcPr>
            <w:tcW w:w="1368"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原料TS浓度</w:t>
            </w:r>
          </w:p>
        </w:tc>
        <w:tc>
          <w:tcPr>
            <w:tcW w:w="1346"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6～8%</w:t>
            </w:r>
          </w:p>
        </w:tc>
        <w:tc>
          <w:tcPr>
            <w:tcW w:w="1270"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＜2%</w:t>
            </w:r>
          </w:p>
        </w:tc>
        <w:tc>
          <w:tcPr>
            <w:tcW w:w="1319"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8～12%</w:t>
            </w:r>
          </w:p>
        </w:tc>
        <w:tc>
          <w:tcPr>
            <w:tcW w:w="1277"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3～5%</w:t>
            </w:r>
          </w:p>
        </w:tc>
        <w:tc>
          <w:tcPr>
            <w:tcW w:w="1406"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6～8%</w:t>
            </w:r>
          </w:p>
        </w:tc>
        <w:tc>
          <w:tcPr>
            <w:tcW w:w="1621" w:type="dxa"/>
            <w:tcBorders>
              <w:tl2br w:val="nil"/>
              <w:tr2bl w:val="nil"/>
            </w:tcBorders>
            <w:vAlign w:val="center"/>
          </w:tcPr>
          <w:p>
            <w:pPr>
              <w:adjustRightInd w:val="0"/>
              <w:snapToGrid w:val="0"/>
              <w:jc w:val="center"/>
              <w:rPr>
                <w:rFonts w:hint="default" w:ascii="Times New Roman" w:hAnsi="Times New Roman" w:cs="Times New Roman"/>
                <w:spacing w:val="7"/>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71" w:hRule="atLeast"/>
          <w:jc w:val="center"/>
        </w:trPr>
        <w:tc>
          <w:tcPr>
            <w:tcW w:w="1368"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应用区域</w:t>
            </w:r>
          </w:p>
        </w:tc>
        <w:tc>
          <w:tcPr>
            <w:tcW w:w="1346"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全国各地</w:t>
            </w:r>
          </w:p>
        </w:tc>
        <w:tc>
          <w:tcPr>
            <w:tcW w:w="1270"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中部、南部</w:t>
            </w:r>
          </w:p>
        </w:tc>
        <w:tc>
          <w:tcPr>
            <w:tcW w:w="1319"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全国各地</w:t>
            </w:r>
          </w:p>
        </w:tc>
        <w:tc>
          <w:tcPr>
            <w:tcW w:w="1277"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中部、南部</w:t>
            </w:r>
          </w:p>
        </w:tc>
        <w:tc>
          <w:tcPr>
            <w:tcW w:w="1406"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全国各地</w:t>
            </w:r>
          </w:p>
        </w:tc>
        <w:tc>
          <w:tcPr>
            <w:tcW w:w="1621"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全国各地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71" w:hRule="atLeast"/>
          <w:jc w:val="center"/>
        </w:trPr>
        <w:tc>
          <w:tcPr>
            <w:tcW w:w="1368"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水力停留时间</w:t>
            </w:r>
          </w:p>
        </w:tc>
        <w:tc>
          <w:tcPr>
            <w:tcW w:w="1346"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15～25天</w:t>
            </w:r>
          </w:p>
        </w:tc>
        <w:tc>
          <w:tcPr>
            <w:tcW w:w="1270"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8～15天</w:t>
            </w:r>
          </w:p>
        </w:tc>
        <w:tc>
          <w:tcPr>
            <w:tcW w:w="1319"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10～30天</w:t>
            </w:r>
          </w:p>
        </w:tc>
        <w:tc>
          <w:tcPr>
            <w:tcW w:w="1277"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7～15天</w:t>
            </w:r>
          </w:p>
        </w:tc>
        <w:tc>
          <w:tcPr>
            <w:tcW w:w="1406"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8～15天</w:t>
            </w:r>
          </w:p>
        </w:tc>
        <w:tc>
          <w:tcPr>
            <w:tcW w:w="1621"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15～60天</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71" w:hRule="atLeast"/>
          <w:jc w:val="center"/>
        </w:trPr>
        <w:tc>
          <w:tcPr>
            <w:tcW w:w="1368"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单位能耗</w:t>
            </w:r>
          </w:p>
        </w:tc>
        <w:tc>
          <w:tcPr>
            <w:tcW w:w="1346"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高</w:t>
            </w:r>
          </w:p>
        </w:tc>
        <w:tc>
          <w:tcPr>
            <w:tcW w:w="1270"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中等</w:t>
            </w:r>
          </w:p>
        </w:tc>
        <w:tc>
          <w:tcPr>
            <w:tcW w:w="1319"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低</w:t>
            </w:r>
          </w:p>
        </w:tc>
        <w:tc>
          <w:tcPr>
            <w:tcW w:w="1277"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中等</w:t>
            </w:r>
          </w:p>
        </w:tc>
        <w:tc>
          <w:tcPr>
            <w:tcW w:w="1406"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低</w:t>
            </w:r>
          </w:p>
        </w:tc>
        <w:tc>
          <w:tcPr>
            <w:tcW w:w="1621"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低</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71" w:hRule="atLeast"/>
          <w:jc w:val="center"/>
        </w:trPr>
        <w:tc>
          <w:tcPr>
            <w:tcW w:w="1368"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单池容积</w:t>
            </w:r>
          </w:p>
        </w:tc>
        <w:tc>
          <w:tcPr>
            <w:tcW w:w="1346"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vertAlign w:val="superscript"/>
              </w:rPr>
            </w:pPr>
            <w:r>
              <w:rPr>
                <w:rFonts w:hint="default" w:ascii="Times New Roman" w:hAnsi="Times New Roman" w:cs="Times New Roman"/>
                <w:spacing w:val="7"/>
                <w:szCs w:val="21"/>
              </w:rPr>
              <w:t>300～1000m</w:t>
            </w:r>
            <w:r>
              <w:rPr>
                <w:rFonts w:hint="default" w:ascii="Times New Roman" w:hAnsi="Times New Roman" w:cs="Times New Roman"/>
                <w:spacing w:val="7"/>
                <w:szCs w:val="21"/>
                <w:vertAlign w:val="superscript"/>
              </w:rPr>
              <w:t>3</w:t>
            </w:r>
          </w:p>
        </w:tc>
        <w:tc>
          <w:tcPr>
            <w:tcW w:w="1270"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vertAlign w:val="superscript"/>
              </w:rPr>
            </w:pPr>
            <w:r>
              <w:rPr>
                <w:rFonts w:hint="default" w:ascii="Times New Roman" w:hAnsi="Times New Roman" w:cs="Times New Roman"/>
                <w:spacing w:val="7"/>
                <w:szCs w:val="21"/>
              </w:rPr>
              <w:t>100～1000m</w:t>
            </w:r>
            <w:r>
              <w:rPr>
                <w:rFonts w:hint="default" w:ascii="Times New Roman" w:hAnsi="Times New Roman" w:cs="Times New Roman"/>
                <w:spacing w:val="7"/>
                <w:szCs w:val="21"/>
                <w:vertAlign w:val="superscript"/>
              </w:rPr>
              <w:t>3</w:t>
            </w:r>
          </w:p>
        </w:tc>
        <w:tc>
          <w:tcPr>
            <w:tcW w:w="1319"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vertAlign w:val="superscript"/>
              </w:rPr>
            </w:pPr>
            <w:r>
              <w:rPr>
                <w:rFonts w:hint="default" w:ascii="Times New Roman" w:hAnsi="Times New Roman" w:cs="Times New Roman"/>
                <w:spacing w:val="7"/>
                <w:szCs w:val="21"/>
              </w:rPr>
              <w:t>100～300m</w:t>
            </w:r>
            <w:r>
              <w:rPr>
                <w:rFonts w:hint="default" w:ascii="Times New Roman" w:hAnsi="Times New Roman" w:cs="Times New Roman"/>
                <w:spacing w:val="7"/>
                <w:szCs w:val="21"/>
                <w:vertAlign w:val="superscript"/>
              </w:rPr>
              <w:t>3</w:t>
            </w:r>
          </w:p>
        </w:tc>
        <w:tc>
          <w:tcPr>
            <w:tcW w:w="1277"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vertAlign w:val="superscript"/>
              </w:rPr>
            </w:pPr>
            <w:r>
              <w:rPr>
                <w:rFonts w:hint="default" w:ascii="Times New Roman" w:hAnsi="Times New Roman" w:cs="Times New Roman"/>
                <w:spacing w:val="7"/>
                <w:szCs w:val="21"/>
              </w:rPr>
              <w:t>100～600m</w:t>
            </w:r>
            <w:r>
              <w:rPr>
                <w:rFonts w:hint="default" w:ascii="Times New Roman" w:hAnsi="Times New Roman" w:cs="Times New Roman"/>
                <w:spacing w:val="7"/>
                <w:szCs w:val="21"/>
                <w:vertAlign w:val="superscript"/>
              </w:rPr>
              <w:t>3</w:t>
            </w:r>
          </w:p>
        </w:tc>
        <w:tc>
          <w:tcPr>
            <w:tcW w:w="1406" w:type="dxa"/>
            <w:tcBorders>
              <w:tl2br w:val="nil"/>
              <w:tr2bl w:val="nil"/>
            </w:tcBorders>
            <w:vAlign w:val="center"/>
          </w:tcPr>
          <w:p>
            <w:pPr>
              <w:adjustRightInd w:val="0"/>
              <w:snapToGrid w:val="0"/>
              <w:jc w:val="center"/>
              <w:rPr>
                <w:rFonts w:hint="default" w:ascii="Times New Roman" w:hAnsi="Times New Roman" w:cs="Times New Roman"/>
                <w:spacing w:val="7"/>
                <w:szCs w:val="21"/>
                <w:vertAlign w:val="superscript"/>
              </w:rPr>
            </w:pPr>
            <w:r>
              <w:rPr>
                <w:rFonts w:hint="default" w:ascii="Times New Roman" w:hAnsi="Times New Roman" w:cs="Times New Roman"/>
                <w:spacing w:val="7"/>
                <w:szCs w:val="21"/>
              </w:rPr>
              <w:t>100～1000m</w:t>
            </w:r>
            <w:r>
              <w:rPr>
                <w:rFonts w:hint="default" w:ascii="Times New Roman" w:hAnsi="Times New Roman" w:cs="Times New Roman"/>
                <w:spacing w:val="7"/>
                <w:szCs w:val="21"/>
                <w:vertAlign w:val="superscript"/>
              </w:rPr>
              <w:t>3</w:t>
            </w:r>
          </w:p>
        </w:tc>
        <w:tc>
          <w:tcPr>
            <w:tcW w:w="1621"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100～20000m</w:t>
            </w:r>
            <w:r>
              <w:rPr>
                <w:rFonts w:hint="default" w:ascii="Times New Roman" w:hAnsi="Times New Roman" w:cs="Times New Roman"/>
                <w:spacing w:val="7"/>
                <w:szCs w:val="21"/>
                <w:vertAlign w:val="superscript"/>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71" w:hRule="atLeast"/>
          <w:jc w:val="center"/>
        </w:trPr>
        <w:tc>
          <w:tcPr>
            <w:tcW w:w="1368"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操作难度</w:t>
            </w:r>
          </w:p>
        </w:tc>
        <w:tc>
          <w:tcPr>
            <w:tcW w:w="1346"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高</w:t>
            </w:r>
          </w:p>
        </w:tc>
        <w:tc>
          <w:tcPr>
            <w:tcW w:w="1270"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中等</w:t>
            </w:r>
          </w:p>
        </w:tc>
        <w:tc>
          <w:tcPr>
            <w:tcW w:w="1319"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低</w:t>
            </w:r>
          </w:p>
        </w:tc>
        <w:tc>
          <w:tcPr>
            <w:tcW w:w="1277"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中等</w:t>
            </w:r>
          </w:p>
        </w:tc>
        <w:tc>
          <w:tcPr>
            <w:tcW w:w="1406"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低</w:t>
            </w:r>
          </w:p>
        </w:tc>
        <w:tc>
          <w:tcPr>
            <w:tcW w:w="1621"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低</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71" w:hRule="atLeast"/>
          <w:jc w:val="center"/>
        </w:trPr>
        <w:tc>
          <w:tcPr>
            <w:tcW w:w="1368"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产气率</w:t>
            </w:r>
          </w:p>
        </w:tc>
        <w:tc>
          <w:tcPr>
            <w:tcW w:w="1346"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≥0.8m</w:t>
            </w:r>
            <w:r>
              <w:rPr>
                <w:rFonts w:hint="default" w:ascii="Times New Roman" w:hAnsi="Times New Roman" w:cs="Times New Roman"/>
                <w:spacing w:val="7"/>
                <w:szCs w:val="21"/>
                <w:vertAlign w:val="superscript"/>
              </w:rPr>
              <w:t>3</w:t>
            </w:r>
            <w:r>
              <w:rPr>
                <w:rFonts w:hint="default" w:ascii="Times New Roman" w:hAnsi="Times New Roman" w:cs="Times New Roman"/>
                <w:spacing w:val="7"/>
                <w:szCs w:val="21"/>
              </w:rPr>
              <w:t>/m</w:t>
            </w:r>
            <w:r>
              <w:rPr>
                <w:rFonts w:hint="default" w:ascii="Times New Roman" w:hAnsi="Times New Roman" w:cs="Times New Roman"/>
                <w:spacing w:val="7"/>
                <w:szCs w:val="21"/>
                <w:vertAlign w:val="superscript"/>
              </w:rPr>
              <w:t>3</w:t>
            </w:r>
          </w:p>
        </w:tc>
        <w:tc>
          <w:tcPr>
            <w:tcW w:w="1270"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≥0.5m</w:t>
            </w:r>
            <w:r>
              <w:rPr>
                <w:rFonts w:hint="default" w:ascii="Times New Roman" w:hAnsi="Times New Roman" w:cs="Times New Roman"/>
                <w:spacing w:val="7"/>
                <w:szCs w:val="21"/>
                <w:vertAlign w:val="superscript"/>
              </w:rPr>
              <w:t>3</w:t>
            </w:r>
            <w:r>
              <w:rPr>
                <w:rFonts w:hint="default" w:ascii="Times New Roman" w:hAnsi="Times New Roman" w:cs="Times New Roman"/>
                <w:spacing w:val="7"/>
                <w:szCs w:val="21"/>
              </w:rPr>
              <w:t>/m</w:t>
            </w:r>
            <w:r>
              <w:rPr>
                <w:rFonts w:hint="default" w:ascii="Times New Roman" w:hAnsi="Times New Roman" w:cs="Times New Roman"/>
                <w:spacing w:val="7"/>
                <w:szCs w:val="21"/>
                <w:vertAlign w:val="superscript"/>
              </w:rPr>
              <w:t>3</w:t>
            </w:r>
          </w:p>
        </w:tc>
        <w:tc>
          <w:tcPr>
            <w:tcW w:w="1319"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≥0.8m</w:t>
            </w:r>
            <w:r>
              <w:rPr>
                <w:rFonts w:hint="default" w:ascii="Times New Roman" w:hAnsi="Times New Roman" w:cs="Times New Roman"/>
                <w:spacing w:val="7"/>
                <w:szCs w:val="21"/>
                <w:vertAlign w:val="superscript"/>
              </w:rPr>
              <w:t>3</w:t>
            </w:r>
            <w:r>
              <w:rPr>
                <w:rFonts w:hint="default" w:ascii="Times New Roman" w:hAnsi="Times New Roman" w:cs="Times New Roman"/>
                <w:spacing w:val="7"/>
                <w:szCs w:val="21"/>
              </w:rPr>
              <w:t>/m</w:t>
            </w:r>
            <w:r>
              <w:rPr>
                <w:rFonts w:hint="default" w:ascii="Times New Roman" w:hAnsi="Times New Roman" w:cs="Times New Roman"/>
                <w:spacing w:val="7"/>
                <w:szCs w:val="21"/>
                <w:vertAlign w:val="superscript"/>
              </w:rPr>
              <w:t>3</w:t>
            </w:r>
          </w:p>
        </w:tc>
        <w:tc>
          <w:tcPr>
            <w:tcW w:w="1277"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≥0.7m</w:t>
            </w:r>
            <w:r>
              <w:rPr>
                <w:rFonts w:hint="default" w:ascii="Times New Roman" w:hAnsi="Times New Roman" w:cs="Times New Roman"/>
                <w:spacing w:val="7"/>
                <w:szCs w:val="21"/>
                <w:vertAlign w:val="superscript"/>
              </w:rPr>
              <w:t>3</w:t>
            </w:r>
            <w:r>
              <w:rPr>
                <w:rFonts w:hint="default" w:ascii="Times New Roman" w:hAnsi="Times New Roman" w:cs="Times New Roman"/>
                <w:spacing w:val="7"/>
                <w:szCs w:val="21"/>
              </w:rPr>
              <w:t>/m</w:t>
            </w:r>
            <w:r>
              <w:rPr>
                <w:rFonts w:hint="default" w:ascii="Times New Roman" w:hAnsi="Times New Roman" w:cs="Times New Roman"/>
                <w:spacing w:val="7"/>
                <w:szCs w:val="21"/>
                <w:vertAlign w:val="superscript"/>
              </w:rPr>
              <w:t>3</w:t>
            </w:r>
          </w:p>
        </w:tc>
        <w:tc>
          <w:tcPr>
            <w:tcW w:w="1406"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≥0.5m</w:t>
            </w:r>
            <w:r>
              <w:rPr>
                <w:rFonts w:hint="default" w:ascii="Times New Roman" w:hAnsi="Times New Roman" w:cs="Times New Roman"/>
                <w:spacing w:val="7"/>
                <w:szCs w:val="21"/>
                <w:vertAlign w:val="superscript"/>
              </w:rPr>
              <w:t>3</w:t>
            </w:r>
            <w:r>
              <w:rPr>
                <w:rFonts w:hint="default" w:ascii="Times New Roman" w:hAnsi="Times New Roman" w:cs="Times New Roman"/>
                <w:spacing w:val="7"/>
                <w:szCs w:val="21"/>
              </w:rPr>
              <w:t>/m</w:t>
            </w:r>
            <w:r>
              <w:rPr>
                <w:rFonts w:hint="default" w:ascii="Times New Roman" w:hAnsi="Times New Roman" w:cs="Times New Roman"/>
                <w:spacing w:val="7"/>
                <w:szCs w:val="21"/>
                <w:vertAlign w:val="superscript"/>
              </w:rPr>
              <w:t>3</w:t>
            </w:r>
          </w:p>
        </w:tc>
        <w:tc>
          <w:tcPr>
            <w:tcW w:w="1621"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≥0.5m</w:t>
            </w:r>
            <w:r>
              <w:rPr>
                <w:rFonts w:hint="default" w:ascii="Times New Roman" w:hAnsi="Times New Roman" w:cs="Times New Roman"/>
                <w:spacing w:val="7"/>
                <w:szCs w:val="21"/>
                <w:vertAlign w:val="superscript"/>
              </w:rPr>
              <w:t>3</w:t>
            </w:r>
            <w:r>
              <w:rPr>
                <w:rFonts w:hint="default" w:ascii="Times New Roman" w:hAnsi="Times New Roman" w:cs="Times New Roman"/>
                <w:spacing w:val="7"/>
                <w:szCs w:val="21"/>
              </w:rPr>
              <w:t>/m</w:t>
            </w:r>
            <w:r>
              <w:rPr>
                <w:rFonts w:hint="default" w:ascii="Times New Roman" w:hAnsi="Times New Roman" w:cs="Times New Roman"/>
                <w:spacing w:val="7"/>
                <w:szCs w:val="21"/>
                <w:vertAlign w:val="superscript"/>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2" w:space="0"/>
          </w:tblBorders>
          <w:tblLayout w:type="fixed"/>
          <w:tblCellMar>
            <w:top w:w="0" w:type="dxa"/>
            <w:left w:w="108" w:type="dxa"/>
            <w:bottom w:w="0" w:type="dxa"/>
            <w:right w:w="108" w:type="dxa"/>
          </w:tblCellMar>
        </w:tblPrEx>
        <w:trPr>
          <w:trHeight w:val="371" w:hRule="atLeast"/>
          <w:jc w:val="center"/>
        </w:trPr>
        <w:tc>
          <w:tcPr>
            <w:tcW w:w="1368"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经济效益</w:t>
            </w:r>
          </w:p>
        </w:tc>
        <w:tc>
          <w:tcPr>
            <w:tcW w:w="1346"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较佳</w:t>
            </w:r>
          </w:p>
        </w:tc>
        <w:tc>
          <w:tcPr>
            <w:tcW w:w="1270"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低</w:t>
            </w:r>
          </w:p>
        </w:tc>
        <w:tc>
          <w:tcPr>
            <w:tcW w:w="1319"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中等</w:t>
            </w:r>
          </w:p>
        </w:tc>
        <w:tc>
          <w:tcPr>
            <w:tcW w:w="1277" w:type="dxa"/>
            <w:tcBorders>
              <w:tl2br w:val="nil"/>
              <w:tr2bl w:val="nil"/>
            </w:tcBorders>
            <w:tcMar>
              <w:left w:w="0" w:type="dxa"/>
              <w:right w:w="0" w:type="dxa"/>
            </w:tcMar>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较低</w:t>
            </w:r>
          </w:p>
        </w:tc>
        <w:tc>
          <w:tcPr>
            <w:tcW w:w="1406"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佳</w:t>
            </w:r>
          </w:p>
        </w:tc>
        <w:tc>
          <w:tcPr>
            <w:tcW w:w="1621" w:type="dxa"/>
            <w:tcBorders>
              <w:tl2br w:val="nil"/>
              <w:tr2bl w:val="nil"/>
            </w:tcBorders>
            <w:vAlign w:val="center"/>
          </w:tcPr>
          <w:p>
            <w:pPr>
              <w:adjustRightInd w:val="0"/>
              <w:snapToGrid w:val="0"/>
              <w:jc w:val="center"/>
              <w:rPr>
                <w:rFonts w:hint="default" w:ascii="Times New Roman" w:hAnsi="Times New Roman" w:cs="Times New Roman"/>
                <w:spacing w:val="7"/>
                <w:szCs w:val="21"/>
              </w:rPr>
            </w:pPr>
            <w:r>
              <w:rPr>
                <w:rFonts w:hint="default" w:ascii="Times New Roman" w:hAnsi="Times New Roman" w:cs="Times New Roman"/>
                <w:spacing w:val="7"/>
                <w:szCs w:val="21"/>
              </w:rPr>
              <w:t>佳</w:t>
            </w:r>
          </w:p>
        </w:tc>
      </w:tr>
    </w:tbl>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黑膜沼气池工艺：由底膜、浮动膜（覆膜）等组成。如下图所示。</w:t>
      </w:r>
    </w:p>
    <w:p>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271770" cy="2401570"/>
            <wp:effectExtent l="19050" t="0" r="5080" b="0"/>
            <wp:docPr id="1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8"/>
                    <pic:cNvPicPr>
                      <a:picLocks noChangeAspect="1" noChangeArrowheads="1"/>
                    </pic:cNvPicPr>
                  </pic:nvPicPr>
                  <pic:blipFill>
                    <a:blip r:embed="rId43"/>
                    <a:srcRect/>
                    <a:stretch>
                      <a:fillRect/>
                    </a:stretch>
                  </pic:blipFill>
                  <pic:spPr>
                    <a:xfrm>
                      <a:off x="0" y="0"/>
                      <a:ext cx="5271770" cy="2401570"/>
                    </a:xfrm>
                    <a:prstGeom prst="rect">
                      <a:avLst/>
                    </a:prstGeom>
                    <a:noFill/>
                    <a:ln w="9525">
                      <a:noFill/>
                      <a:miter lim="800000"/>
                      <a:headEnd/>
                      <a:tailEnd/>
                    </a:ln>
                  </pic:spPr>
                </pic:pic>
              </a:graphicData>
            </a:graphic>
          </wp:inline>
        </w:drawing>
      </w:r>
    </w:p>
    <w:p>
      <w:pPr>
        <w:pStyle w:val="2"/>
        <w:spacing w:line="360" w:lineRule="auto"/>
        <w:jc w:val="center"/>
        <w:rPr>
          <w:rFonts w:hint="default" w:ascii="Times New Roman" w:hAnsi="Times New Roman" w:cs="Times New Roman"/>
          <w:bCs/>
          <w:color w:val="auto"/>
        </w:rPr>
      </w:pPr>
      <w:r>
        <w:rPr>
          <w:rFonts w:hint="default" w:ascii="Times New Roman" w:hAnsi="Times New Roman" w:eastAsia="黑体" w:cs="Times New Roman"/>
          <w:bCs/>
          <w:color w:val="auto"/>
        </w:rPr>
        <w:t>图3.3-5  黑膜沼气池示意图</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固液分离后的废水存储在底膜和浮动膜之间的空间里，随着进入的液体量不断增加，浮动膜会慢慢浮起。</w:t>
      </w:r>
      <w:r>
        <w:rPr>
          <w:rFonts w:hint="default" w:ascii="Times New Roman" w:hAnsi="Times New Roman" w:cs="Times New Roman"/>
          <w:sz w:val="24"/>
          <w:szCs w:val="24"/>
          <w:shd w:val="clear" w:color="auto" w:fill="FFFFFF"/>
        </w:rPr>
        <w:t xml:space="preserve">底部采用符合ATM美标标准HDPE（厚度1.0mm）进行防渗处理，顶部采用符合ATM美标标准HDPE（厚度1.5mm）做浮动覆盖进行密封。                                                                                                                                                                                                                                                                                                                                                                                                                                                                                                                                                                                                                                                                                                                                                                                                                                                                                                                                                                                                                                                                                                                                                                                                                                                                                                                                                                                                                                                                                                                                                                                                                                                                                                                                                                                                                                                                                                                                                                                                                                                                                                                                                                                                                                                                                                                                                                                                                                                                                                                                                                                                                                                                                                                                                                                                                                                                                                                                                                                                                                                                                                                                                                                                                                                                                                                                                                                                                                                                                                                                                                                                                                                                                                                                                                                                                                                                                                                                                                                                                                                                                                                                           </w:t>
      </w:r>
      <w:r>
        <w:rPr>
          <w:rFonts w:hint="default" w:ascii="Times New Roman" w:hAnsi="Times New Roman" w:cs="Times New Roman"/>
          <w:sz w:val="24"/>
          <w:szCs w:val="24"/>
          <w:shd w:val="clear" w:color="auto" w:fill="FFFFFF"/>
        </w:rPr>
        <w:t xml:space="preserve">                                                                                                                                                                                                                                                                                                                                                                                                                                                                                                                                                                                                                                                                                                                                                                                                                                                                                                                                                                                                                                                                                                                                                                                                                                                                                                                                                                                                                                                                                                                                                                                                                                                                                                                                                                                                                                                                                                                                                                                                                                                                                                                                                                                                                                                                                                                                                                                                                                                                                                                                                                                                                                                                                                                                                                                                                                                                                                                                                                                                                                                                                                                                                                                                                                                                                                                                                                                                                                                                                                                                                                                                                                                                                                                                                                                                                                                                                                                                                                                                                                                                                                                                                                                                                </w:t>
      </w:r>
      <w:r>
        <w:rPr>
          <w:rFonts w:hint="default" w:ascii="Times New Roman" w:hAnsi="Times New Roman" w:cs="Times New Roman"/>
          <w:sz w:val="24"/>
          <w:szCs w:val="24"/>
          <w:shd w:val="clear" w:color="auto" w:fill="FFFFFF"/>
        </w:rPr>
        <w:t xml:space="preserve">                                                                                                                                                                                                                                                                                                                                                                                                                                                                                                                                                                                                                                                                                                                                                                                                                                                                                                                                                                                                                                                                                                                                                                                                                                                                                                                                                                                                                                                                                                                                                                                                                                                                                                                                                                                                                                                                                                                                                                                                                                                                                                                                                                                                                                                                                                                                                                                                                                                                                                                                                                                                                                                                                                                                                                                                                                                                                                                                                                                                                                                                                                                                                                                                                                                                                                                                                                                                                                                                                                                                                                                                                                                                                                                                                                                                                                                                                                                                                                                                                                                                                                                                                                                                                </w:t>
      </w:r>
      <w:r>
        <w:rPr>
          <w:rFonts w:hint="default" w:ascii="Times New Roman" w:hAnsi="Times New Roman" w:cs="Times New Roman"/>
          <w:sz w:val="24"/>
          <w:szCs w:val="24"/>
          <w:shd w:val="clear" w:color="auto" w:fill="FFFFFF"/>
        </w:rPr>
        <w:t xml:space="preserve">                                                                                                                                                                                                                                                                                                                                                                                                                                                                                                                                                                                                                                                                                                                                                                                                                                                                                                                                                                                                                                                                                                                                                                                                                                                                                                                                                                                                                                                                                                                                                                                                                                                                                                                                                                                                                                                                                                                                                                                                                                                                                                                                                                                                                                                                                                                                                                                                                                                                                                                                                                                                                                                                                                                                                                                                                                                                                                                                                                                                                                                                                                                                                                                                                                                                                                                                                                                                                                                                                                                                                                                                                                                                                                                                                                                                                                                                                                                                                                                                                                                                                                                                                                                                                </w:t>
      </w:r>
      <w:r>
        <w:rPr>
          <w:rFonts w:hint="default" w:ascii="Times New Roman" w:hAnsi="Times New Roman" w:cs="Times New Roman"/>
          <w:sz w:val="24"/>
          <w:szCs w:val="24"/>
          <w:shd w:val="clear" w:color="auto" w:fill="FFFFFF"/>
        </w:rPr>
        <w:t xml:space="preserve">                                                                                                                                                                                                                                                                                                                                                                                                                                                                                                                                                                                                                                                                                                                                                                                                                                                                                                                                                                                                                                                                                                                                                                                                                                                                                                                                                                                                                                                                                                                                                                                                                                                                                                                                                                                                                                                                                                                                                                                                                                                                                                                                                                                                                                                                                                                                                                                                                                                                                                                                                                                                                                                                                                                                                                                                                                                                                                                                                                                                                                                                                                                                                                                                                                                                                                                                                                                                                                                                                                                                                                                                                                                                                                                                                                                                                                                                                                                                                                                                                                                                                                                                                                                                                </w:t>
      </w:r>
      <w:r>
        <w:rPr>
          <w:rFonts w:hint="default" w:ascii="Times New Roman" w:hAnsi="Times New Roman" w:cs="Times New Roman"/>
          <w:sz w:val="24"/>
          <w:szCs w:val="24"/>
          <w:shd w:val="clear" w:color="auto" w:fill="FFFFFF"/>
        </w:rPr>
        <w:t xml:space="preserve">                                                                                                                                                                                                                                                                                                                                                                                                                                                                                                                                                                                                                                                                                                                                                                                                                                                                                                                                                                                                                                                                                                                                                                                                                                                                                                                                                                                                                                                                                                                                                                                                                                                                                                                                                                                                                                                                                                                                                                                                                                                                                                                                                                                                                                                                                                                                                                                                                                                                                                                                                                                                                                                                                                          </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浮动膜在功能上具有以下优势：</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1）减少粪便中氨的挥发，减少对周围环境的影响，同时保持粪肥中N含量，有效保留粪肥中氮肥的肥效；</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2）由于有覆盖膜，因此能明显隔离粪便气味对猪场及周边环境的影响。</w:t>
      </w:r>
    </w:p>
    <w:p>
      <w:pPr>
        <w:spacing w:line="360" w:lineRule="auto"/>
        <w:ind w:firstLine="420"/>
        <w:rPr>
          <w:rFonts w:hint="default" w:ascii="Times New Roman" w:hAnsi="Times New Roman" w:cs="Times New Roman"/>
          <w:sz w:val="24"/>
          <w:szCs w:val="24"/>
        </w:rPr>
      </w:pPr>
      <w:r>
        <w:rPr>
          <w:rFonts w:hint="default" w:ascii="Times New Roman" w:hAnsi="Times New Roman" w:cs="Times New Roman"/>
          <w:sz w:val="24"/>
          <w:szCs w:val="24"/>
        </w:rPr>
        <w:t xml:space="preserve">本设计的黑膜沼气池进料和出料时都通过服务池，这样能保证安全快速的进出料，同时也不会对膜造成破坏。黑膜沼气池底部设计有一定坡度坡向混凝土集水斗，混凝土集水斗再连接至服务池进行进出料。排水泵安装在服务池内，用于向外排放液体肥，而不对膜造成破坏。 </w:t>
      </w:r>
    </w:p>
    <w:p>
      <w:pPr>
        <w:spacing w:line="360" w:lineRule="auto"/>
        <w:ind w:firstLine="420"/>
        <w:rPr>
          <w:rFonts w:hint="default" w:ascii="Times New Roman" w:hAnsi="Times New Roman" w:cs="Times New Roman"/>
          <w:sz w:val="24"/>
          <w:szCs w:val="24"/>
        </w:rPr>
      </w:pPr>
      <w:r>
        <w:rPr>
          <w:rFonts w:hint="default" w:ascii="Times New Roman" w:hAnsi="Times New Roman" w:cs="Times New Roman"/>
          <w:sz w:val="24"/>
          <w:szCs w:val="24"/>
        </w:rPr>
        <w:t>黑膜沼气池具有如下优点：</w:t>
      </w:r>
    </w:p>
    <w:p>
      <w:pPr>
        <w:spacing w:line="360" w:lineRule="auto"/>
        <w:ind w:firstLine="420"/>
        <w:rPr>
          <w:rFonts w:hint="default" w:ascii="Times New Roman" w:hAnsi="Times New Roman" w:cs="Times New Roman"/>
          <w:sz w:val="24"/>
          <w:szCs w:val="24"/>
        </w:rPr>
      </w:pPr>
      <w:r>
        <w:rPr>
          <w:rFonts w:hint="default" w:ascii="Times New Roman" w:hAnsi="Times New Roman" w:cs="Times New Roman"/>
          <w:kern w:val="0"/>
          <w:sz w:val="24"/>
          <w:szCs w:val="24"/>
          <w:shd w:val="clear" w:color="auto" w:fill="FFFFFF"/>
        </w:rPr>
        <w:t>1、防渗系数高：池中安装的防膜具有普通防水材料所无法比拟的防身效果，不会污染地下水，具有高强抗拉伸机械性能，优良的弹性和变形能力使其非常适用于膨胀和收缩基面，可有效克服基面的不均匀沉降。</w:t>
      </w:r>
    </w:p>
    <w:p>
      <w:pPr>
        <w:widowControl/>
        <w:shd w:val="clear" w:color="auto" w:fill="FFFFFF"/>
        <w:spacing w:line="360" w:lineRule="auto"/>
        <w:jc w:val="left"/>
        <w:rPr>
          <w:rFonts w:hint="default" w:ascii="Times New Roman" w:hAnsi="Times New Roman" w:cs="Times New Roman"/>
          <w:sz w:val="24"/>
          <w:szCs w:val="24"/>
        </w:rPr>
      </w:pPr>
      <w:r>
        <w:rPr>
          <w:rFonts w:hint="default" w:ascii="Times New Roman" w:hAnsi="Times New Roman" w:cs="Times New Roman"/>
          <w:kern w:val="0"/>
          <w:sz w:val="24"/>
          <w:szCs w:val="24"/>
          <w:shd w:val="clear" w:color="auto" w:fill="FFFFFF"/>
        </w:rPr>
        <w:t xml:space="preserve">    2、存储便捷性：粪污可以随时存储，存储周期可以根据施肥周期及粪污熟化期要求确定，粪便可以方面存取和使用。</w:t>
      </w:r>
    </w:p>
    <w:p>
      <w:pPr>
        <w:widowControl/>
        <w:shd w:val="clear" w:color="auto" w:fill="FFFFFF"/>
        <w:spacing w:line="360" w:lineRule="auto"/>
        <w:jc w:val="left"/>
        <w:rPr>
          <w:rFonts w:hint="default" w:ascii="Times New Roman" w:hAnsi="Times New Roman" w:cs="Times New Roman"/>
          <w:sz w:val="24"/>
          <w:szCs w:val="24"/>
        </w:rPr>
      </w:pPr>
      <w:r>
        <w:rPr>
          <w:rFonts w:hint="default" w:ascii="Times New Roman" w:hAnsi="Times New Roman" w:cs="Times New Roman"/>
          <w:kern w:val="0"/>
          <w:sz w:val="24"/>
          <w:szCs w:val="24"/>
          <w:shd w:val="clear" w:color="auto" w:fill="FFFFFF"/>
        </w:rPr>
        <w:t xml:space="preserve">    3、耐老化性：防渗膜具有优秀的抗老化、抗紫外线、抗分解能力，可裸露在外使用，材料使用寿命可达到30年。</w:t>
      </w:r>
    </w:p>
    <w:p>
      <w:pPr>
        <w:widowControl/>
        <w:shd w:val="clear" w:color="auto" w:fill="FFFFFF"/>
        <w:spacing w:line="360" w:lineRule="auto"/>
        <w:jc w:val="left"/>
        <w:rPr>
          <w:rFonts w:hint="default" w:ascii="Times New Roman" w:hAnsi="Times New Roman" w:cs="Times New Roman"/>
          <w:sz w:val="24"/>
          <w:szCs w:val="24"/>
        </w:rPr>
      </w:pPr>
      <w:r>
        <w:rPr>
          <w:rFonts w:hint="default" w:ascii="Times New Roman" w:hAnsi="Times New Roman" w:cs="Times New Roman"/>
          <w:kern w:val="0"/>
          <w:sz w:val="24"/>
          <w:szCs w:val="24"/>
          <w:shd w:val="clear" w:color="auto" w:fill="FFFFFF"/>
        </w:rPr>
        <w:t xml:space="preserve">    4、抗植物性：防渗膜具有优异的抗刺穿能力，可以抵抗植物大部分植物根系，避免对防渗膜的损害，保证防渗膜的使用年限和功能发挥。</w:t>
      </w:r>
    </w:p>
    <w:p>
      <w:pPr>
        <w:widowControl/>
        <w:shd w:val="clear" w:color="auto" w:fill="FFFFFF"/>
        <w:spacing w:line="360" w:lineRule="auto"/>
        <w:jc w:val="left"/>
        <w:rPr>
          <w:rFonts w:hint="default" w:ascii="Times New Roman" w:hAnsi="Times New Roman" w:cs="Times New Roman"/>
          <w:sz w:val="24"/>
          <w:szCs w:val="24"/>
        </w:rPr>
      </w:pPr>
      <w:r>
        <w:rPr>
          <w:rFonts w:hint="default" w:ascii="Times New Roman" w:hAnsi="Times New Roman" w:cs="Times New Roman"/>
          <w:kern w:val="0"/>
          <w:sz w:val="24"/>
          <w:szCs w:val="24"/>
          <w:shd w:val="clear" w:color="auto" w:fill="FFFFFF"/>
        </w:rPr>
        <w:t xml:space="preserve">    5、环保无毒化：防渗膜采用无毒环保材料，防渗原理为物理化过程，整个过程不产生有毒物，不影响土地再利用。</w:t>
      </w:r>
    </w:p>
    <w:p>
      <w:pPr>
        <w:widowControl/>
        <w:shd w:val="clear" w:color="auto" w:fill="FFFFFF"/>
        <w:spacing w:line="360" w:lineRule="auto"/>
        <w:jc w:val="left"/>
        <w:rPr>
          <w:rFonts w:hint="default" w:ascii="Times New Roman" w:hAnsi="Times New Roman" w:cs="Times New Roman"/>
          <w:sz w:val="24"/>
          <w:szCs w:val="24"/>
        </w:rPr>
      </w:pPr>
      <w:r>
        <w:rPr>
          <w:rFonts w:hint="default" w:ascii="Times New Roman" w:hAnsi="Times New Roman" w:cs="Times New Roman"/>
          <w:kern w:val="0"/>
          <w:sz w:val="24"/>
          <w:szCs w:val="24"/>
          <w:shd w:val="clear" w:color="auto" w:fill="FFFFFF"/>
        </w:rPr>
        <w:t xml:space="preserve">    6、成本低，效益高。黑膜</w:t>
      </w:r>
      <w:r>
        <w:rPr>
          <w:rFonts w:hint="default" w:ascii="Times New Roman" w:hAnsi="Times New Roman" w:cs="Times New Roman"/>
        </w:rPr>
        <w:fldChar w:fldCharType="begin"/>
      </w:r>
      <w:r>
        <w:rPr>
          <w:rFonts w:hint="default" w:ascii="Times New Roman" w:hAnsi="Times New Roman" w:cs="Times New Roman"/>
        </w:rPr>
        <w:instrText xml:space="preserve"> HYPERLINK "http://www.jianzhaoqi.com/" \t "http://blog.sina.com.cn/s/_blank" </w:instrText>
      </w:r>
      <w:r>
        <w:rPr>
          <w:rFonts w:hint="default" w:ascii="Times New Roman" w:hAnsi="Times New Roman" w:cs="Times New Roman"/>
        </w:rPr>
        <w:fldChar w:fldCharType="separate"/>
      </w:r>
      <w:r>
        <w:rPr>
          <w:rStyle w:val="31"/>
          <w:rFonts w:hint="default" w:ascii="Times New Roman" w:hAnsi="Times New Roman" w:cs="Times New Roman"/>
          <w:color w:val="auto"/>
          <w:sz w:val="24"/>
          <w:szCs w:val="24"/>
          <w:shd w:val="clear" w:color="auto" w:fill="FFFFFF"/>
        </w:rPr>
        <w:t>沼气池</w:t>
      </w:r>
      <w:r>
        <w:rPr>
          <w:rStyle w:val="31"/>
          <w:rFonts w:hint="default" w:ascii="Times New Roman" w:hAnsi="Times New Roman" w:cs="Times New Roman"/>
          <w:color w:val="auto"/>
          <w:sz w:val="24"/>
          <w:szCs w:val="24"/>
          <w:shd w:val="clear" w:color="auto" w:fill="FFFFFF"/>
        </w:rPr>
        <w:fldChar w:fldCharType="end"/>
      </w:r>
      <w:r>
        <w:rPr>
          <w:rFonts w:hint="default" w:ascii="Times New Roman" w:hAnsi="Times New Roman" w:cs="Times New Roman"/>
          <w:kern w:val="0"/>
          <w:sz w:val="24"/>
          <w:szCs w:val="24"/>
          <w:shd w:val="clear" w:color="auto" w:fill="FFFFFF"/>
        </w:rPr>
        <w:t>工艺采用了新型的防渗膜的技术，使得整个存储工艺更加科学、专业、简洁，而且在成本支出工程费用方面要远远低于传统的防水材料，经过实际测算采用这种存储工艺的要比传统的存储工艺节约成本50%左右。</w:t>
      </w:r>
    </w:p>
    <w:p>
      <w:pPr>
        <w:widowControl/>
        <w:shd w:val="clear" w:color="auto" w:fill="FFFFFF"/>
        <w:spacing w:line="360" w:lineRule="auto"/>
        <w:jc w:val="left"/>
        <w:rPr>
          <w:rFonts w:hint="default" w:ascii="Times New Roman" w:hAnsi="Times New Roman" w:cs="Times New Roman"/>
          <w:sz w:val="24"/>
          <w:szCs w:val="24"/>
        </w:rPr>
      </w:pPr>
      <w:r>
        <w:rPr>
          <w:rFonts w:hint="default" w:ascii="Times New Roman" w:hAnsi="Times New Roman" w:cs="Times New Roman"/>
          <w:kern w:val="0"/>
          <w:sz w:val="24"/>
          <w:szCs w:val="24"/>
          <w:shd w:val="clear" w:color="auto" w:fill="FFFFFF"/>
        </w:rPr>
        <w:t xml:space="preserve">    7、施工速度快：可就地挖坑覆膜，安装施工周期短，单池覆膜3-5天即可完成。采用热熔焊接，焊缝强度高，施工方便、快速安全。</w:t>
      </w:r>
    </w:p>
    <w:p>
      <w:pPr>
        <w:widowControl/>
        <w:shd w:val="clear" w:color="auto" w:fill="FFFFFF"/>
        <w:spacing w:line="360" w:lineRule="auto"/>
        <w:jc w:val="left"/>
        <w:rPr>
          <w:rFonts w:hint="default" w:ascii="Times New Roman" w:hAnsi="Times New Roman" w:cs="Times New Roman"/>
          <w:sz w:val="24"/>
          <w:szCs w:val="24"/>
          <w:u w:val="single"/>
        </w:rPr>
      </w:pPr>
      <w:r>
        <w:rPr>
          <w:rFonts w:hint="default" w:ascii="Times New Roman" w:hAnsi="Times New Roman" w:cs="Times New Roman"/>
          <w:kern w:val="0"/>
          <w:sz w:val="24"/>
          <w:szCs w:val="24"/>
          <w:shd w:val="clear" w:color="auto" w:fill="FFFFFF"/>
        </w:rPr>
        <w:t xml:space="preserve">    8、选择多样性：全国各地区使用不受限制、在场内存储区域不限制、季节不受限制；有三种模式可选，国内客服可根据猪场的实际需求而选择。</w:t>
      </w:r>
    </w:p>
    <w:p>
      <w:pPr>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cs="Times New Roman"/>
          <w:sz w:val="24"/>
          <w:szCs w:val="24"/>
          <w:u w:val="single"/>
        </w:rPr>
        <w:t>根据上述分析，符合本项目原料范围、应用区域和水力停留时间指标的是UASB、IC、UASF、黑膜沼气池工艺，其中黑膜沼气池工艺是针对养猪污水的水质特征而开发出的高效厌氧处理设备，具有效率高，启动简单，运行管理简便的特点。</w:t>
      </w:r>
      <w:r>
        <w:rPr>
          <w:rFonts w:hint="default" w:ascii="Times New Roman" w:hAnsi="Times New Roman" w:cs="Times New Roman"/>
          <w:b/>
          <w:bCs/>
          <w:sz w:val="24"/>
          <w:szCs w:val="24"/>
          <w:u w:val="single"/>
        </w:rPr>
        <w:t>因此，本项目厌氧处理工艺选择黑膜沼气池是可行的。</w:t>
      </w:r>
    </w:p>
    <w:p>
      <w:pPr>
        <w:spacing w:line="360" w:lineRule="auto"/>
        <w:ind w:left="600"/>
        <w:outlineLvl w:val="4"/>
        <w:rPr>
          <w:rFonts w:hint="default" w:ascii="Times New Roman" w:hAnsi="Times New Roman" w:cs="Times New Roman"/>
          <w:b/>
          <w:sz w:val="24"/>
          <w:szCs w:val="24"/>
        </w:rPr>
      </w:pPr>
      <w:r>
        <w:rPr>
          <w:rFonts w:hint="default" w:ascii="Times New Roman" w:hAnsi="Times New Roman" w:cs="Times New Roman"/>
          <w:b/>
          <w:sz w:val="24"/>
          <w:szCs w:val="24"/>
        </w:rPr>
        <w:t>3、本项目粪污处理工艺：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zh-CN"/>
        </w:rPr>
        <w:t>乐山大成勘测有限公司</w:t>
      </w:r>
      <w:r>
        <w:rPr>
          <w:rFonts w:hint="default" w:ascii="Times New Roman" w:hAnsi="Times New Roman" w:cs="Times New Roman"/>
          <w:sz w:val="24"/>
          <w:szCs w:val="24"/>
        </w:rPr>
        <w:t>对本项目粪污处理工艺进行了设计。根据设计，食堂用水经隔油池处理后与其他生活污水一起进入污水处理系统。集粪池、固液分离设备、黑膜沼气池，好氧池等的停留时间不同。本项目粪污水处理工艺见图3.3-6。</w:t>
      </w:r>
    </w:p>
    <w:p>
      <w:pPr>
        <w:spacing w:line="360" w:lineRule="auto"/>
        <w:jc w:val="center"/>
        <w:rPr>
          <w:rFonts w:hint="default" w:ascii="Times New Roman" w:hAnsi="Times New Roman" w:cs="Times New Roman"/>
          <w:b/>
          <w:sz w:val="24"/>
          <w:szCs w:val="24"/>
          <w:u w:val="single"/>
        </w:rPr>
      </w:pPr>
    </w:p>
    <w:p>
      <w:pPr>
        <w:spacing w:line="360" w:lineRule="auto"/>
        <w:jc w:val="center"/>
        <w:rPr>
          <w:rFonts w:hint="default" w:ascii="Times New Roman" w:hAnsi="Times New Roman" w:cs="Times New Roman"/>
          <w:b/>
          <w:sz w:val="24"/>
          <w:szCs w:val="24"/>
          <w:u w:val="single"/>
        </w:rPr>
      </w:pPr>
    </w:p>
    <w:p>
      <w:pPr>
        <w:spacing w:line="360" w:lineRule="auto"/>
        <w:jc w:val="center"/>
        <w:rPr>
          <w:rFonts w:hint="default" w:ascii="Times New Roman" w:hAnsi="Times New Roman" w:cs="Times New Roman"/>
          <w:b/>
          <w:sz w:val="24"/>
          <w:szCs w:val="24"/>
          <w:u w:val="single"/>
        </w:rPr>
      </w:pPr>
    </w:p>
    <w:p>
      <w:pPr>
        <w:spacing w:line="360" w:lineRule="auto"/>
        <w:jc w:val="center"/>
        <w:rPr>
          <w:rFonts w:hint="default" w:ascii="Times New Roman" w:hAnsi="Times New Roman" w:cs="Times New Roman"/>
          <w:b/>
          <w:sz w:val="24"/>
          <w:szCs w:val="24"/>
          <w:u w:val="single"/>
        </w:rPr>
      </w:pPr>
    </w:p>
    <w:p>
      <w:pPr>
        <w:spacing w:line="360" w:lineRule="auto"/>
        <w:jc w:val="center"/>
        <w:rPr>
          <w:rFonts w:hint="default" w:ascii="Times New Roman" w:hAnsi="Times New Roman" w:cs="Times New Roman"/>
          <w:b/>
          <w:sz w:val="24"/>
          <w:szCs w:val="24"/>
          <w:u w:val="single"/>
        </w:rPr>
      </w:pPr>
    </w:p>
    <w:p>
      <w:pPr>
        <w:spacing w:line="360" w:lineRule="auto"/>
        <w:jc w:val="center"/>
        <w:rPr>
          <w:rFonts w:hint="default" w:ascii="Times New Roman" w:hAnsi="Times New Roman" w:cs="Times New Roman"/>
          <w:b/>
          <w:sz w:val="24"/>
          <w:szCs w:val="24"/>
          <w:u w:val="single"/>
        </w:rPr>
      </w:pPr>
    </w:p>
    <w:p>
      <w:pPr>
        <w:spacing w:line="360" w:lineRule="auto"/>
        <w:jc w:val="center"/>
        <w:rPr>
          <w:rFonts w:hint="default" w:ascii="Times New Roman" w:hAnsi="Times New Roman" w:cs="Times New Roman"/>
          <w:b/>
          <w:sz w:val="24"/>
          <w:szCs w:val="24"/>
          <w:u w:val="single"/>
        </w:rPr>
      </w:pPr>
      <w:r>
        <w:rPr>
          <w:rFonts w:hint="default" w:ascii="Times New Roman" w:hAnsi="Times New Roman" w:cs="Times New Roman"/>
          <w:b/>
          <w:sz w:val="24"/>
          <w:szCs w:val="24"/>
          <w:u w:val="single"/>
        </w:rPr>
        <w:object>
          <v:shape id="_x0000_i1033" o:spt="75" type="#_x0000_t75" style="height:464.25pt;width:349.5pt;" o:ole="t" filled="f" o:preferrelative="t" stroked="f" coordsize="21600,21600">
            <v:path/>
            <v:fill on="f" focussize="0,0"/>
            <v:stroke on="f" joinstyle="miter"/>
            <v:imagedata r:id="rId45" o:title=""/>
            <o:lock v:ext="edit" aspectratio="f"/>
            <w10:wrap type="none"/>
            <w10:anchorlock/>
          </v:shape>
          <o:OLEObject Type="Embed" ProgID="Visio.Drawing.15" ShapeID="_x0000_i1033" DrawAspect="Content" ObjectID="_1468075733" r:id="rId44">
            <o:LockedField>false</o:LockedField>
          </o:OLEObject>
        </w:object>
      </w:r>
    </w:p>
    <w:p>
      <w:pPr>
        <w:spacing w:line="360" w:lineRule="auto"/>
        <w:jc w:val="center"/>
        <w:rPr>
          <w:rFonts w:hint="default" w:ascii="Times New Roman" w:hAnsi="Times New Roman" w:eastAsia="黑体" w:cs="Times New Roman"/>
          <w:b/>
          <w:sz w:val="24"/>
          <w:szCs w:val="24"/>
          <w:u w:val="single"/>
        </w:rPr>
      </w:pPr>
      <w:r>
        <w:rPr>
          <w:rFonts w:hint="default" w:ascii="Times New Roman" w:hAnsi="Times New Roman" w:eastAsia="黑体" w:cs="Times New Roman"/>
          <w:bCs/>
          <w:sz w:val="24"/>
          <w:szCs w:val="24"/>
        </w:rPr>
        <w:t>图3.3-6   项目污水处理工艺流程图</w:t>
      </w:r>
    </w:p>
    <w:p>
      <w:pPr>
        <w:spacing w:line="360" w:lineRule="auto"/>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粪污处理工艺流程简述：</w:t>
      </w:r>
    </w:p>
    <w:p>
      <w:pPr>
        <w:spacing w:line="360" w:lineRule="auto"/>
        <w:ind w:firstLine="480" w:firstLineChars="200"/>
        <w:rPr>
          <w:rFonts w:hint="default" w:ascii="Times New Roman" w:hAnsi="Times New Roman" w:cs="Times New Roman"/>
          <w:kern w:val="28"/>
          <w:sz w:val="24"/>
          <w:szCs w:val="24"/>
        </w:rPr>
      </w:pPr>
      <w:r>
        <w:rPr>
          <w:rFonts w:hint="default" w:ascii="Times New Roman" w:hAnsi="Times New Roman" w:cs="Times New Roman"/>
          <w:kern w:val="28"/>
          <w:sz w:val="24"/>
          <w:szCs w:val="24"/>
        </w:rPr>
        <w:t>本项目各工段工艺流程分述如下：</w:t>
      </w:r>
    </w:p>
    <w:p>
      <w:pPr>
        <w:spacing w:line="360" w:lineRule="auto"/>
        <w:ind w:firstLine="482" w:firstLineChars="200"/>
        <w:rPr>
          <w:rFonts w:hint="default" w:ascii="Times New Roman" w:hAnsi="Times New Roman" w:cs="Times New Roman"/>
          <w:bCs/>
          <w:sz w:val="24"/>
          <w:szCs w:val="24"/>
        </w:rPr>
      </w:pPr>
      <w:r>
        <w:rPr>
          <w:rFonts w:hint="default" w:ascii="Times New Roman" w:hAnsi="Times New Roman" w:cs="Times New Roman"/>
          <w:b/>
          <w:sz w:val="24"/>
          <w:szCs w:val="24"/>
        </w:rPr>
        <w:t>清粪工艺：</w:t>
      </w:r>
      <w:r>
        <w:rPr>
          <w:rFonts w:hint="default" w:ascii="Times New Roman" w:hAnsi="Times New Roman" w:cs="Times New Roman"/>
          <w:bCs/>
          <w:sz w:val="24"/>
          <w:szCs w:val="24"/>
        </w:rPr>
        <w:t>本项目清粪工艺采用全漏缝地板和机械干清粪工艺，原理是猪舍内产生的粪尿依靠重力进入缝隙地板下的收集池，在缝隙地板下设一斜坡，使固液立即进行干湿分离，分离出的固体粪渣采用自动式机械刮粪机收集至专门的粪沟，再由吸粪管输送至堆粪场。分离出的污水通过管道排入配套的污水处理站进行处理。猪舍采用全漏缝地板将粪尿分开，实行自动清粪，减少恶臭的散发。本项目猪粪日产日清，选择干清粪工艺，干清粪比例达到95%，以减少末端污水处理量和污水中各污染因子的浓度。</w:t>
      </w:r>
    </w:p>
    <w:p>
      <w:pPr>
        <w:numPr>
          <w:ilvl w:val="0"/>
          <w:numId w:val="4"/>
        </w:num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污水处理</w:t>
      </w:r>
    </w:p>
    <w:p>
      <w:pPr>
        <w:autoSpaceDE w:val="0"/>
        <w:autoSpaceDN w:val="0"/>
        <w:adjustRightInd w:val="0"/>
        <w:snapToGrid w:val="0"/>
        <w:spacing w:line="360" w:lineRule="auto"/>
        <w:ind w:firstLine="472" w:firstLineChars="196"/>
        <w:rPr>
          <w:rFonts w:hint="default" w:ascii="Times New Roman" w:hAnsi="Times New Roman" w:cs="Times New Roman"/>
          <w:b/>
          <w:sz w:val="24"/>
        </w:rPr>
      </w:pPr>
      <w:r>
        <w:rPr>
          <w:rFonts w:hint="default" w:ascii="Times New Roman" w:hAnsi="Times New Roman" w:cs="Times New Roman"/>
          <w:b/>
          <w:sz w:val="24"/>
        </w:rPr>
        <w:t>集水池</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主要功能：收集</w:t>
      </w:r>
      <w:r>
        <w:rPr>
          <w:rFonts w:hint="default" w:ascii="Times New Roman" w:hAnsi="Times New Roman" w:cs="Times New Roman"/>
          <w:sz w:val="24"/>
        </w:rPr>
        <w:t>猪舍汇集的污水后，利用提升泵提升至固液分离机。</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设计参数：</w:t>
      </w:r>
      <w:r>
        <w:rPr>
          <w:rFonts w:hint="default" w:ascii="Times New Roman" w:hAnsi="Times New Roman" w:cs="Times New Roman"/>
          <w:sz w:val="24"/>
        </w:rPr>
        <w:t>设计流量Q=70m</w:t>
      </w:r>
      <w:r>
        <w:rPr>
          <w:rFonts w:hint="default" w:ascii="Times New Roman" w:hAnsi="Times New Roman" w:cs="Times New Roman"/>
          <w:sz w:val="24"/>
          <w:vertAlign w:val="superscript"/>
        </w:rPr>
        <w:t>3</w:t>
      </w:r>
      <w:r>
        <w:rPr>
          <w:rFonts w:hint="default" w:ascii="Times New Roman" w:hAnsi="Times New Roman" w:cs="Times New Roman"/>
          <w:sz w:val="24"/>
        </w:rPr>
        <w:t>/d，设计水力停留时间HRT=8h，扬程H=4m</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构（建）筑物：</w:t>
      </w:r>
      <w:r>
        <w:rPr>
          <w:rFonts w:hint="default" w:ascii="Times New Roman" w:hAnsi="Times New Roman" w:cs="Times New Roman"/>
          <w:sz w:val="24"/>
        </w:rPr>
        <w:t>有效容积V=50m</w:t>
      </w:r>
      <w:r>
        <w:rPr>
          <w:rFonts w:hint="default" w:ascii="Times New Roman" w:hAnsi="Times New Roman" w:cs="Times New Roman"/>
          <w:sz w:val="24"/>
          <w:vertAlign w:val="superscript"/>
        </w:rPr>
        <w:t>3</w:t>
      </w:r>
      <w:r>
        <w:rPr>
          <w:rFonts w:hint="default" w:ascii="Times New Roman" w:hAnsi="Times New Roman" w:cs="Times New Roman"/>
          <w:sz w:val="24"/>
        </w:rPr>
        <w:t>，尺寸为L×B×H=3000×3000×5000mm，一座，钢筋砼结构。</w:t>
      </w:r>
    </w:p>
    <w:p>
      <w:pPr>
        <w:tabs>
          <w:tab w:val="left" w:pos="2220"/>
        </w:tabs>
        <w:spacing w:line="360" w:lineRule="auto"/>
        <w:ind w:firstLine="454"/>
        <w:rPr>
          <w:rFonts w:hint="default" w:ascii="Times New Roman" w:hAnsi="Times New Roman" w:cs="Times New Roman"/>
          <w:bCs/>
          <w:sz w:val="24"/>
        </w:rPr>
      </w:pPr>
      <w:r>
        <w:rPr>
          <w:rFonts w:hint="default" w:ascii="Times New Roman" w:hAnsi="Times New Roman" w:cs="Times New Roman"/>
          <w:bCs/>
          <w:sz w:val="24"/>
        </w:rPr>
        <w:t>主要设备及控制方式：</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sz w:val="24"/>
        </w:rPr>
        <w:t>废水提升泵选择2台（1用1备），单台参数Q=6m</w:t>
      </w:r>
      <w:r>
        <w:rPr>
          <w:rFonts w:hint="default" w:ascii="Times New Roman" w:hAnsi="Times New Roman" w:cs="Times New Roman"/>
          <w:sz w:val="24"/>
          <w:vertAlign w:val="superscript"/>
        </w:rPr>
        <w:t>3</w:t>
      </w:r>
      <w:r>
        <w:rPr>
          <w:rFonts w:hint="default" w:ascii="Times New Roman" w:hAnsi="Times New Roman" w:cs="Times New Roman"/>
          <w:sz w:val="24"/>
        </w:rPr>
        <w:t>/h，H=10m，N=0.75KW。根据调节池内设置的液位控制器对废水提升泵进行自动启停和切换控制，并按工作时间自动轮换水泵工作，可现场手动及中控室集中控制。</w:t>
      </w:r>
    </w:p>
    <w:p>
      <w:pPr>
        <w:autoSpaceDE w:val="0"/>
        <w:autoSpaceDN w:val="0"/>
        <w:adjustRightInd w:val="0"/>
        <w:snapToGrid w:val="0"/>
        <w:spacing w:line="360" w:lineRule="auto"/>
        <w:ind w:firstLine="472" w:firstLineChars="196"/>
        <w:rPr>
          <w:rFonts w:hint="default" w:ascii="Times New Roman" w:hAnsi="Times New Roman" w:cs="Times New Roman"/>
          <w:b/>
          <w:sz w:val="24"/>
        </w:rPr>
      </w:pPr>
      <w:r>
        <w:rPr>
          <w:rFonts w:hint="default" w:ascii="Times New Roman" w:hAnsi="Times New Roman" w:cs="Times New Roman"/>
          <w:b/>
          <w:sz w:val="24"/>
        </w:rPr>
        <w:t>固液分离机</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sz w:val="24"/>
        </w:rPr>
        <w:t>固液分离设备选用水力筛网，水力筛网主体由楔形钢棒经精密制成的不锈钢弧形或平面过滤筛面，待处理废水经集水池通过溢流堰均匀分布到倾斜筛面上，由于筛网表面间隙小、平滑、背面间隙大、排水顺畅、不易阻塞，固态物质被截留，过滤后的水从筛板缝隙中流出进入水解调节池，同时在水力作用下固态物质被推到筛板下端排出，经滤水后由人工清装运输至粪便处理场内。</w:t>
      </w:r>
    </w:p>
    <w:p>
      <w:pPr>
        <w:autoSpaceDE w:val="0"/>
        <w:autoSpaceDN w:val="0"/>
        <w:adjustRightInd w:val="0"/>
        <w:snapToGrid w:val="0"/>
        <w:spacing w:line="360" w:lineRule="auto"/>
        <w:ind w:firstLine="472" w:firstLineChars="196"/>
        <w:rPr>
          <w:rFonts w:hint="default" w:ascii="Times New Roman" w:hAnsi="Times New Roman" w:cs="Times New Roman"/>
          <w:b/>
          <w:sz w:val="24"/>
        </w:rPr>
      </w:pPr>
      <w:r>
        <w:rPr>
          <w:rFonts w:hint="default" w:ascii="Times New Roman" w:hAnsi="Times New Roman" w:cs="Times New Roman"/>
          <w:b/>
          <w:sz w:val="24"/>
        </w:rPr>
        <w:t>调节酸化池</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主要功能：</w:t>
      </w:r>
      <w:r>
        <w:rPr>
          <w:rFonts w:hint="default" w:ascii="Times New Roman" w:hAnsi="Times New Roman" w:cs="Times New Roman"/>
          <w:sz w:val="24"/>
        </w:rPr>
        <w:t>调节水质水量，并起到一定水解酸化作用。后利用提升泵提升至后续处理构筑物。</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设计参数：</w:t>
      </w:r>
      <w:r>
        <w:rPr>
          <w:rFonts w:hint="default" w:ascii="Times New Roman" w:hAnsi="Times New Roman" w:cs="Times New Roman"/>
          <w:sz w:val="24"/>
        </w:rPr>
        <w:t>设计流量Q=90m</w:t>
      </w:r>
      <w:r>
        <w:rPr>
          <w:rFonts w:hint="default" w:ascii="Times New Roman" w:hAnsi="Times New Roman" w:cs="Times New Roman"/>
          <w:sz w:val="24"/>
          <w:vertAlign w:val="superscript"/>
        </w:rPr>
        <w:t>3</w:t>
      </w:r>
      <w:r>
        <w:rPr>
          <w:rFonts w:hint="default" w:ascii="Times New Roman" w:hAnsi="Times New Roman" w:cs="Times New Roman"/>
          <w:sz w:val="24"/>
        </w:rPr>
        <w:t>/d，设计水力停留时间HRT=8h，扬程H=4m</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构（建）筑物：</w:t>
      </w:r>
      <w:r>
        <w:rPr>
          <w:rFonts w:hint="default" w:ascii="Times New Roman" w:hAnsi="Times New Roman" w:cs="Times New Roman"/>
          <w:sz w:val="24"/>
        </w:rPr>
        <w:t>有效容积V=200m</w:t>
      </w:r>
      <w:r>
        <w:rPr>
          <w:rFonts w:hint="default" w:ascii="Times New Roman" w:hAnsi="Times New Roman" w:cs="Times New Roman"/>
          <w:sz w:val="24"/>
          <w:vertAlign w:val="superscript"/>
        </w:rPr>
        <w:t>3</w:t>
      </w:r>
      <w:r>
        <w:rPr>
          <w:rFonts w:hint="default" w:ascii="Times New Roman" w:hAnsi="Times New Roman" w:cs="Times New Roman"/>
          <w:sz w:val="24"/>
        </w:rPr>
        <w:t>，尺寸为L×B×H=8000×5000×5000mm，一座，钢筋砼结构。</w:t>
      </w:r>
    </w:p>
    <w:p>
      <w:pPr>
        <w:tabs>
          <w:tab w:val="left" w:pos="2220"/>
        </w:tabs>
        <w:spacing w:line="360" w:lineRule="auto"/>
        <w:ind w:firstLine="454"/>
        <w:rPr>
          <w:rFonts w:hint="default" w:ascii="Times New Roman" w:hAnsi="Times New Roman" w:cs="Times New Roman"/>
          <w:bCs/>
          <w:sz w:val="24"/>
        </w:rPr>
      </w:pPr>
      <w:r>
        <w:rPr>
          <w:rFonts w:hint="default" w:ascii="Times New Roman" w:hAnsi="Times New Roman" w:cs="Times New Roman"/>
          <w:bCs/>
          <w:sz w:val="24"/>
        </w:rPr>
        <w:t>主要设备及控制方式：</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sz w:val="24"/>
        </w:rPr>
        <w:t>废水提升泵选择2台（1用1备），单台参数Q=6m</w:t>
      </w:r>
      <w:r>
        <w:rPr>
          <w:rFonts w:hint="default" w:ascii="Times New Roman" w:hAnsi="Times New Roman" w:cs="Times New Roman"/>
          <w:sz w:val="24"/>
          <w:vertAlign w:val="superscript"/>
        </w:rPr>
        <w:t>3</w:t>
      </w:r>
      <w:r>
        <w:rPr>
          <w:rFonts w:hint="default" w:ascii="Times New Roman" w:hAnsi="Times New Roman" w:cs="Times New Roman"/>
          <w:sz w:val="24"/>
        </w:rPr>
        <w:t>/h，H=10m，N=0.75KW。</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sz w:val="24"/>
        </w:rPr>
        <w:t>池子设置两台潜水式搅拌机，QJB4/6-320，参数为叶轮直径320mm，叶轮转速960r/min，N=4KW。</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sz w:val="24"/>
        </w:rPr>
        <w:t>根据调节池内设置的液位控制器对废水提升泵进行自动启停和切换控制，并按工作时间自动轮换水泵工作，可现场手动及中控室集中控制。</w:t>
      </w:r>
    </w:p>
    <w:p>
      <w:pPr>
        <w:autoSpaceDE w:val="0"/>
        <w:autoSpaceDN w:val="0"/>
        <w:adjustRightInd w:val="0"/>
        <w:snapToGrid w:val="0"/>
        <w:spacing w:line="360" w:lineRule="auto"/>
        <w:ind w:firstLine="472" w:firstLineChars="196"/>
        <w:rPr>
          <w:rFonts w:hint="default" w:ascii="Times New Roman" w:hAnsi="Times New Roman" w:cs="Times New Roman"/>
          <w:b/>
          <w:sz w:val="24"/>
        </w:rPr>
      </w:pPr>
      <w:r>
        <w:rPr>
          <w:rFonts w:hint="default" w:ascii="Times New Roman" w:hAnsi="Times New Roman" w:cs="Times New Roman"/>
          <w:b/>
          <w:sz w:val="24"/>
        </w:rPr>
        <w:t>黑膜沼气池</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主要功能：</w:t>
      </w:r>
      <w:r>
        <w:rPr>
          <w:rFonts w:hint="default" w:ascii="Times New Roman" w:hAnsi="Times New Roman" w:cs="Times New Roman"/>
          <w:sz w:val="24"/>
        </w:rPr>
        <w:t>利用厌氧菌的作用，使有机物发生水解、酸化和甲烷化，去除废水中的有机物，并提高污水的可生化性，有利于后续的好氧处理。并可收集产生的沼气用做照明、燃具等。</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设计参数：</w:t>
      </w:r>
      <w:r>
        <w:rPr>
          <w:rFonts w:hint="default" w:ascii="Times New Roman" w:hAnsi="Times New Roman" w:cs="Times New Roman"/>
          <w:sz w:val="24"/>
        </w:rPr>
        <w:t>设计流量Q=90m</w:t>
      </w:r>
      <w:r>
        <w:rPr>
          <w:rFonts w:hint="default" w:ascii="Times New Roman" w:hAnsi="Times New Roman" w:cs="Times New Roman"/>
          <w:sz w:val="24"/>
          <w:vertAlign w:val="superscript"/>
        </w:rPr>
        <w:t>3</w:t>
      </w:r>
      <w:r>
        <w:rPr>
          <w:rFonts w:hint="default" w:ascii="Times New Roman" w:hAnsi="Times New Roman" w:cs="Times New Roman"/>
          <w:sz w:val="24"/>
        </w:rPr>
        <w:t>/d，设计水力停留时间HRT=8d。</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构（建）筑物：</w:t>
      </w:r>
      <w:r>
        <w:rPr>
          <w:rFonts w:hint="default" w:ascii="Times New Roman" w:hAnsi="Times New Roman" w:cs="Times New Roman"/>
          <w:sz w:val="24"/>
        </w:rPr>
        <w:t>有效容积V=768m</w:t>
      </w:r>
      <w:r>
        <w:rPr>
          <w:rFonts w:hint="default" w:ascii="Times New Roman" w:hAnsi="Times New Roman" w:cs="Times New Roman"/>
          <w:sz w:val="24"/>
          <w:vertAlign w:val="superscript"/>
        </w:rPr>
        <w:t>3</w:t>
      </w:r>
      <w:r>
        <w:rPr>
          <w:rFonts w:hint="default" w:ascii="Times New Roman" w:hAnsi="Times New Roman" w:cs="Times New Roman"/>
          <w:sz w:val="24"/>
        </w:rPr>
        <w:t>，尺寸为L×B×H=16000×12000×4000mm，一座，砖混结构。</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主要设备及控制方式：</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sz w:val="24"/>
        </w:rPr>
        <w:t>沼气黑膜顶膜选用厚度为1.5mm的HDPE土工膜，数量为300m</w:t>
      </w:r>
      <w:r>
        <w:rPr>
          <w:rFonts w:hint="default" w:ascii="Times New Roman" w:hAnsi="Times New Roman" w:cs="Times New Roman"/>
          <w:sz w:val="24"/>
          <w:vertAlign w:val="superscript"/>
        </w:rPr>
        <w:t>2</w:t>
      </w:r>
      <w:r>
        <w:rPr>
          <w:rFonts w:hint="default" w:ascii="Times New Roman" w:hAnsi="Times New Roman" w:cs="Times New Roman"/>
          <w:sz w:val="24"/>
        </w:rPr>
        <w:t>。</w:t>
      </w:r>
    </w:p>
    <w:p>
      <w:pPr>
        <w:autoSpaceDE w:val="0"/>
        <w:autoSpaceDN w:val="0"/>
        <w:adjustRightInd w:val="0"/>
        <w:snapToGrid w:val="0"/>
        <w:spacing w:line="360" w:lineRule="auto"/>
        <w:ind w:firstLine="472" w:firstLineChars="196"/>
        <w:rPr>
          <w:rFonts w:hint="default" w:ascii="Times New Roman" w:hAnsi="Times New Roman" w:cs="Times New Roman"/>
          <w:b/>
          <w:sz w:val="24"/>
        </w:rPr>
      </w:pPr>
      <w:r>
        <w:rPr>
          <w:rFonts w:hint="default" w:ascii="Times New Roman" w:hAnsi="Times New Roman" w:cs="Times New Roman"/>
          <w:b/>
          <w:sz w:val="24"/>
        </w:rPr>
        <w:t>好氧池</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主要功能：</w:t>
      </w:r>
      <w:r>
        <w:rPr>
          <w:rFonts w:hint="default" w:ascii="Times New Roman" w:hAnsi="Times New Roman" w:cs="Times New Roman"/>
          <w:sz w:val="24"/>
        </w:rPr>
        <w:t>利用池中的活性污泥和填料上附着的活性菌种，使得有效去除COD</w:t>
      </w:r>
      <w:r>
        <w:rPr>
          <w:rFonts w:hint="default" w:ascii="Times New Roman" w:hAnsi="Times New Roman" w:cs="Times New Roman"/>
          <w:sz w:val="24"/>
          <w:vertAlign w:val="subscript"/>
        </w:rPr>
        <w:t>cr</w:t>
      </w:r>
      <w:r>
        <w:rPr>
          <w:rFonts w:hint="default" w:ascii="Times New Roman" w:hAnsi="Times New Roman" w:cs="Times New Roman"/>
          <w:sz w:val="24"/>
        </w:rPr>
        <w:t>、BOD</w:t>
      </w:r>
      <w:r>
        <w:rPr>
          <w:rFonts w:hint="default" w:ascii="Times New Roman" w:hAnsi="Times New Roman" w:cs="Times New Roman"/>
          <w:sz w:val="24"/>
          <w:vertAlign w:val="subscript"/>
        </w:rPr>
        <w:t>5</w:t>
      </w:r>
      <w:r>
        <w:rPr>
          <w:rFonts w:hint="default" w:ascii="Times New Roman" w:hAnsi="Times New Roman" w:cs="Times New Roman"/>
          <w:sz w:val="24"/>
        </w:rPr>
        <w:t>和部分SS，保证出水水质达标。</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设计参数：</w:t>
      </w:r>
      <w:r>
        <w:rPr>
          <w:rFonts w:hint="default" w:ascii="Times New Roman" w:hAnsi="Times New Roman" w:cs="Times New Roman"/>
          <w:sz w:val="24"/>
        </w:rPr>
        <w:t>设计流量Q=90m</w:t>
      </w:r>
      <w:r>
        <w:rPr>
          <w:rFonts w:hint="default" w:ascii="Times New Roman" w:hAnsi="Times New Roman" w:cs="Times New Roman"/>
          <w:sz w:val="24"/>
          <w:vertAlign w:val="superscript"/>
        </w:rPr>
        <w:t>3</w:t>
      </w:r>
      <w:r>
        <w:rPr>
          <w:rFonts w:hint="default" w:ascii="Times New Roman" w:hAnsi="Times New Roman" w:cs="Times New Roman"/>
          <w:sz w:val="24"/>
        </w:rPr>
        <w:t>/d，设计BOD</w:t>
      </w:r>
      <w:r>
        <w:rPr>
          <w:rFonts w:hint="default" w:ascii="Times New Roman" w:hAnsi="Times New Roman" w:cs="Times New Roman"/>
          <w:sz w:val="24"/>
          <w:vertAlign w:val="subscript"/>
        </w:rPr>
        <w:t>5</w:t>
      </w:r>
      <w:r>
        <w:rPr>
          <w:rFonts w:hint="default" w:ascii="Times New Roman" w:hAnsi="Times New Roman" w:cs="Times New Roman"/>
          <w:sz w:val="24"/>
        </w:rPr>
        <w:t>容积负荷为0.5kg/（m</w:t>
      </w:r>
      <w:r>
        <w:rPr>
          <w:rFonts w:hint="default" w:ascii="Times New Roman" w:hAnsi="Times New Roman" w:cs="Times New Roman"/>
          <w:sz w:val="24"/>
          <w:vertAlign w:val="superscript"/>
        </w:rPr>
        <w:t>3</w:t>
      </w:r>
      <w:r>
        <w:rPr>
          <w:rFonts w:hint="default" w:ascii="Times New Roman" w:hAnsi="Times New Roman" w:cs="Times New Roman"/>
          <w:sz w:val="24"/>
        </w:rPr>
        <w:t>·d），水力停留时间HRT=12h，设计曝气水气比为1：12～15</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构（建）筑物：</w:t>
      </w:r>
      <w:r>
        <w:rPr>
          <w:rFonts w:hint="default" w:ascii="Times New Roman" w:hAnsi="Times New Roman" w:cs="Times New Roman"/>
          <w:sz w:val="24"/>
        </w:rPr>
        <w:t>好氧池总面积F=35.5m</w:t>
      </w:r>
      <w:r>
        <w:rPr>
          <w:rFonts w:hint="default" w:ascii="Times New Roman" w:hAnsi="Times New Roman" w:cs="Times New Roman"/>
          <w:sz w:val="24"/>
          <w:vertAlign w:val="superscript"/>
        </w:rPr>
        <w:t>2</w:t>
      </w:r>
      <w:r>
        <w:rPr>
          <w:rFonts w:hint="default" w:ascii="Times New Roman" w:hAnsi="Times New Roman" w:cs="Times New Roman"/>
          <w:sz w:val="24"/>
        </w:rPr>
        <w:t>，好氧池总有效容积V=160m</w:t>
      </w:r>
      <w:r>
        <w:rPr>
          <w:rFonts w:hint="default" w:ascii="Times New Roman" w:hAnsi="Times New Roman" w:cs="Times New Roman"/>
          <w:sz w:val="24"/>
          <w:vertAlign w:val="superscript"/>
        </w:rPr>
        <w:t>3</w:t>
      </w:r>
      <w:r>
        <w:rPr>
          <w:rFonts w:hint="default" w:ascii="Times New Roman" w:hAnsi="Times New Roman" w:cs="Times New Roman"/>
          <w:sz w:val="24"/>
        </w:rPr>
        <w:t>，尺寸为：L×B×H=8000mm×5000mm×4000mm，土建为砖混结构。</w:t>
      </w:r>
    </w:p>
    <w:p>
      <w:pPr>
        <w:tabs>
          <w:tab w:val="left" w:pos="2220"/>
        </w:tabs>
        <w:spacing w:line="360" w:lineRule="auto"/>
        <w:ind w:firstLine="454"/>
        <w:rPr>
          <w:rFonts w:hint="default" w:ascii="Times New Roman" w:hAnsi="Times New Roman" w:cs="Times New Roman"/>
          <w:bCs/>
          <w:sz w:val="24"/>
        </w:rPr>
      </w:pPr>
      <w:r>
        <w:rPr>
          <w:rFonts w:hint="default" w:ascii="Times New Roman" w:hAnsi="Times New Roman" w:cs="Times New Roman"/>
          <w:bCs/>
          <w:sz w:val="24"/>
        </w:rPr>
        <w:t>主要设备及控制方式：</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sz w:val="24"/>
        </w:rPr>
        <w:t>采用离心式曝气机，设置2台离心式曝气机，型号QXB4-50型，空气吸入管径DN50，最大潜水深度为4m，服务范围6.5米，风,75m</w:t>
      </w:r>
      <w:r>
        <w:rPr>
          <w:rFonts w:hint="default" w:ascii="Times New Roman" w:hAnsi="Times New Roman" w:cs="Times New Roman"/>
          <w:sz w:val="24"/>
          <w:vertAlign w:val="superscript"/>
        </w:rPr>
        <w:t>3</w:t>
      </w:r>
      <w:r>
        <w:rPr>
          <w:rFonts w:hint="default" w:ascii="Times New Roman" w:hAnsi="Times New Roman" w:cs="Times New Roman"/>
          <w:sz w:val="24"/>
        </w:rPr>
        <w:t>/h，功率为4kw，填料选用直径为φ180mm的弹性填料81m</w:t>
      </w:r>
      <w:r>
        <w:rPr>
          <w:rFonts w:hint="default" w:ascii="Times New Roman" w:hAnsi="Times New Roman" w:cs="Times New Roman"/>
          <w:sz w:val="24"/>
          <w:vertAlign w:val="superscript"/>
        </w:rPr>
        <w:t>3</w:t>
      </w:r>
      <w:r>
        <w:rPr>
          <w:rFonts w:hint="default" w:ascii="Times New Roman" w:hAnsi="Times New Roman" w:cs="Times New Roman"/>
          <w:sz w:val="24"/>
        </w:rPr>
        <w:t>。混合液回流泵1台，参数Q=6m</w:t>
      </w:r>
      <w:r>
        <w:rPr>
          <w:rFonts w:hint="default" w:ascii="Times New Roman" w:hAnsi="Times New Roman" w:cs="Times New Roman"/>
          <w:sz w:val="24"/>
          <w:vertAlign w:val="superscript"/>
        </w:rPr>
        <w:t>3</w:t>
      </w:r>
      <w:r>
        <w:rPr>
          <w:rFonts w:hint="default" w:ascii="Times New Roman" w:hAnsi="Times New Roman" w:cs="Times New Roman"/>
          <w:sz w:val="24"/>
        </w:rPr>
        <w:t>/h，H=10m，N=0.75KW。</w:t>
      </w:r>
    </w:p>
    <w:p>
      <w:pPr>
        <w:autoSpaceDE w:val="0"/>
        <w:autoSpaceDN w:val="0"/>
        <w:adjustRightInd w:val="0"/>
        <w:snapToGrid w:val="0"/>
        <w:spacing w:line="360" w:lineRule="auto"/>
        <w:ind w:firstLine="472" w:firstLineChars="196"/>
        <w:rPr>
          <w:rFonts w:hint="default" w:ascii="Times New Roman" w:hAnsi="Times New Roman" w:cs="Times New Roman"/>
          <w:b/>
          <w:sz w:val="24"/>
        </w:rPr>
      </w:pPr>
      <w:r>
        <w:rPr>
          <w:rFonts w:hint="default" w:ascii="Times New Roman" w:hAnsi="Times New Roman" w:cs="Times New Roman"/>
          <w:b/>
          <w:sz w:val="24"/>
        </w:rPr>
        <w:t>沉淀池</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主要功能：</w:t>
      </w:r>
      <w:r>
        <w:rPr>
          <w:rFonts w:hint="default" w:ascii="Times New Roman" w:hAnsi="Times New Roman" w:cs="Times New Roman"/>
          <w:sz w:val="24"/>
        </w:rPr>
        <w:t>沉淀池采用斜管沉淀池，利用重力及斜管的作用将比水重的悬浮颗粒从水中去除，并用泵将部分污泥回流至生物接触氧化池。</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设计参数：</w:t>
      </w:r>
      <w:r>
        <w:rPr>
          <w:rFonts w:hint="default" w:ascii="Times New Roman" w:hAnsi="Times New Roman" w:cs="Times New Roman"/>
          <w:sz w:val="24"/>
        </w:rPr>
        <w:t>设计流量Q=90m</w:t>
      </w:r>
      <w:r>
        <w:rPr>
          <w:rFonts w:hint="default" w:ascii="Times New Roman" w:hAnsi="Times New Roman" w:cs="Times New Roman"/>
          <w:sz w:val="24"/>
          <w:vertAlign w:val="superscript"/>
        </w:rPr>
        <w:t>3</w:t>
      </w:r>
      <w:r>
        <w:rPr>
          <w:rFonts w:hint="default" w:ascii="Times New Roman" w:hAnsi="Times New Roman" w:cs="Times New Roman"/>
          <w:sz w:val="24"/>
        </w:rPr>
        <w:t>/d，设计水力停留时间HRT=4.0h，沉淀区的上升流速为0.0005m/s。</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构（建）筑物：</w:t>
      </w:r>
      <w:r>
        <w:rPr>
          <w:rFonts w:hint="default" w:ascii="Times New Roman" w:hAnsi="Times New Roman" w:cs="Times New Roman"/>
          <w:sz w:val="24"/>
        </w:rPr>
        <w:t>沉淀池选择长方形池体，泥斗位于进水一端，泥斗高度1.5m，有效容积V=72m</w:t>
      </w:r>
      <w:r>
        <w:rPr>
          <w:rFonts w:hint="default" w:ascii="Times New Roman" w:hAnsi="Times New Roman" w:cs="Times New Roman"/>
          <w:sz w:val="24"/>
          <w:vertAlign w:val="superscript"/>
        </w:rPr>
        <w:t>3</w:t>
      </w:r>
      <w:r>
        <w:rPr>
          <w:rFonts w:hint="default" w:ascii="Times New Roman" w:hAnsi="Times New Roman" w:cs="Times New Roman"/>
          <w:sz w:val="24"/>
        </w:rPr>
        <w:t>，尺寸：L×B×H=4000×6000×3000mm，土建为砖混结构。</w:t>
      </w:r>
    </w:p>
    <w:p>
      <w:pPr>
        <w:tabs>
          <w:tab w:val="left" w:pos="2220"/>
        </w:tabs>
        <w:spacing w:line="360" w:lineRule="auto"/>
        <w:ind w:firstLine="454"/>
        <w:rPr>
          <w:rFonts w:hint="default" w:ascii="Times New Roman" w:hAnsi="Times New Roman" w:cs="Times New Roman"/>
          <w:bCs/>
          <w:sz w:val="24"/>
        </w:rPr>
      </w:pPr>
      <w:r>
        <w:rPr>
          <w:rFonts w:hint="default" w:ascii="Times New Roman" w:hAnsi="Times New Roman" w:cs="Times New Roman"/>
          <w:bCs/>
          <w:sz w:val="24"/>
        </w:rPr>
        <w:t>主要设备及控制方式：</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sz w:val="24"/>
        </w:rPr>
        <w:t>斜管数量24m</w:t>
      </w:r>
      <w:r>
        <w:rPr>
          <w:rFonts w:hint="default" w:ascii="Times New Roman" w:hAnsi="Times New Roman" w:cs="Times New Roman"/>
          <w:sz w:val="24"/>
          <w:vertAlign w:val="superscript"/>
        </w:rPr>
        <w:t>2</w:t>
      </w:r>
      <w:r>
        <w:rPr>
          <w:rFonts w:hint="default" w:ascii="Times New Roman" w:hAnsi="Times New Roman" w:cs="Times New Roman"/>
          <w:sz w:val="24"/>
        </w:rPr>
        <w:t>。沉淀池出水采用三角堰溢流出水，总长度为6m。其中设置一台污泥回流泵，参数为Q=6m</w:t>
      </w:r>
      <w:r>
        <w:rPr>
          <w:rFonts w:hint="default" w:ascii="Times New Roman" w:hAnsi="Times New Roman" w:cs="Times New Roman"/>
          <w:sz w:val="24"/>
          <w:vertAlign w:val="superscript"/>
        </w:rPr>
        <w:t>3</w:t>
      </w:r>
      <w:r>
        <w:rPr>
          <w:rFonts w:hint="default" w:ascii="Times New Roman" w:hAnsi="Times New Roman" w:cs="Times New Roman"/>
          <w:sz w:val="24"/>
        </w:rPr>
        <w:t>/h，H=10m，N=0.75KW。</w:t>
      </w:r>
    </w:p>
    <w:p>
      <w:pPr>
        <w:autoSpaceDE w:val="0"/>
        <w:autoSpaceDN w:val="0"/>
        <w:adjustRightInd w:val="0"/>
        <w:snapToGrid w:val="0"/>
        <w:spacing w:line="360" w:lineRule="auto"/>
        <w:ind w:firstLine="472" w:firstLineChars="196"/>
        <w:rPr>
          <w:rFonts w:hint="default" w:ascii="Times New Roman" w:hAnsi="Times New Roman" w:cs="Times New Roman"/>
          <w:b/>
          <w:sz w:val="24"/>
        </w:rPr>
      </w:pPr>
      <w:r>
        <w:rPr>
          <w:rFonts w:hint="default" w:ascii="Times New Roman" w:hAnsi="Times New Roman" w:cs="Times New Roman"/>
          <w:b/>
          <w:sz w:val="24"/>
        </w:rPr>
        <w:t>消毒池</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sz w:val="24"/>
        </w:rPr>
        <w:t>主要功能：对废水处理系统出水进行消毒处理。</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sz w:val="24"/>
        </w:rPr>
        <w:t>设计参数：设计流量Q=90m</w:t>
      </w:r>
      <w:r>
        <w:rPr>
          <w:rFonts w:hint="default" w:ascii="Times New Roman" w:hAnsi="Times New Roman" w:cs="Times New Roman"/>
          <w:sz w:val="24"/>
          <w:vertAlign w:val="superscript"/>
        </w:rPr>
        <w:t>3</w:t>
      </w:r>
      <w:r>
        <w:rPr>
          <w:rFonts w:hint="default" w:ascii="Times New Roman" w:hAnsi="Times New Roman" w:cs="Times New Roman"/>
          <w:sz w:val="24"/>
        </w:rPr>
        <w:t>/d</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sz w:val="24"/>
        </w:rPr>
        <w:t>构（建）筑物：有效容积：V=90m</w:t>
      </w:r>
      <w:r>
        <w:rPr>
          <w:rFonts w:hint="default" w:ascii="Times New Roman" w:hAnsi="Times New Roman" w:cs="Times New Roman"/>
          <w:sz w:val="24"/>
          <w:vertAlign w:val="superscript"/>
        </w:rPr>
        <w:t>3</w:t>
      </w:r>
      <w:r>
        <w:rPr>
          <w:rFonts w:hint="default" w:ascii="Times New Roman" w:hAnsi="Times New Roman" w:cs="Times New Roman"/>
          <w:sz w:val="24"/>
        </w:rPr>
        <w:t>，尺寸：L×B×H=6000×5000×3000mm，土建为砖混结构。</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sz w:val="24"/>
        </w:rPr>
        <w:t>主要设备及控制方式：加药系统1套，消毒剂采用次氯酸钠或漂白粉。</w:t>
      </w:r>
    </w:p>
    <w:p>
      <w:pPr>
        <w:autoSpaceDE w:val="0"/>
        <w:autoSpaceDN w:val="0"/>
        <w:adjustRightInd w:val="0"/>
        <w:snapToGrid w:val="0"/>
        <w:spacing w:line="360" w:lineRule="auto"/>
        <w:ind w:firstLine="472" w:firstLineChars="196"/>
        <w:rPr>
          <w:rFonts w:hint="default" w:ascii="Times New Roman" w:hAnsi="Times New Roman" w:cs="Times New Roman"/>
          <w:b/>
          <w:sz w:val="24"/>
        </w:rPr>
      </w:pPr>
      <w:r>
        <w:rPr>
          <w:rFonts w:hint="default" w:ascii="Times New Roman" w:hAnsi="Times New Roman" w:cs="Times New Roman"/>
          <w:b/>
          <w:sz w:val="24"/>
        </w:rPr>
        <w:t>高位水池</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主要功能：储存废水处理系统出水，用于附近农田灌溉。</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设计参数：</w:t>
      </w:r>
      <w:r>
        <w:rPr>
          <w:rFonts w:hint="default" w:ascii="Times New Roman" w:hAnsi="Times New Roman" w:cs="Times New Roman"/>
          <w:sz w:val="24"/>
        </w:rPr>
        <w:t>设计流量Q=90m</w:t>
      </w:r>
      <w:r>
        <w:rPr>
          <w:rFonts w:hint="default" w:ascii="Times New Roman" w:hAnsi="Times New Roman" w:cs="Times New Roman"/>
          <w:sz w:val="24"/>
          <w:vertAlign w:val="superscript"/>
        </w:rPr>
        <w:t>3</w:t>
      </w:r>
      <w:r>
        <w:rPr>
          <w:rFonts w:hint="default" w:ascii="Times New Roman" w:hAnsi="Times New Roman" w:cs="Times New Roman"/>
          <w:sz w:val="24"/>
        </w:rPr>
        <w:t>/d</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构（建）筑物：</w:t>
      </w:r>
      <w:r>
        <w:rPr>
          <w:rFonts w:hint="default" w:ascii="Times New Roman" w:hAnsi="Times New Roman" w:cs="Times New Roman"/>
          <w:sz w:val="24"/>
        </w:rPr>
        <w:t>有效容积：V=480m</w:t>
      </w:r>
      <w:r>
        <w:rPr>
          <w:rFonts w:hint="default" w:ascii="Times New Roman" w:hAnsi="Times New Roman" w:cs="Times New Roman"/>
          <w:sz w:val="24"/>
          <w:vertAlign w:val="superscript"/>
        </w:rPr>
        <w:t>3</w:t>
      </w:r>
      <w:r>
        <w:rPr>
          <w:rFonts w:hint="default" w:ascii="Times New Roman" w:hAnsi="Times New Roman" w:cs="Times New Roman"/>
          <w:sz w:val="24"/>
        </w:rPr>
        <w:t>，尺寸：L×B×H=16000×12000×2500mm，土建为砖混结构。</w:t>
      </w:r>
    </w:p>
    <w:p>
      <w:pPr>
        <w:tabs>
          <w:tab w:val="left" w:pos="2220"/>
        </w:tabs>
        <w:spacing w:line="360" w:lineRule="auto"/>
        <w:ind w:firstLine="454"/>
        <w:rPr>
          <w:rFonts w:hint="default" w:ascii="Times New Roman" w:hAnsi="Times New Roman" w:cs="Times New Roman"/>
          <w:sz w:val="24"/>
        </w:rPr>
      </w:pPr>
      <w:r>
        <w:rPr>
          <w:rFonts w:hint="default" w:ascii="Times New Roman" w:hAnsi="Times New Roman" w:cs="Times New Roman"/>
          <w:bCs/>
          <w:sz w:val="24"/>
        </w:rPr>
        <w:t>主要设备及控制方式：</w:t>
      </w:r>
      <w:r>
        <w:rPr>
          <w:rFonts w:hint="default" w:ascii="Times New Roman" w:hAnsi="Times New Roman" w:cs="Times New Roman"/>
          <w:sz w:val="24"/>
        </w:rPr>
        <w:t>提升设备利用原有设备。</w:t>
      </w:r>
    </w:p>
    <w:p>
      <w:pPr>
        <w:tabs>
          <w:tab w:val="left" w:pos="2220"/>
        </w:tabs>
        <w:spacing w:line="360" w:lineRule="auto"/>
        <w:ind w:firstLine="454"/>
        <w:outlineLvl w:val="3"/>
        <w:rPr>
          <w:rFonts w:hint="default" w:ascii="Times New Roman" w:hAnsi="Times New Roman" w:cs="Times New Roman"/>
          <w:b/>
          <w:bCs/>
          <w:sz w:val="24"/>
          <w:szCs w:val="24"/>
        </w:rPr>
      </w:pPr>
      <w:r>
        <w:rPr>
          <w:rFonts w:hint="default" w:ascii="Times New Roman" w:hAnsi="Times New Roman" w:cs="Times New Roman"/>
          <w:b/>
          <w:bCs/>
          <w:sz w:val="24"/>
          <w:szCs w:val="24"/>
        </w:rPr>
        <w:t>3.2.2.2 沼气利用工程</w:t>
      </w:r>
    </w:p>
    <w:p>
      <w:pPr>
        <w:tabs>
          <w:tab w:val="left" w:pos="2220"/>
        </w:tabs>
        <w:spacing w:line="360" w:lineRule="auto"/>
        <w:ind w:firstLine="454"/>
        <w:rPr>
          <w:rFonts w:hint="default" w:ascii="Times New Roman" w:hAnsi="Times New Roman" w:cs="Times New Roman"/>
          <w:sz w:val="24"/>
          <w:szCs w:val="24"/>
        </w:rPr>
      </w:pPr>
      <w:r>
        <w:rPr>
          <w:rFonts w:hint="default" w:ascii="Times New Roman" w:hAnsi="Times New Roman" w:cs="Times New Roman"/>
          <w:sz w:val="24"/>
          <w:szCs w:val="24"/>
        </w:rPr>
        <w:t>根据《畜禽养殖业污染防治技术政策》（环发[2010]151号）中有关内容，厌氧发酵产生的沼气应进行收集，并根据利用途径进行脱水、脱硫等净化处理。沼气宜作为燃料直接利用。</w:t>
      </w:r>
    </w:p>
    <w:p>
      <w:pPr>
        <w:tabs>
          <w:tab w:val="left" w:pos="2220"/>
        </w:tabs>
        <w:spacing w:line="360" w:lineRule="auto"/>
        <w:ind w:firstLine="454"/>
        <w:rPr>
          <w:rFonts w:hint="default" w:ascii="Times New Roman" w:hAnsi="Times New Roman" w:cs="Times New Roman"/>
          <w:sz w:val="24"/>
          <w:szCs w:val="24"/>
        </w:rPr>
      </w:pPr>
      <w:r>
        <w:rPr>
          <w:rFonts w:hint="default" w:ascii="Times New Roman" w:hAnsi="Times New Roman" w:cs="Times New Roman"/>
          <w:sz w:val="24"/>
          <w:szCs w:val="24"/>
        </w:rPr>
        <w:t>沼气利用前所采取的措施如图3.3-7。</w:t>
      </w:r>
    </w:p>
    <w:p>
      <w:pPr>
        <w:jc w:val="center"/>
        <w:rPr>
          <w:rFonts w:hint="default" w:ascii="Times New Roman" w:hAnsi="Times New Roman" w:eastAsia="黑体" w:cs="Times New Roman"/>
          <w:sz w:val="24"/>
          <w:szCs w:val="24"/>
        </w:rPr>
      </w:pPr>
      <w:r>
        <w:rPr>
          <w:rFonts w:hint="default" w:ascii="Times New Roman" w:hAnsi="Times New Roman" w:cs="Times New Roman"/>
          <w:sz w:val="24"/>
          <w:szCs w:val="24"/>
        </w:rPr>
        <w:pict>
          <v:rect id="矩形 580" o:spid="_x0000_s2054" o:spt="1" style="position:absolute;left:0pt;margin-left:152.1pt;margin-top:51.6pt;height:25.4pt;width:63.05pt;z-index:251658240;mso-width-relative:page;mso-height-relative:page;" filled="f" stroked="f" coordsize="21600,21600">
            <v:path/>
            <v:fill on="f" focussize="0,0"/>
            <v:stroke on="f"/>
            <v:imagedata o:title=""/>
            <o:lock v:ext="edit"/>
            <v:textbox inset="0mm,0mm,0mm,0mm">
              <w:txbxContent>
                <w:p>
                  <w:pPr>
                    <w:adjustRightInd w:val="0"/>
                    <w:snapToGrid w:val="0"/>
                    <w:spacing w:line="400" w:lineRule="exact"/>
                    <w:jc w:val="center"/>
                    <w:rPr>
                      <w:rFonts w:hint="eastAsia"/>
                      <w:szCs w:val="21"/>
                    </w:rPr>
                  </w:pPr>
                  <w:r>
                    <w:rPr>
                      <w:rFonts w:hint="eastAsia"/>
                      <w:szCs w:val="21"/>
                    </w:rPr>
                    <w:t>废脱硫剂</w:t>
                  </w:r>
                </w:p>
              </w:txbxContent>
            </v:textbox>
          </v:rect>
        </w:pict>
      </w:r>
      <w:r>
        <w:rPr>
          <w:rFonts w:hint="default" w:ascii="Times New Roman" w:hAnsi="Times New Roman" w:cs="Times New Roman"/>
          <w:sz w:val="24"/>
          <w:szCs w:val="24"/>
        </w:rPr>
        <w:pict>
          <v:shape id="自选图形 579" o:spid="_x0000_s2053" o:spt="32" type="#_x0000_t32" style="position:absolute;left:0pt;flip:x;margin-left:183.35pt;margin-top:40.8pt;height:18.15pt;width:0.25pt;z-index:251657216;mso-width-relative:page;mso-height-relative:page;" filled="f" coordsize="21600,21600">
            <v:path arrowok="t"/>
            <v:fill on="f" focussize="0,0"/>
            <v:stroke dashstyle="dash" endarrow="block"/>
            <v:imagedata o:title=""/>
            <o:lock v:ext="edit"/>
          </v:shape>
        </w:pict>
      </w:r>
      <w:r>
        <w:rPr>
          <w:rFonts w:hint="default" w:ascii="Times New Roman" w:hAnsi="Times New Roman" w:cs="Times New Roman"/>
          <w:sz w:val="24"/>
          <w:szCs w:val="24"/>
        </w:rPr>
        <w:pict>
          <v:rect id="_x0000_s2293" o:spid="_x0000_s2293" o:spt="1" style="position:absolute;left:0pt;margin-left:374.65pt;margin-top:45.45pt;height:25.4pt;width:63.05pt;z-index:251658240;mso-width-relative:page;mso-height-relative:page;" filled="f" stroked="f" coordsize="21600,21600">
            <v:path/>
            <v:fill on="f" focussize="0,0"/>
            <v:stroke on="f"/>
            <v:imagedata o:title=""/>
            <o:lock v:ext="edit"/>
            <v:textbox inset="0mm,0mm,0mm,0mm">
              <w:txbxContent>
                <w:p>
                  <w:pPr>
                    <w:adjustRightInd w:val="0"/>
                    <w:snapToGrid w:val="0"/>
                    <w:spacing w:line="400" w:lineRule="exact"/>
                    <w:jc w:val="center"/>
                    <w:rPr>
                      <w:rFonts w:hint="eastAsia"/>
                      <w:szCs w:val="21"/>
                    </w:rPr>
                  </w:pPr>
                  <w:r>
                    <w:rPr>
                      <w:rFonts w:hint="eastAsia"/>
                      <w:szCs w:val="21"/>
                    </w:rPr>
                    <w:t>燃烧废气</w:t>
                  </w:r>
                </w:p>
              </w:txbxContent>
            </v:textbox>
          </v:rect>
        </w:pict>
      </w:r>
      <w:r>
        <w:rPr>
          <w:rFonts w:hint="default" w:ascii="Times New Roman" w:hAnsi="Times New Roman" w:eastAsia="黑体" w:cs="Times New Roman"/>
          <w:sz w:val="24"/>
          <w:szCs w:val="24"/>
        </w:rPr>
        <w:pict>
          <v:group id="画布 564" o:spid="_x0000_s2084" o:spt="203" style="position:absolute;left:0pt;margin-left:0pt;margin-top:0pt;height:81.25pt;width:436.5pt;z-index:1024;mso-width-relative:page;mso-height-relative:page;" coordorigin="1588,8868" coordsize="8730,1624" editas="canvas">
            <o:lock v:ext="edit"/>
            <v:shape id="画布 564" o:spid="_x0000_s2085" o:spt="75" type="#_x0000_t75" style="position:absolute;left:1588;top:8868;height:1624;width:8730;" filled="f" o:preferrelative="t" stroked="f" coordsize="21600,21600">
              <v:path/>
              <v:fill on="f" focussize="0,0"/>
              <v:stroke on="f" joinstyle="miter"/>
              <v:imagedata o:title=""/>
              <o:lock v:ext="edit" rotation="t" text="t" aspectratio="t"/>
            </v:shape>
            <v:line id="直线 566" o:spid="_x0000_s2086" o:spt="20" style="position:absolute;left:2762;top:9391;height:1;width:541;" coordsize="21600,21600">
              <v:path arrowok="t"/>
              <v:fill focussize="0,0"/>
              <v:stroke endarrow="block"/>
              <v:imagedata o:title=""/>
              <o:lock v:ext="edit"/>
            </v:line>
            <v:rect id="矩形 567" o:spid="_x0000_s2087" o:spt="1" style="position:absolute;left:2222;top:9135;height:510;width:540;" coordsize="21600,21600">
              <v:path/>
              <v:fill focussize="0,0"/>
              <v:stroke/>
              <v:imagedata o:title=""/>
              <o:lock v:ext="edit"/>
              <v:textbox inset="0mm,0mm,0mm,0mm">
                <w:txbxContent>
                  <w:p>
                    <w:pPr>
                      <w:adjustRightInd w:val="0"/>
                      <w:snapToGrid w:val="0"/>
                      <w:spacing w:line="400" w:lineRule="exact"/>
                      <w:jc w:val="center"/>
                      <w:rPr>
                        <w:szCs w:val="21"/>
                      </w:rPr>
                    </w:pPr>
                    <w:r>
                      <w:rPr>
                        <w:rFonts w:hint="eastAsia"/>
                        <w:szCs w:val="21"/>
                      </w:rPr>
                      <w:t>沼气</w:t>
                    </w:r>
                  </w:p>
                </w:txbxContent>
              </v:textbox>
            </v:rect>
            <v:rect id="矩形 568" o:spid="_x0000_s2088" o:spt="1" style="position:absolute;left:4564;top:9151;height:508;width:720;" coordsize="21600,21600">
              <v:path/>
              <v:fill focussize="0,0"/>
              <v:stroke/>
              <v:imagedata o:title=""/>
              <o:lock v:ext="edit"/>
              <v:textbox inset="0mm,0mm,0mm,0mm">
                <w:txbxContent>
                  <w:p>
                    <w:pPr>
                      <w:adjustRightInd w:val="0"/>
                      <w:snapToGrid w:val="0"/>
                      <w:spacing w:line="400" w:lineRule="exact"/>
                      <w:jc w:val="center"/>
                      <w:rPr>
                        <w:szCs w:val="21"/>
                      </w:rPr>
                    </w:pPr>
                    <w:r>
                      <w:rPr>
                        <w:rFonts w:hint="eastAsia"/>
                        <w:szCs w:val="21"/>
                      </w:rPr>
                      <w:t>脱硫器</w:t>
                    </w:r>
                  </w:p>
                </w:txbxContent>
              </v:textbox>
            </v:rect>
            <v:line id="直线 569" o:spid="_x0000_s2089" o:spt="20" style="position:absolute;left:4023;top:9391;height:1;width:541;" coordsize="21600,21600">
              <v:path arrowok="t"/>
              <v:fill focussize="0,0"/>
              <v:stroke endarrow="block"/>
              <v:imagedata o:title=""/>
              <o:lock v:ext="edit"/>
            </v:line>
            <v:rect id="矩形 570" o:spid="_x0000_s2090" o:spt="1" style="position:absolute;left:3300;top:9155;height:508;width:720;" coordsize="21600,21600">
              <v:path/>
              <v:fill focussize="0,0"/>
              <v:stroke/>
              <v:imagedata o:title=""/>
              <o:lock v:ext="edit"/>
              <v:textbox inset="0mm,0mm,0mm,0mm">
                <w:txbxContent>
                  <w:p>
                    <w:pPr>
                      <w:adjustRightInd w:val="0"/>
                      <w:snapToGrid w:val="0"/>
                      <w:spacing w:line="400" w:lineRule="exact"/>
                      <w:jc w:val="center"/>
                      <w:rPr>
                        <w:szCs w:val="21"/>
                      </w:rPr>
                    </w:pPr>
                    <w:r>
                      <w:rPr>
                        <w:rFonts w:hint="eastAsia"/>
                        <w:szCs w:val="21"/>
                      </w:rPr>
                      <w:t>脱水器</w:t>
                    </w:r>
                  </w:p>
                </w:txbxContent>
              </v:textbox>
            </v:rect>
            <v:line id="直线 571" o:spid="_x0000_s2091" o:spt="20" style="position:absolute;left:5284;top:9391;height:1;width:541;" coordsize="21600,21600">
              <v:path arrowok="t"/>
              <v:fill focussize="0,0"/>
              <v:stroke endarrow="block"/>
              <v:imagedata o:title=""/>
              <o:lock v:ext="edit"/>
            </v:line>
            <v:rect id="矩形 572" o:spid="_x0000_s2092" o:spt="1" style="position:absolute;left:5825;top:9135;height:510;width:720;" coordsize="21600,21600">
              <v:path/>
              <v:fill focussize="0,0"/>
              <v:stroke/>
              <v:imagedata o:title=""/>
              <o:lock v:ext="edit"/>
              <v:textbox inset="0mm,0mm,0mm,0mm">
                <w:txbxContent>
                  <w:p>
                    <w:pPr>
                      <w:adjustRightInd w:val="0"/>
                      <w:snapToGrid w:val="0"/>
                      <w:spacing w:line="400" w:lineRule="exact"/>
                      <w:jc w:val="center"/>
                      <w:rPr>
                        <w:szCs w:val="21"/>
                      </w:rPr>
                    </w:pPr>
                    <w:r>
                      <w:rPr>
                        <w:rFonts w:hint="eastAsia"/>
                        <w:szCs w:val="21"/>
                      </w:rPr>
                      <w:t>阻火器</w:t>
                    </w:r>
                  </w:p>
                </w:txbxContent>
              </v:textbox>
            </v:rect>
            <v:line id="直线 573" o:spid="_x0000_s2093" o:spt="20" style="position:absolute;left:6545;top:9391;height:1;width:541;" coordsize="21600,21600">
              <v:path arrowok="t"/>
              <v:fill focussize="0,0"/>
              <v:stroke endarrow="block"/>
              <v:imagedata o:title=""/>
              <o:lock v:ext="edit"/>
            </v:line>
            <v:rect id="矩形 574" o:spid="_x0000_s2094" o:spt="1" style="position:absolute;left:7086;top:9135;height:510;width:1119;" coordsize="21600,21600">
              <v:path/>
              <v:fill focussize="0,0"/>
              <v:stroke/>
              <v:imagedata o:title=""/>
              <o:lock v:ext="edit"/>
              <v:textbox inset="0mm,0mm,0mm,0mm">
                <w:txbxContent>
                  <w:p>
                    <w:pPr>
                      <w:adjustRightInd w:val="0"/>
                      <w:snapToGrid w:val="0"/>
                      <w:spacing w:line="400" w:lineRule="exact"/>
                      <w:jc w:val="center"/>
                      <w:rPr>
                        <w:color w:val="000000"/>
                        <w:szCs w:val="21"/>
                      </w:rPr>
                    </w:pPr>
                    <w:r>
                      <w:rPr>
                        <w:rFonts w:hint="eastAsia"/>
                        <w:color w:val="000000"/>
                        <w:szCs w:val="21"/>
                      </w:rPr>
                      <w:t>缓冲罐</w:t>
                    </w:r>
                  </w:p>
                </w:txbxContent>
              </v:textbox>
            </v:rect>
            <v:line id="直线 575" o:spid="_x0000_s2095" o:spt="20" style="position:absolute;left:8229;top:9428;height:1;width:541;" coordsize="21600,21600">
              <v:path arrowok="t"/>
              <v:fill focussize="0,0"/>
              <v:stroke endarrow="block"/>
              <v:imagedata o:title=""/>
              <o:lock v:ext="edit"/>
            </v:line>
            <v:rect id="矩形 576" o:spid="_x0000_s2096" o:spt="1" style="position:absolute;left:8770;top:9216;height:316;width:1125;" stroked="t" coordsize="21600,21600">
              <v:path/>
              <v:fill focussize="0,0"/>
              <v:stroke color="#FFFFFF"/>
              <v:imagedata o:title=""/>
              <o:lock v:ext="edit"/>
              <v:textbox inset="0mm,0mm,0mm,0mm">
                <w:txbxContent>
                  <w:p>
                    <w:pPr>
                      <w:adjustRightInd w:val="0"/>
                      <w:snapToGrid w:val="0"/>
                      <w:spacing w:line="240" w:lineRule="exact"/>
                      <w:jc w:val="center"/>
                      <w:rPr>
                        <w:rFonts w:hint="eastAsia"/>
                        <w:szCs w:val="21"/>
                      </w:rPr>
                    </w:pPr>
                    <w:r>
                      <w:rPr>
                        <w:rFonts w:hint="eastAsia"/>
                        <w:szCs w:val="21"/>
                      </w:rPr>
                      <w:t>食堂燃烧</w:t>
                    </w:r>
                  </w:p>
                </w:txbxContent>
              </v:textbox>
            </v:rect>
            <v:shape id="自选图形 1155" o:spid="_x0000_s2097" o:spt="32" type="#_x0000_t32" style="position:absolute;left:9365;top:9497;flip:x;height:289;width:5;" filled="f" coordsize="21600,21600">
              <v:path arrowok="t"/>
              <v:fill on="f" focussize="0,0"/>
              <v:stroke dashstyle="dash" endarrow="block"/>
              <v:imagedata o:title=""/>
              <o:lock v:ext="edit"/>
            </v:shape>
          </v:group>
        </w:pict>
      </w:r>
      <w:r>
        <w:rPr>
          <w:rFonts w:hint="default" w:ascii="Times New Roman" w:hAnsi="Times New Roman" w:eastAsia="黑体" w:cs="Times New Roman"/>
          <w:sz w:val="24"/>
          <w:szCs w:val="24"/>
        </w:rPr>
        <w:pict>
          <v:shape id="_x0000_i1034" o:spt="75" type="#_x0000_t75" style="height:81pt;width:436.5pt;" filled="f" o:preferrelative="t" stroked="f" coordsize="21600,21600">
            <v:path/>
            <v:fill on="f" focussize="0,0"/>
            <v:stroke on="f" joinstyle="miter"/>
            <v:imagedata o:title=""/>
            <o:lock v:ext="edit" aspectratio="t"/>
            <w10:wrap type="none"/>
            <w10:anchorlock/>
          </v:shape>
        </w:pict>
      </w:r>
    </w:p>
    <w:p>
      <w:pPr>
        <w:spacing w:line="360" w:lineRule="auto"/>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图3.3-7   沼气利用流程及产污环节图</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沼气从沼气池流入管道，首先经过冷凝水去除罐和脱硫装置，其目的是净化沼气。净化后的沼气从缓冲柜进入后续沼气利用系统。</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（1）脱水器（气水分离器）</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沼气是高湿度的混合气。沼气自沼气池进入管道时，温度逐渐降低，管道中会产生大量含杂质的冷凝水。如果不从系统中除去，容易堵塞、破坏管道设备。</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（2）脱硫（硫化氢的去除）</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bCs/>
          <w:sz w:val="24"/>
          <w:szCs w:val="24"/>
        </w:rPr>
        <w:t>沼气中含有一定量的H</w:t>
      </w:r>
      <w:r>
        <w:rPr>
          <w:rFonts w:hint="default" w:ascii="Times New Roman" w:hAnsi="Times New Roman" w:cs="Times New Roman"/>
          <w:bCs/>
          <w:sz w:val="24"/>
          <w:szCs w:val="24"/>
          <w:vertAlign w:val="subscript"/>
        </w:rPr>
        <w:t>2</w:t>
      </w:r>
      <w:r>
        <w:rPr>
          <w:rFonts w:hint="default" w:ascii="Times New Roman" w:hAnsi="Times New Roman" w:cs="Times New Roman"/>
          <w:bCs/>
          <w:sz w:val="24"/>
          <w:szCs w:val="24"/>
        </w:rPr>
        <w:t>S，需要进行脱硫处理，以防止对储气池以及沼气输送管道的腐蚀影响。</w:t>
      </w:r>
      <w:r>
        <w:rPr>
          <w:rFonts w:hint="default" w:ascii="Times New Roman" w:hAnsi="Times New Roman" w:cs="Times New Roman"/>
          <w:sz w:val="24"/>
          <w:szCs w:val="24"/>
        </w:rPr>
        <w:t>项目采用干法对沼气中硫化氢进行去除，脱硫装置内放入专用脱硫剂。脱硫装置原理为在一个容器内放入填料，填料层有氧化铁等，沼气以低流速从一端经过容器内填料层，H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S氧化成硫或硫化物后，余留在填料层中，净化后的气体从容器另一端排出。</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（3）沼气的安全利用</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沼气净化后进入缓冲罐，缓冲罐对整个系统具有气量缓冲的作用。</w:t>
      </w:r>
    </w:p>
    <w:p>
      <w:pPr>
        <w:numPr>
          <w:ilvl w:val="0"/>
          <w:numId w:val="0"/>
        </w:numPr>
        <w:spacing w:line="360" w:lineRule="auto"/>
        <w:ind w:leftChars="200"/>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lang w:eastAsia="zh-CN"/>
        </w:rPr>
        <w:t>）</w:t>
      </w:r>
      <w:r>
        <w:rPr>
          <w:rFonts w:hint="default" w:ascii="Times New Roman" w:hAnsi="Times New Roman" w:cs="Times New Roman"/>
          <w:sz w:val="24"/>
          <w:szCs w:val="24"/>
        </w:rPr>
        <w:t>沼气利用方案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根据</w:t>
      </w:r>
      <w:r>
        <w:rPr>
          <w:rFonts w:hint="default" w:ascii="Times New Roman" w:hAnsi="Times New Roman" w:cs="Times New Roman"/>
          <w:bCs/>
          <w:sz w:val="24"/>
          <w:szCs w:val="24"/>
        </w:rPr>
        <w:t>《规模化畜禽养殖场沼气工程设计规范》中的数据，</w:t>
      </w:r>
      <w:r>
        <w:rPr>
          <w:rFonts w:hint="default" w:ascii="Times New Roman" w:hAnsi="Times New Roman" w:cs="Times New Roman"/>
          <w:sz w:val="24"/>
          <w:szCs w:val="24"/>
        </w:rPr>
        <w:t>厌氧反应器每去除1kgCOD，可产生沼气0.3～0.4m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（理论计算的近似值,本次计算取中间值0.35m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），本项目一年有28333.018m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的废液进入厌氧反应器，沼气产生量约为9916.6m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/a（27.16m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产生的沼气在沼气储气柜经脱硫剂进行脱硫处理后用于职工热水、食堂炉灶所用燃料。沼气属于清洁能源，燃烧后的产污为二氧化碳和水，不会污染环境。根据设计，项目建设1个沼气储气柜，容积占日产量的50%，因此，沼气柜容积为60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，使用不完的沼气储存在沼气柜中备用。</w:t>
      </w:r>
    </w:p>
    <w:p>
      <w:pPr>
        <w:tabs>
          <w:tab w:val="left" w:pos="2220"/>
        </w:tabs>
        <w:spacing w:line="360" w:lineRule="auto"/>
        <w:ind w:firstLine="454"/>
        <w:outlineLvl w:val="3"/>
        <w:rPr>
          <w:rFonts w:hint="default" w:ascii="Times New Roman" w:hAnsi="Times New Roman" w:cs="Times New Roman"/>
          <w:b/>
          <w:bCs/>
          <w:sz w:val="24"/>
          <w:szCs w:val="24"/>
        </w:rPr>
      </w:pPr>
      <w:r>
        <w:rPr>
          <w:rFonts w:hint="default" w:ascii="Times New Roman" w:hAnsi="Times New Roman" w:cs="Times New Roman"/>
          <w:b/>
          <w:bCs/>
          <w:sz w:val="24"/>
          <w:szCs w:val="24"/>
        </w:rPr>
        <w:t>3.2.2.3处理后废水综合利用</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经场内污水处理站处理后的废水用于周边土地施肥，实现资源化利用。在场区建有沼液暂存池，沼液暂存池与消纳土地之间铺设有施肥管网。</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当农田生产灌溉的最大间隔时间和冬季冰封冻期或雨季最长降雨期，土地不能接纳沼液时，沼液储存池能有效防止沼液在当地生产用肥的最大间隔时间、冬季、雨季最长降雨期排放可能造成的土壤污染。按照四川省环境保护厅《2011年四川省规模化畜禽养殖主要污染物减排核查方案》（试行）川环发﹝2011﹞20号文件规定：“沼液贮存设施总容积应满足3个月粪污贮存要求。”</w:t>
      </w:r>
      <w:r>
        <w:rPr>
          <w:rFonts w:hint="default" w:ascii="Times New Roman" w:hAnsi="Times New Roman" w:cs="Times New Roman"/>
          <w:bCs/>
          <w:sz w:val="24"/>
          <w:szCs w:val="24"/>
        </w:rPr>
        <w:t>经计算，本项目沼液储存池容积为8087m</w:t>
      </w:r>
      <w:r>
        <w:rPr>
          <w:rFonts w:hint="default" w:ascii="Times New Roman" w:hAnsi="Times New Roman" w:cs="Times New Roman"/>
          <w:bCs/>
          <w:sz w:val="24"/>
          <w:szCs w:val="24"/>
          <w:vertAlign w:val="superscript"/>
        </w:rPr>
        <w:t>3</w:t>
      </w:r>
      <w:r>
        <w:rPr>
          <w:rFonts w:hint="default" w:ascii="Times New Roman" w:hAnsi="Times New Roman" w:cs="Times New Roman"/>
          <w:bCs/>
          <w:sz w:val="24"/>
          <w:szCs w:val="24"/>
        </w:rPr>
        <w:t>，</w:t>
      </w:r>
      <w:r>
        <w:rPr>
          <w:rFonts w:hint="default" w:ascii="Times New Roman" w:hAnsi="Times New Roman" w:cs="Times New Roman"/>
          <w:sz w:val="24"/>
          <w:szCs w:val="24"/>
        </w:rPr>
        <w:t>能够满足处理后废水90天储存需求。</w:t>
      </w:r>
    </w:p>
    <w:p>
      <w:pPr>
        <w:tabs>
          <w:tab w:val="left" w:pos="2220"/>
        </w:tabs>
        <w:spacing w:line="360" w:lineRule="auto"/>
        <w:ind w:firstLine="454"/>
        <w:outlineLvl w:val="3"/>
        <w:rPr>
          <w:rFonts w:hint="default" w:ascii="Times New Roman" w:hAnsi="Times New Roman" w:cs="Times New Roman"/>
          <w:b/>
          <w:bCs/>
          <w:sz w:val="24"/>
          <w:szCs w:val="24"/>
        </w:rPr>
      </w:pPr>
      <w:bookmarkStart w:id="173" w:name="_Toc371868950"/>
      <w:r>
        <w:rPr>
          <w:rFonts w:hint="default" w:ascii="Times New Roman" w:hAnsi="Times New Roman" w:cs="Times New Roman"/>
          <w:b/>
          <w:bCs/>
          <w:sz w:val="24"/>
          <w:szCs w:val="24"/>
        </w:rPr>
        <w:t>3.2.2.4  病死猪尸处置</w:t>
      </w:r>
      <w:bookmarkEnd w:id="173"/>
    </w:p>
    <w:p>
      <w:pPr>
        <w:pStyle w:val="26"/>
        <w:shd w:val="clear" w:color="auto" w:fill="FFFFFF"/>
        <w:spacing w:line="360" w:lineRule="auto"/>
        <w:ind w:firstLine="480" w:firstLineChars="200"/>
        <w:jc w:val="both"/>
        <w:rPr>
          <w:rFonts w:hint="default" w:ascii="Times New Roman" w:hAnsi="Times New Roman" w:cs="Times New Roman"/>
          <w:bCs/>
          <w:sz w:val="24"/>
          <w:szCs w:val="24"/>
        </w:rPr>
      </w:pPr>
      <w:r>
        <w:rPr>
          <w:rFonts w:hint="default" w:ascii="Times New Roman" w:hAnsi="Times New Roman" w:cs="Times New Roman"/>
          <w:bCs/>
          <w:sz w:val="24"/>
          <w:szCs w:val="24"/>
        </w:rPr>
        <w:t>根据《病死及病害动物无害化处理技术规范》农医发【2017】25号及《乐山市农业局关于病死动物无害化处理实施意见》（乐市农函【2017】111号）要求，在乐山市全市集中无害化处理场建设完成之前，委托成都科农动物无害化处置有限公司对全市病死畜禽进行统一收集处理。</w:t>
      </w:r>
    </w:p>
    <w:p>
      <w:pPr>
        <w:spacing w:line="360" w:lineRule="auto"/>
        <w:ind w:firstLine="482"/>
        <w:outlineLvl w:val="2"/>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3.3.</w:t>
      </w:r>
      <w:r>
        <w:rPr>
          <w:rFonts w:hint="default" w:ascii="Times New Roman" w:hAnsi="Times New Roman" w:cs="Times New Roman"/>
          <w:b/>
          <w:bCs/>
          <w:sz w:val="24"/>
          <w:szCs w:val="24"/>
        </w:rPr>
        <w:t>3</w:t>
      </w:r>
      <w:r>
        <w:rPr>
          <w:rFonts w:hint="default" w:ascii="Times New Roman" w:hAnsi="Times New Roman" w:cs="Times New Roman"/>
          <w:b/>
          <w:bCs/>
          <w:sz w:val="24"/>
          <w:szCs w:val="24"/>
          <w:lang w:val="zh-CN"/>
        </w:rPr>
        <w:t xml:space="preserve"> </w:t>
      </w:r>
      <w:bookmarkEnd w:id="167"/>
      <w:bookmarkEnd w:id="168"/>
      <w:bookmarkEnd w:id="169"/>
      <w:bookmarkEnd w:id="170"/>
      <w:bookmarkEnd w:id="171"/>
      <w:bookmarkStart w:id="174" w:name="_Toc269400662"/>
      <w:r>
        <w:rPr>
          <w:rFonts w:hint="default" w:ascii="Times New Roman" w:hAnsi="Times New Roman" w:cs="Times New Roman"/>
          <w:b/>
          <w:bCs/>
          <w:sz w:val="24"/>
          <w:szCs w:val="24"/>
          <w:lang w:val="zh-CN"/>
        </w:rPr>
        <w:t>运营期主要污染来源及污染因子</w:t>
      </w:r>
    </w:p>
    <w:p>
      <w:pPr>
        <w:spacing w:line="360" w:lineRule="auto"/>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sz w:val="24"/>
          <w:szCs w:val="24"/>
        </w:rPr>
        <w:t xml:space="preserve">  </w:t>
      </w:r>
      <w:r>
        <w:rPr>
          <w:rFonts w:hint="default" w:ascii="Times New Roman" w:hAnsi="Times New Roman" w:cs="Times New Roman"/>
          <w:bCs/>
          <w:sz w:val="24"/>
          <w:szCs w:val="24"/>
        </w:rPr>
        <w:t>项目运营期主要污染工序如下表示：</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表3.3-2  建设项目运营期污染源和污染因子识别表</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849"/>
        <w:gridCol w:w="2002"/>
        <w:gridCol w:w="43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500"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污染源分类</w:t>
            </w: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污染来源</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产污类别</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500" w:type="dxa"/>
            <w:vMerge w:val="restart"/>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废气</w:t>
            </w: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食堂</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餐饮油烟</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油烟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500" w:type="dxa"/>
            <w:vMerge w:val="continue"/>
            <w:vAlign w:val="center"/>
          </w:tcPr>
          <w:p>
            <w:pPr>
              <w:pStyle w:val="45"/>
              <w:jc w:val="center"/>
              <w:rPr>
                <w:rFonts w:hint="default" w:ascii="Times New Roman" w:hAnsi="Times New Roman" w:cs="Times New Roman"/>
                <w:color w:val="000000"/>
                <w:sz w:val="21"/>
                <w:szCs w:val="21"/>
              </w:rPr>
            </w:pP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圈舍</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恶臭</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H</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S、NH</w:t>
            </w:r>
            <w:r>
              <w:rPr>
                <w:rFonts w:hint="default" w:ascii="Times New Roman" w:hAnsi="Times New Roman" w:cs="Times New Roman"/>
                <w:color w:val="000000"/>
                <w:sz w:val="21"/>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500" w:type="dxa"/>
            <w:vMerge w:val="continue"/>
            <w:vAlign w:val="center"/>
          </w:tcPr>
          <w:p>
            <w:pPr>
              <w:pStyle w:val="45"/>
              <w:jc w:val="center"/>
              <w:rPr>
                <w:rFonts w:hint="default" w:ascii="Times New Roman" w:hAnsi="Times New Roman" w:cs="Times New Roman"/>
                <w:color w:val="000000"/>
                <w:sz w:val="21"/>
                <w:szCs w:val="21"/>
              </w:rPr>
            </w:pP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污水处理设施</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恶臭</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H</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S、NH</w:t>
            </w:r>
            <w:r>
              <w:rPr>
                <w:rFonts w:hint="default" w:ascii="Times New Roman" w:hAnsi="Times New Roman" w:cs="Times New Roman"/>
                <w:color w:val="000000"/>
                <w:sz w:val="21"/>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500" w:type="dxa"/>
            <w:vMerge w:val="continue"/>
            <w:vAlign w:val="center"/>
          </w:tcPr>
          <w:p>
            <w:pPr>
              <w:pStyle w:val="45"/>
              <w:jc w:val="center"/>
              <w:rPr>
                <w:rFonts w:hint="default" w:ascii="Times New Roman" w:hAnsi="Times New Roman" w:cs="Times New Roman"/>
                <w:color w:val="000000"/>
                <w:sz w:val="21"/>
                <w:szCs w:val="21"/>
              </w:rPr>
            </w:pP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猪粪暂存间</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恶臭</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H</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S、NH</w:t>
            </w:r>
            <w:r>
              <w:rPr>
                <w:rFonts w:hint="default" w:ascii="Times New Roman" w:hAnsi="Times New Roman" w:cs="Times New Roman"/>
                <w:color w:val="000000"/>
                <w:sz w:val="21"/>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500" w:type="dxa"/>
            <w:vMerge w:val="continue"/>
            <w:vAlign w:val="center"/>
          </w:tcPr>
          <w:p>
            <w:pPr>
              <w:pStyle w:val="45"/>
              <w:jc w:val="center"/>
              <w:rPr>
                <w:rFonts w:hint="default" w:ascii="Times New Roman" w:hAnsi="Times New Roman" w:cs="Times New Roman"/>
                <w:color w:val="000000"/>
                <w:sz w:val="21"/>
                <w:szCs w:val="21"/>
              </w:rPr>
            </w:pP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发电机</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发电机烟尘</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烟尘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1500" w:type="dxa"/>
            <w:vMerge w:val="restart"/>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污水</w:t>
            </w: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员工日常生活</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生活污水</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COD</w:t>
            </w:r>
            <w:r>
              <w:rPr>
                <w:rFonts w:hint="default" w:ascii="Times New Roman" w:hAnsi="Times New Roman" w:cs="Times New Roman"/>
                <w:color w:val="000000"/>
                <w:sz w:val="21"/>
                <w:szCs w:val="21"/>
                <w:vertAlign w:val="subscript"/>
              </w:rPr>
              <w:t>Cr</w:t>
            </w:r>
            <w:r>
              <w:rPr>
                <w:rFonts w:hint="default" w:ascii="Times New Roman" w:hAnsi="Times New Roman" w:cs="Times New Roman"/>
                <w:color w:val="000000"/>
                <w:sz w:val="21"/>
                <w:szCs w:val="21"/>
              </w:rPr>
              <w:t>、BOD</w:t>
            </w:r>
            <w:r>
              <w:rPr>
                <w:rFonts w:hint="default" w:ascii="Times New Roman" w:hAnsi="Times New Roman" w:cs="Times New Roman"/>
                <w:color w:val="000000"/>
                <w:sz w:val="21"/>
                <w:szCs w:val="21"/>
                <w:vertAlign w:val="subscript"/>
              </w:rPr>
              <w:t>5</w:t>
            </w:r>
            <w:r>
              <w:rPr>
                <w:rFonts w:hint="default" w:ascii="Times New Roman" w:hAnsi="Times New Roman" w:cs="Times New Roman"/>
                <w:color w:val="000000"/>
                <w:sz w:val="21"/>
                <w:szCs w:val="21"/>
              </w:rPr>
              <w:t>、SS、氨氮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1500" w:type="dxa"/>
            <w:vMerge w:val="continue"/>
            <w:vAlign w:val="center"/>
          </w:tcPr>
          <w:p>
            <w:pPr>
              <w:pStyle w:val="45"/>
              <w:jc w:val="center"/>
              <w:rPr>
                <w:rFonts w:hint="default" w:ascii="Times New Roman" w:hAnsi="Times New Roman" w:cs="Times New Roman"/>
                <w:color w:val="000000"/>
                <w:sz w:val="21"/>
                <w:szCs w:val="21"/>
              </w:rPr>
            </w:pP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食堂</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餐饮废水</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COD</w:t>
            </w:r>
            <w:r>
              <w:rPr>
                <w:rFonts w:hint="default" w:ascii="Times New Roman" w:hAnsi="Times New Roman" w:cs="Times New Roman"/>
                <w:color w:val="000000"/>
                <w:sz w:val="21"/>
                <w:szCs w:val="21"/>
                <w:vertAlign w:val="subscript"/>
              </w:rPr>
              <w:t>Cr</w:t>
            </w:r>
            <w:r>
              <w:rPr>
                <w:rFonts w:hint="default" w:ascii="Times New Roman" w:hAnsi="Times New Roman" w:cs="Times New Roman"/>
                <w:color w:val="000000"/>
                <w:sz w:val="21"/>
                <w:szCs w:val="21"/>
              </w:rPr>
              <w:t>、BOD</w:t>
            </w:r>
            <w:r>
              <w:rPr>
                <w:rFonts w:hint="default" w:ascii="Times New Roman" w:hAnsi="Times New Roman" w:cs="Times New Roman"/>
                <w:color w:val="000000"/>
                <w:sz w:val="21"/>
                <w:szCs w:val="21"/>
                <w:vertAlign w:val="subscript"/>
              </w:rPr>
              <w:t>5</w:t>
            </w:r>
            <w:r>
              <w:rPr>
                <w:rFonts w:hint="default" w:ascii="Times New Roman" w:hAnsi="Times New Roman" w:cs="Times New Roman"/>
                <w:color w:val="000000"/>
                <w:sz w:val="21"/>
                <w:szCs w:val="21"/>
              </w:rPr>
              <w:t>、SS、氨氮、动植物油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1500" w:type="dxa"/>
            <w:vMerge w:val="continue"/>
            <w:vAlign w:val="center"/>
          </w:tcPr>
          <w:p>
            <w:pPr>
              <w:pStyle w:val="45"/>
              <w:jc w:val="center"/>
              <w:rPr>
                <w:rFonts w:hint="default" w:ascii="Times New Roman" w:hAnsi="Times New Roman" w:cs="Times New Roman"/>
                <w:color w:val="000000"/>
                <w:sz w:val="21"/>
                <w:szCs w:val="21"/>
              </w:rPr>
            </w:pP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圈舍</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养殖废水</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COD</w:t>
            </w:r>
            <w:r>
              <w:rPr>
                <w:rFonts w:hint="default" w:ascii="Times New Roman" w:hAnsi="Times New Roman" w:cs="Times New Roman"/>
                <w:color w:val="000000"/>
                <w:sz w:val="21"/>
                <w:szCs w:val="21"/>
                <w:vertAlign w:val="subscript"/>
              </w:rPr>
              <w:t>Cr</w:t>
            </w:r>
            <w:r>
              <w:rPr>
                <w:rFonts w:hint="default" w:ascii="Times New Roman" w:hAnsi="Times New Roman" w:cs="Times New Roman"/>
                <w:color w:val="000000"/>
                <w:sz w:val="21"/>
                <w:szCs w:val="21"/>
              </w:rPr>
              <w:t>、BOD</w:t>
            </w:r>
            <w:r>
              <w:rPr>
                <w:rFonts w:hint="default" w:ascii="Times New Roman" w:hAnsi="Times New Roman" w:cs="Times New Roman"/>
                <w:color w:val="000000"/>
                <w:sz w:val="21"/>
                <w:szCs w:val="21"/>
                <w:vertAlign w:val="subscript"/>
              </w:rPr>
              <w:t>5</w:t>
            </w:r>
            <w:r>
              <w:rPr>
                <w:rFonts w:hint="default" w:ascii="Times New Roman" w:hAnsi="Times New Roman" w:cs="Times New Roman"/>
                <w:color w:val="000000"/>
                <w:sz w:val="21"/>
                <w:szCs w:val="21"/>
              </w:rPr>
              <w:t>、氨氮、SS、大肠菌群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1500" w:type="dxa"/>
            <w:vMerge w:val="continue"/>
            <w:vAlign w:val="center"/>
          </w:tcPr>
          <w:p>
            <w:pPr>
              <w:pStyle w:val="45"/>
              <w:jc w:val="center"/>
              <w:rPr>
                <w:rFonts w:hint="default" w:ascii="Times New Roman" w:hAnsi="Times New Roman" w:cs="Times New Roman"/>
                <w:color w:val="000000"/>
                <w:sz w:val="21"/>
                <w:szCs w:val="21"/>
              </w:rPr>
            </w:pP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水帘降温</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降温废水</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00" w:type="dxa"/>
            <w:vMerge w:val="restart"/>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噪  声</w:t>
            </w: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设备运行</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设备噪声</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设备噪声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500" w:type="dxa"/>
            <w:vMerge w:val="continue"/>
            <w:vAlign w:val="center"/>
          </w:tcPr>
          <w:p>
            <w:pPr>
              <w:pStyle w:val="45"/>
              <w:jc w:val="center"/>
              <w:rPr>
                <w:rFonts w:hint="default" w:ascii="Times New Roman" w:hAnsi="Times New Roman" w:cs="Times New Roman"/>
                <w:color w:val="000000"/>
                <w:sz w:val="21"/>
                <w:szCs w:val="21"/>
              </w:rPr>
            </w:pP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圈舍</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猪叫</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500" w:type="dxa"/>
            <w:vMerge w:val="restart"/>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固  废</w:t>
            </w: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工作人员</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一般固废</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500" w:type="dxa"/>
            <w:vMerge w:val="continue"/>
            <w:vAlign w:val="center"/>
          </w:tcPr>
          <w:p>
            <w:pPr>
              <w:pStyle w:val="45"/>
              <w:jc w:val="center"/>
              <w:rPr>
                <w:rFonts w:hint="default" w:ascii="Times New Roman" w:hAnsi="Times New Roman" w:cs="Times New Roman"/>
                <w:color w:val="000000"/>
                <w:sz w:val="21"/>
                <w:szCs w:val="21"/>
              </w:rPr>
            </w:pP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圈舍</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一般固废</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病死猪、粪便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500" w:type="dxa"/>
            <w:vMerge w:val="continue"/>
            <w:vAlign w:val="center"/>
          </w:tcPr>
          <w:p>
            <w:pPr>
              <w:pStyle w:val="45"/>
              <w:jc w:val="center"/>
              <w:rPr>
                <w:rFonts w:hint="default" w:ascii="Times New Roman" w:hAnsi="Times New Roman" w:cs="Times New Roman"/>
                <w:color w:val="000000"/>
                <w:sz w:val="21"/>
                <w:szCs w:val="21"/>
              </w:rPr>
            </w:pP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污水处理设施</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一般固废</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500" w:type="dxa"/>
            <w:vMerge w:val="continue"/>
            <w:vAlign w:val="center"/>
          </w:tcPr>
          <w:p>
            <w:pPr>
              <w:pStyle w:val="45"/>
              <w:jc w:val="center"/>
              <w:rPr>
                <w:rFonts w:hint="default" w:ascii="Times New Roman" w:hAnsi="Times New Roman" w:cs="Times New Roman"/>
                <w:color w:val="000000"/>
                <w:sz w:val="21"/>
                <w:szCs w:val="21"/>
              </w:rPr>
            </w:pP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生猪养殖</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一般固废</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废饲料袋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500" w:type="dxa"/>
            <w:vMerge w:val="continue"/>
            <w:vAlign w:val="center"/>
          </w:tcPr>
          <w:p>
            <w:pPr>
              <w:pStyle w:val="45"/>
              <w:jc w:val="center"/>
              <w:rPr>
                <w:rFonts w:hint="default" w:ascii="Times New Roman" w:hAnsi="Times New Roman" w:cs="Times New Roman"/>
                <w:color w:val="000000"/>
                <w:sz w:val="21"/>
                <w:szCs w:val="21"/>
              </w:rPr>
            </w:pP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沼气脱硫</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一般固废</w:t>
            </w:r>
          </w:p>
        </w:tc>
        <w:tc>
          <w:tcPr>
            <w:tcW w:w="4362"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废脱硫剂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500" w:type="dxa"/>
            <w:vMerge w:val="continue"/>
            <w:vAlign w:val="center"/>
          </w:tcPr>
          <w:p>
            <w:pPr>
              <w:pStyle w:val="45"/>
              <w:jc w:val="center"/>
              <w:rPr>
                <w:rFonts w:hint="default" w:ascii="Times New Roman" w:hAnsi="Times New Roman" w:cs="Times New Roman"/>
                <w:color w:val="000000"/>
                <w:sz w:val="21"/>
                <w:szCs w:val="21"/>
              </w:rPr>
            </w:pPr>
          </w:p>
        </w:tc>
        <w:tc>
          <w:tcPr>
            <w:tcW w:w="1849"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防疫</w:t>
            </w:r>
          </w:p>
        </w:tc>
        <w:tc>
          <w:tcPr>
            <w:tcW w:w="200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医疗废物</w:t>
            </w:r>
          </w:p>
        </w:tc>
        <w:tc>
          <w:tcPr>
            <w:tcW w:w="4362" w:type="dxa"/>
            <w:vAlign w:val="center"/>
          </w:tcPr>
          <w:p>
            <w:pPr>
              <w:pStyle w:val="45"/>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废药品包装、针头等</w:t>
            </w:r>
          </w:p>
        </w:tc>
      </w:tr>
      <w:bookmarkEnd w:id="174"/>
    </w:tbl>
    <w:p>
      <w:pPr>
        <w:spacing w:line="360" w:lineRule="auto"/>
        <w:ind w:firstLine="482"/>
        <w:outlineLvl w:val="2"/>
        <w:rPr>
          <w:rFonts w:hint="default" w:ascii="Times New Roman" w:hAnsi="Times New Roman" w:cs="Times New Roman"/>
          <w:b/>
          <w:bCs/>
          <w:sz w:val="24"/>
          <w:szCs w:val="24"/>
          <w:lang w:val="zh-CN"/>
        </w:rPr>
      </w:pPr>
      <w:bookmarkStart w:id="175" w:name="_Toc371868957"/>
      <w:bookmarkStart w:id="176" w:name="_Toc311979930"/>
      <w:bookmarkStart w:id="177" w:name="_Toc311979862"/>
      <w:bookmarkStart w:id="178" w:name="_Toc311979817"/>
      <w:bookmarkStart w:id="179" w:name="_Toc269400717"/>
      <w:r>
        <w:rPr>
          <w:rFonts w:hint="default" w:ascii="Times New Roman" w:hAnsi="Times New Roman" w:cs="Times New Roman"/>
          <w:b/>
          <w:bCs/>
          <w:sz w:val="24"/>
          <w:szCs w:val="24"/>
          <w:lang w:val="zh-CN"/>
        </w:rPr>
        <w:t>3.3.</w:t>
      </w:r>
      <w:r>
        <w:rPr>
          <w:rFonts w:hint="default" w:ascii="Times New Roman" w:hAnsi="Times New Roman" w:cs="Times New Roman"/>
          <w:b/>
          <w:bCs/>
          <w:sz w:val="24"/>
          <w:szCs w:val="24"/>
        </w:rPr>
        <w:t xml:space="preserve">4 </w:t>
      </w:r>
      <w:r>
        <w:rPr>
          <w:rFonts w:hint="default" w:ascii="Times New Roman" w:hAnsi="Times New Roman" w:cs="Times New Roman"/>
          <w:b/>
          <w:bCs/>
          <w:sz w:val="24"/>
          <w:szCs w:val="24"/>
          <w:lang w:val="zh-CN"/>
        </w:rPr>
        <w:t>运营期污染排放及治理措施</w:t>
      </w:r>
    </w:p>
    <w:p>
      <w:pPr>
        <w:spacing w:line="360" w:lineRule="auto"/>
        <w:ind w:firstLine="482"/>
        <w:outlineLvl w:val="3"/>
        <w:rPr>
          <w:rFonts w:hint="default" w:ascii="Times New Roman" w:hAnsi="Times New Roman" w:cs="Times New Roman"/>
          <w:b/>
          <w:bCs/>
          <w:sz w:val="24"/>
          <w:szCs w:val="24"/>
          <w:lang w:val="zh-CN"/>
        </w:rPr>
      </w:pPr>
      <w:r>
        <w:rPr>
          <w:rFonts w:hint="default" w:ascii="Times New Roman" w:hAnsi="Times New Roman" w:cs="Times New Roman"/>
          <w:b/>
          <w:bCs/>
          <w:sz w:val="24"/>
          <w:szCs w:val="24"/>
        </w:rPr>
        <w:t xml:space="preserve">3.3.4.1 </w:t>
      </w:r>
      <w:r>
        <w:rPr>
          <w:rFonts w:hint="default" w:ascii="Times New Roman" w:hAnsi="Times New Roman" w:cs="Times New Roman"/>
          <w:b/>
          <w:bCs/>
          <w:sz w:val="24"/>
          <w:szCs w:val="24"/>
          <w:lang w:val="zh-CN"/>
        </w:rPr>
        <w:t>地表水</w:t>
      </w:r>
      <w:bookmarkEnd w:id="175"/>
      <w:bookmarkEnd w:id="176"/>
      <w:bookmarkEnd w:id="177"/>
      <w:bookmarkEnd w:id="178"/>
      <w:bookmarkEnd w:id="179"/>
      <w:bookmarkStart w:id="180" w:name="_Toc371868958"/>
      <w:bookmarkStart w:id="181" w:name="_Toc311979818"/>
      <w:bookmarkStart w:id="182" w:name="_Toc311979863"/>
      <w:bookmarkStart w:id="183" w:name="_Toc311979931"/>
      <w:bookmarkStart w:id="184" w:name="_Toc269400718"/>
    </w:p>
    <w:p>
      <w:pPr>
        <w:spacing w:line="360" w:lineRule="auto"/>
        <w:ind w:firstLine="482"/>
        <w:rPr>
          <w:rFonts w:hint="default" w:ascii="Times New Roman" w:hAnsi="Times New Roman" w:cs="Times New Roman"/>
          <w:sz w:val="24"/>
          <w:szCs w:val="24"/>
          <w:lang w:val="zh-CN"/>
        </w:rPr>
      </w:pPr>
      <w:r>
        <w:rPr>
          <w:rFonts w:hint="default" w:ascii="Times New Roman" w:hAnsi="Times New Roman" w:cs="Times New Roman"/>
          <w:sz w:val="24"/>
          <w:szCs w:val="24"/>
          <w:lang w:val="zh-CN"/>
        </w:rPr>
        <w:t>雨水，项目四周设置雨水排水边沟，雨水通过边沟汇入东面附近沟渠中，最终流入东面金牛河。项目运营期废水主要源于养殖废水（包括猪饮用、圈舍冲洗产生的废水）、员工日常生活废水、餐饮废水、水帘降温系统废水。</w:t>
      </w:r>
    </w:p>
    <w:p>
      <w:pPr>
        <w:spacing w:line="360" w:lineRule="auto"/>
        <w:ind w:firstLine="482"/>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（1）水帘降温系统废水</w:t>
      </w:r>
    </w:p>
    <w:p>
      <w:pPr>
        <w:pStyle w:val="2"/>
        <w:spacing w:line="360" w:lineRule="auto"/>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color w:val="FF0000"/>
        </w:rPr>
        <w:t xml:space="preserve">   </w:t>
      </w:r>
      <w:r>
        <w:rPr>
          <w:rFonts w:hint="default" w:ascii="Times New Roman" w:hAnsi="Times New Roman" w:cs="Times New Roman"/>
        </w:rPr>
        <w:t>项目降温主要为夏季降温，采取水帘降温系统，夏季按92天计。本项目预计建设圈舍9950m</w:t>
      </w:r>
      <w:r>
        <w:rPr>
          <w:rFonts w:hint="default" w:ascii="Times New Roman" w:hAnsi="Times New Roman" w:cs="Times New Roman"/>
          <w:vertAlign w:val="superscript"/>
        </w:rPr>
        <w:t>2</w:t>
      </w:r>
      <w:r>
        <w:rPr>
          <w:rFonts w:hint="default" w:ascii="Times New Roman" w:hAnsi="Times New Roman" w:cs="Times New Roman"/>
        </w:rPr>
        <w:t>，圈舍日降温用水量预计为12m³。评价要求，在每个圈舍门口设置循环水池（每个容积0.5m³），循环使用不外排。此类用水每天具有一定蒸发损耗量，每天进行新鲜水的补给，总的补给量</w:t>
      </w:r>
      <w:r>
        <w:rPr>
          <w:rFonts w:hint="default" w:ascii="Times New Roman" w:hAnsi="Times New Roman" w:cs="Times New Roman"/>
          <w:color w:val="auto"/>
        </w:rPr>
        <w:t>预计为6m³/d。</w:t>
      </w:r>
    </w:p>
    <w:p>
      <w:pPr>
        <w:spacing w:line="360" w:lineRule="auto"/>
        <w:ind w:firstLine="482"/>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（2）生活污水、餐饮废水及养殖废水</w:t>
      </w:r>
    </w:p>
    <w:p>
      <w:pPr>
        <w:spacing w:line="360" w:lineRule="auto"/>
        <w:ind w:firstLine="482"/>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fldChar w:fldCharType="begin"/>
      </w:r>
      <w:r>
        <w:rPr>
          <w:rFonts w:hint="default" w:ascii="Times New Roman" w:hAnsi="Times New Roman" w:cs="Times New Roman"/>
          <w:b/>
          <w:bCs/>
          <w:sz w:val="24"/>
          <w:szCs w:val="24"/>
          <w:lang w:val="zh-CN"/>
        </w:rPr>
        <w:instrText xml:space="preserve"> = 1 \* GB3 </w:instrText>
      </w:r>
      <w:r>
        <w:rPr>
          <w:rFonts w:hint="default" w:ascii="Times New Roman" w:hAnsi="Times New Roman" w:cs="Times New Roman"/>
          <w:b/>
          <w:bCs/>
          <w:sz w:val="24"/>
          <w:szCs w:val="24"/>
          <w:lang w:val="zh-CN"/>
        </w:rPr>
        <w:fldChar w:fldCharType="separate"/>
      </w:r>
      <w:r>
        <w:rPr>
          <w:rFonts w:hint="default" w:ascii="Times New Roman" w:hAnsi="Times New Roman" w:cs="Times New Roman"/>
          <w:b/>
          <w:bCs/>
          <w:sz w:val="24"/>
          <w:szCs w:val="24"/>
          <w:lang w:val="zh-CN"/>
        </w:rPr>
        <w:t>①</w:t>
      </w:r>
      <w:r>
        <w:rPr>
          <w:rFonts w:hint="default" w:ascii="Times New Roman" w:hAnsi="Times New Roman" w:cs="Times New Roman"/>
          <w:b/>
          <w:bCs/>
          <w:sz w:val="24"/>
          <w:szCs w:val="24"/>
          <w:lang w:val="zh-CN"/>
        </w:rPr>
        <w:fldChar w:fldCharType="end"/>
      </w:r>
      <w:r>
        <w:rPr>
          <w:rFonts w:hint="default" w:ascii="Times New Roman" w:hAnsi="Times New Roman" w:cs="Times New Roman"/>
          <w:b/>
          <w:bCs/>
          <w:sz w:val="24"/>
          <w:szCs w:val="24"/>
          <w:lang w:val="zh-CN"/>
        </w:rPr>
        <w:t>产污情况</w:t>
      </w:r>
    </w:p>
    <w:p>
      <w:pPr>
        <w:spacing w:line="360" w:lineRule="auto"/>
        <w:ind w:firstLine="482"/>
        <w:rPr>
          <w:rFonts w:hint="default" w:ascii="Times New Roman" w:hAnsi="Times New Roman" w:cs="Times New Roman"/>
          <w:sz w:val="24"/>
          <w:szCs w:val="24"/>
        </w:rPr>
      </w:pPr>
      <w:r>
        <w:rPr>
          <w:rFonts w:hint="default" w:ascii="Times New Roman" w:hAnsi="Times New Roman" w:cs="Times New Roman"/>
          <w:b/>
          <w:bCs/>
          <w:sz w:val="24"/>
          <w:szCs w:val="24"/>
          <w:lang w:val="zh-CN"/>
        </w:rPr>
        <w:t>生活污水：</w:t>
      </w:r>
      <w:r>
        <w:rPr>
          <w:rFonts w:hint="default" w:ascii="Times New Roman" w:hAnsi="Times New Roman" w:cs="Times New Roman"/>
          <w:sz w:val="24"/>
          <w:szCs w:val="24"/>
          <w:lang w:val="zh-CN"/>
        </w:rPr>
        <w:t>本项目</w:t>
      </w:r>
      <w:r>
        <w:rPr>
          <w:rFonts w:hint="default" w:ascii="Times New Roman" w:hAnsi="Times New Roman" w:cs="Times New Roman"/>
          <w:sz w:val="24"/>
          <w:szCs w:val="24"/>
        </w:rPr>
        <w:t>有员工20人，其中留宿10人。</w:t>
      </w:r>
      <w:r>
        <w:rPr>
          <w:rFonts w:hint="default" w:ascii="Times New Roman" w:hAnsi="Times New Roman" w:cs="Times New Roman"/>
          <w:color w:val="000000"/>
          <w:sz w:val="24"/>
          <w:szCs w:val="24"/>
        </w:rPr>
        <w:t>参照《四川省用水定额》（修订稿）并结合项目实际情况，不留宿员工用水量按50L/人·d计算，留宿员工用水量按100L/人·d计算。则生活用水量为1.5m³/d，547.5m³/a。产污系数取0.8，则生活污水的产生量为1.2m³/d，438m³/a。其主要污染因子为</w:t>
      </w:r>
      <w:r>
        <w:rPr>
          <w:rFonts w:hint="default" w:ascii="Times New Roman" w:hAnsi="Times New Roman" w:cs="Times New Roman"/>
          <w:sz w:val="24"/>
          <w:szCs w:val="24"/>
        </w:rPr>
        <w:t>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rPr>
        <w:t>、BOD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、SS、氨氮。</w:t>
      </w:r>
    </w:p>
    <w:p>
      <w:pPr>
        <w:spacing w:line="360" w:lineRule="auto"/>
        <w:ind w:firstLine="482"/>
        <w:rPr>
          <w:rFonts w:hint="default" w:ascii="Times New Roman" w:hAnsi="Times New Roman" w:cs="Times New Roman"/>
          <w:sz w:val="24"/>
          <w:szCs w:val="24"/>
        </w:rPr>
      </w:pPr>
      <w:r>
        <w:rPr>
          <w:rFonts w:hint="default" w:ascii="Times New Roman" w:hAnsi="Times New Roman" w:cs="Times New Roman"/>
          <w:b/>
          <w:sz w:val="24"/>
          <w:szCs w:val="24"/>
        </w:rPr>
        <w:t>餐饮废水：</w:t>
      </w:r>
      <w:r>
        <w:rPr>
          <w:rFonts w:hint="default" w:ascii="Times New Roman" w:hAnsi="Times New Roman" w:cs="Times New Roman"/>
          <w:sz w:val="24"/>
          <w:szCs w:val="24"/>
        </w:rPr>
        <w:t>项目设置食堂1座，供工作人员就餐。食堂用水定额按50L/人·d计，全部员工20人均在食堂就餐算，则食堂用水量为1.0m³/d，365m³/a。产污系数取0.8，则餐饮废水的产生量为0.8m³/d，292m³/a。其主要污染因子为COD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rPr>
        <w:t>、BOD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、SS、氨氮、动植物油。</w:t>
      </w:r>
    </w:p>
    <w:p>
      <w:pPr>
        <w:spacing w:line="360" w:lineRule="auto"/>
        <w:ind w:firstLine="482"/>
        <w:rPr>
          <w:rFonts w:hint="default" w:ascii="Times New Roman" w:hAnsi="Times New Roman" w:cs="Times New Roman"/>
          <w:sz w:val="24"/>
          <w:szCs w:val="24"/>
        </w:rPr>
      </w:pPr>
      <w:r>
        <w:rPr>
          <w:rFonts w:hint="default" w:ascii="Times New Roman" w:hAnsi="Times New Roman" w:cs="Times New Roman"/>
          <w:b/>
          <w:sz w:val="24"/>
          <w:szCs w:val="24"/>
        </w:rPr>
        <w:t>养殖废水：</w:t>
      </w:r>
      <w:r>
        <w:rPr>
          <w:rFonts w:hint="default" w:ascii="Times New Roman" w:hAnsi="Times New Roman" w:cs="Times New Roman"/>
          <w:sz w:val="24"/>
          <w:szCs w:val="24"/>
        </w:rPr>
        <w:t>养殖废水包含猪只饮用以及圈舍冲洗。</w:t>
      </w:r>
      <w:r>
        <w:rPr>
          <w:rFonts w:hint="default" w:ascii="Times New Roman" w:hAnsi="Times New Roman" w:cs="Times New Roman"/>
          <w:b/>
          <w:sz w:val="24"/>
          <w:szCs w:val="24"/>
        </w:rPr>
        <w:t>猪舍冲洗用水，</w:t>
      </w:r>
      <w:r>
        <w:rPr>
          <w:rFonts w:hint="default" w:ascii="Times New Roman" w:hAnsi="Times New Roman" w:cs="Times New Roman"/>
          <w:sz w:val="24"/>
          <w:szCs w:val="24"/>
        </w:rPr>
        <w:t>每天对猪舍进行冲洗，冲洗用水量按6L/m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·次计，项目猪舍建筑面积为9950m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，则猪舍冲洗用水量为59.7m³/d。</w:t>
      </w:r>
      <w:r>
        <w:rPr>
          <w:rFonts w:hint="default" w:ascii="Times New Roman" w:hAnsi="Times New Roman" w:cs="Times New Roman"/>
          <w:b/>
          <w:sz w:val="24"/>
          <w:szCs w:val="24"/>
        </w:rPr>
        <w:t>猪只饮用，</w:t>
      </w:r>
      <w:r>
        <w:rPr>
          <w:rFonts w:hint="default" w:ascii="Times New Roman" w:hAnsi="Times New Roman" w:cs="Times New Roman"/>
          <w:sz w:val="24"/>
          <w:szCs w:val="24"/>
        </w:rPr>
        <w:t>猪只饮水量与猪的日龄、生产水品、外界温度、水温、供水方式、饲料种类、饲喂方法及猪的活动量有关。一般猪只冬季饮水量较小，夏季饮水量较大。本项目按冬季猪只饮用水平均5L/头·d，春秋季8L/头·d，夏季12L/头·d。则猪只冬季饮用水量为35m³/d，56m³/d，84m³/d。圈舍冲洗用水产污量为0.85，则圈舍冲洗产污量为50.745m³/d。猪尿的产生量按Y</w:t>
      </w:r>
      <w:r>
        <w:rPr>
          <w:rFonts w:hint="default" w:ascii="Times New Roman" w:hAnsi="Times New Roman" w:cs="Times New Roman"/>
          <w:sz w:val="24"/>
          <w:szCs w:val="24"/>
          <w:vertAlign w:val="subscript"/>
        </w:rPr>
        <w:t>u</w:t>
      </w:r>
      <w:r>
        <w:rPr>
          <w:rFonts w:hint="default" w:ascii="Times New Roman" w:hAnsi="Times New Roman" w:cs="Times New Roman"/>
          <w:sz w:val="24"/>
          <w:szCs w:val="24"/>
        </w:rPr>
        <w:t>=0.025+0.438W（Y</w:t>
      </w:r>
      <w:r>
        <w:rPr>
          <w:rFonts w:hint="default" w:ascii="Times New Roman" w:hAnsi="Times New Roman" w:cs="Times New Roman"/>
          <w:sz w:val="24"/>
          <w:szCs w:val="24"/>
          <w:vertAlign w:val="subscript"/>
        </w:rPr>
        <w:t>u</w:t>
      </w:r>
      <w:r>
        <w:rPr>
          <w:rFonts w:hint="default" w:ascii="Times New Roman" w:hAnsi="Times New Roman" w:cs="Times New Roman"/>
          <w:sz w:val="24"/>
          <w:szCs w:val="24"/>
        </w:rPr>
        <w:t>-排尿量；W-饮水量）计，本项目冬季猪只排尿量平均为2.3L/头·d，合计16.1m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/d；春秋季猪只排尿量平均为3.5L/头·d，合计24.5m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/d；夏季猪只排尿量平均为5.3L/头·d，合计37.1m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夏季92天，冬季91天，春秋季182天。则冬季养殖废水产生量为53.568m³/d，春秋季养殖废水产生量为77.245m³/d，夏季养殖废水的产生量为89.845m³/d。年养殖废水的产生量为28333.018m³/a。此类废水中含有高浓度的COD、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、SS、NH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w:t>
      </w:r>
    </w:p>
    <w:p>
      <w:pPr>
        <w:spacing w:line="360" w:lineRule="auto"/>
        <w:ind w:firstLine="482"/>
        <w:rPr>
          <w:rFonts w:hint="default" w:ascii="Times New Roman" w:hAnsi="Times New Roman" w:cs="Times New Roman"/>
          <w:b/>
          <w:sz w:val="24"/>
          <w:szCs w:val="24"/>
        </w:rPr>
      </w:pP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 2 \* GB3 </w:instrText>
      </w:r>
      <w:r>
        <w:rPr>
          <w:rFonts w:hint="default" w:ascii="Times New Roman" w:hAnsi="Times New Roman" w:cs="Times New Roman"/>
          <w:b/>
          <w:sz w:val="24"/>
          <w:szCs w:val="24"/>
        </w:rPr>
        <w:fldChar w:fldCharType="separate"/>
      </w:r>
      <w:r>
        <w:rPr>
          <w:rFonts w:hint="default" w:ascii="Times New Roman" w:hAnsi="Times New Roman" w:cs="Times New Roman"/>
          <w:b/>
          <w:sz w:val="24"/>
          <w:szCs w:val="24"/>
        </w:rPr>
        <w:t>②</w:t>
      </w:r>
      <w:r>
        <w:rPr>
          <w:rFonts w:hint="default" w:ascii="Times New Roman" w:hAnsi="Times New Roman" w:cs="Times New Roman"/>
          <w:b/>
          <w:sz w:val="24"/>
          <w:szCs w:val="24"/>
        </w:rPr>
        <w:fldChar w:fldCharType="end"/>
      </w:r>
      <w:r>
        <w:rPr>
          <w:rFonts w:hint="default" w:ascii="Times New Roman" w:hAnsi="Times New Roman" w:cs="Times New Roman"/>
          <w:b/>
          <w:sz w:val="24"/>
          <w:szCs w:val="24"/>
        </w:rPr>
        <w:t>拟采取治理措施</w:t>
      </w:r>
    </w:p>
    <w:p>
      <w:pPr>
        <w:spacing w:line="360" w:lineRule="auto"/>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雨水：</w:t>
      </w:r>
    </w:p>
    <w:p>
      <w:pPr>
        <w:spacing w:line="360" w:lineRule="auto"/>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本项目实施雨污分流，雨水经养殖场内雨水沟渠收集后进入场外排洪渠。</w:t>
      </w:r>
    </w:p>
    <w:p>
      <w:pPr>
        <w:spacing w:line="360" w:lineRule="auto"/>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污水：</w:t>
      </w:r>
    </w:p>
    <w:p>
      <w:pPr>
        <w:spacing w:line="360" w:lineRule="auto"/>
        <w:ind w:firstLine="482"/>
        <w:rPr>
          <w:rFonts w:hint="default" w:ascii="Times New Roman" w:hAnsi="Times New Roman" w:cs="Times New Roman"/>
          <w:sz w:val="24"/>
          <w:szCs w:val="24"/>
        </w:rPr>
      </w:pPr>
      <w:r>
        <w:rPr>
          <w:rFonts w:hint="default" w:ascii="Times New Roman" w:hAnsi="Times New Roman" w:cs="Times New Roman"/>
          <w:sz w:val="24"/>
          <w:szCs w:val="24"/>
        </w:rPr>
        <w:t>根据业主提供的资料，本项目清粪工艺采用全漏缝板自动清粪工艺，原理是猪舍内产生的粪尿依靠重力进入缝隙地板下的收集池，在缝隙地板下设一斜坡，使固液立即进行干湿分离，分离出的固体粪渣采用自动刮粪机每天清粪，暂存于猪粪暂存间，外售给夹江县果香四季家庭农场用作有机肥。分离出的污水通过管道排入配套的污水处理站进行处理。</w:t>
      </w:r>
    </w:p>
    <w:p>
      <w:pPr>
        <w:spacing w:line="360" w:lineRule="auto"/>
        <w:ind w:firstLine="482"/>
        <w:rPr>
          <w:rFonts w:hint="default" w:ascii="Times New Roman" w:hAnsi="Times New Roman" w:cs="Times New Roman"/>
          <w:sz w:val="24"/>
          <w:szCs w:val="24"/>
        </w:rPr>
      </w:pPr>
      <w:r>
        <w:rPr>
          <w:rFonts w:hint="default" w:ascii="Times New Roman" w:hAnsi="Times New Roman" w:cs="Times New Roman"/>
          <w:sz w:val="24"/>
          <w:szCs w:val="24"/>
        </w:rPr>
        <w:t>项目产生的餐饮废水经隔油池隔油处理后同养殖废水、生活污水排入拟建的污水处理站（粪污收集池+集水池+固液分离+调节酸化池+沼气池+好氧池+沉淀池+消毒+沼液暂存池（兼事故应急池），处理能力90m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/d）处理达标后暂存于位于场址西面的储液池内（在养殖场西南角建设1个容积为不低于8087m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的沼液暂存池，用于周边1523亩耕地施肥，不外排，污水处理工艺见图3.3-6。</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本项目采用干清粪工艺，根据《</w:t>
      </w:r>
      <w:bookmarkStart w:id="185" w:name="OLE_LINK1"/>
      <w:bookmarkStart w:id="186" w:name="OLE_LINK2"/>
      <w:r>
        <w:rPr>
          <w:rFonts w:hint="default" w:ascii="Times New Roman" w:hAnsi="Times New Roman" w:cs="Times New Roman"/>
          <w:sz w:val="24"/>
        </w:rPr>
        <w:t>畜禽养殖业污染治理工程技术规范</w:t>
      </w:r>
      <w:bookmarkEnd w:id="185"/>
      <w:bookmarkEnd w:id="186"/>
      <w:r>
        <w:rPr>
          <w:rFonts w:hint="default" w:ascii="Times New Roman" w:hAnsi="Times New Roman" w:cs="Times New Roman"/>
          <w:sz w:val="24"/>
        </w:rPr>
        <w:t>》（HJ497-2009）中附录A和</w:t>
      </w:r>
      <w:r>
        <w:rPr>
          <w:rFonts w:hint="default" w:ascii="Times New Roman" w:hAnsi="Times New Roman" w:cs="Times New Roman"/>
          <w:kern w:val="0"/>
          <w:sz w:val="24"/>
        </w:rPr>
        <w:t>经对乐山市其它养殖场废水产生的调查分析</w:t>
      </w:r>
      <w:r>
        <w:rPr>
          <w:rFonts w:hint="default" w:ascii="Times New Roman" w:hAnsi="Times New Roman" w:cs="Times New Roman"/>
          <w:sz w:val="24"/>
        </w:rPr>
        <w:t>，本项目生活污水和养殖废水混合后的综合废水产生浓度见表3.3-3。</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表3.3-3  综合废水污染物产生情况</w:t>
      </w:r>
    </w:p>
    <w:tbl>
      <w:tblPr>
        <w:tblStyle w:val="33"/>
        <w:tblW w:w="965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43"/>
        <w:gridCol w:w="1394"/>
        <w:gridCol w:w="1426"/>
        <w:gridCol w:w="1148"/>
        <w:gridCol w:w="1224"/>
        <w:gridCol w:w="933"/>
        <w:gridCol w:w="1147"/>
        <w:gridCol w:w="11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7" w:hRule="atLeast"/>
          <w:jc w:val="center"/>
        </w:trPr>
        <w:tc>
          <w:tcPr>
            <w:tcW w:w="1243"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废水种类</w:t>
            </w:r>
          </w:p>
        </w:tc>
        <w:tc>
          <w:tcPr>
            <w:tcW w:w="139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废水量（m</w:t>
            </w:r>
            <w:r>
              <w:rPr>
                <w:rFonts w:hint="default" w:ascii="Times New Roman" w:hAnsi="Times New Roman" w:cs="Times New Roman"/>
                <w:szCs w:val="21"/>
                <w:vertAlign w:val="superscript"/>
              </w:rPr>
              <w:t>3</w:t>
            </w:r>
            <w:r>
              <w:rPr>
                <w:rFonts w:hint="default" w:ascii="Times New Roman" w:hAnsi="Times New Roman" w:cs="Times New Roman"/>
                <w:szCs w:val="21"/>
              </w:rPr>
              <w:t>/a）</w:t>
            </w:r>
          </w:p>
        </w:tc>
        <w:tc>
          <w:tcPr>
            <w:tcW w:w="142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产生情况</w:t>
            </w:r>
          </w:p>
        </w:tc>
        <w:tc>
          <w:tcPr>
            <w:tcW w:w="1148"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COD</w:t>
            </w:r>
          </w:p>
        </w:tc>
        <w:tc>
          <w:tcPr>
            <w:tcW w:w="1224"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BOD</w:t>
            </w:r>
            <w:r>
              <w:rPr>
                <w:rFonts w:hint="default" w:ascii="Times New Roman" w:hAnsi="Times New Roman" w:cs="Times New Roman"/>
                <w:b/>
                <w:bCs/>
                <w:szCs w:val="21"/>
                <w:vertAlign w:val="subscript"/>
              </w:rPr>
              <w:t>5</w:t>
            </w:r>
          </w:p>
        </w:tc>
        <w:tc>
          <w:tcPr>
            <w:tcW w:w="933"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SS</w:t>
            </w:r>
          </w:p>
        </w:tc>
        <w:tc>
          <w:tcPr>
            <w:tcW w:w="1147"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NH</w:t>
            </w:r>
            <w:r>
              <w:rPr>
                <w:rFonts w:hint="default" w:ascii="Times New Roman" w:hAnsi="Times New Roman" w:cs="Times New Roman"/>
                <w:b/>
                <w:bCs/>
                <w:szCs w:val="21"/>
                <w:vertAlign w:val="subscript"/>
              </w:rPr>
              <w:t>3</w:t>
            </w:r>
            <w:r>
              <w:rPr>
                <w:rFonts w:hint="default" w:ascii="Times New Roman" w:hAnsi="Times New Roman" w:cs="Times New Roman"/>
                <w:b/>
                <w:bCs/>
                <w:szCs w:val="21"/>
              </w:rPr>
              <w:t>-N</w:t>
            </w:r>
          </w:p>
        </w:tc>
        <w:tc>
          <w:tcPr>
            <w:tcW w:w="1141"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36" w:hRule="atLeast"/>
          <w:jc w:val="center"/>
        </w:trPr>
        <w:tc>
          <w:tcPr>
            <w:tcW w:w="1243"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养殖废水</w:t>
            </w:r>
          </w:p>
        </w:tc>
        <w:tc>
          <w:tcPr>
            <w:tcW w:w="1394"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28333.018</w:t>
            </w:r>
          </w:p>
        </w:tc>
        <w:tc>
          <w:tcPr>
            <w:tcW w:w="142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浓度（mg/L）</w:t>
            </w:r>
          </w:p>
        </w:tc>
        <w:tc>
          <w:tcPr>
            <w:tcW w:w="114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2640</w:t>
            </w:r>
          </w:p>
        </w:tc>
        <w:tc>
          <w:tcPr>
            <w:tcW w:w="12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1348</w:t>
            </w:r>
          </w:p>
        </w:tc>
        <w:tc>
          <w:tcPr>
            <w:tcW w:w="9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800</w:t>
            </w:r>
          </w:p>
        </w:tc>
        <w:tc>
          <w:tcPr>
            <w:tcW w:w="114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261</w:t>
            </w:r>
          </w:p>
        </w:tc>
        <w:tc>
          <w:tcPr>
            <w:tcW w:w="114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36" w:hRule="atLeast"/>
          <w:jc w:val="center"/>
        </w:trPr>
        <w:tc>
          <w:tcPr>
            <w:tcW w:w="1243" w:type="dxa"/>
            <w:vMerge w:val="continue"/>
            <w:vAlign w:val="center"/>
          </w:tcPr>
          <w:p>
            <w:pPr>
              <w:adjustRightInd w:val="0"/>
              <w:snapToGrid w:val="0"/>
              <w:jc w:val="center"/>
              <w:rPr>
                <w:rFonts w:hint="default" w:ascii="Times New Roman" w:hAnsi="Times New Roman" w:cs="Times New Roman"/>
                <w:szCs w:val="21"/>
              </w:rPr>
            </w:pPr>
          </w:p>
        </w:tc>
        <w:tc>
          <w:tcPr>
            <w:tcW w:w="1394" w:type="dxa"/>
            <w:vMerge w:val="continue"/>
            <w:vAlign w:val="center"/>
          </w:tcPr>
          <w:p>
            <w:pPr>
              <w:adjustRightInd w:val="0"/>
              <w:snapToGrid w:val="0"/>
              <w:jc w:val="center"/>
              <w:rPr>
                <w:rFonts w:hint="default" w:ascii="Times New Roman" w:hAnsi="Times New Roman" w:cs="Times New Roman"/>
                <w:szCs w:val="21"/>
              </w:rPr>
            </w:pPr>
          </w:p>
        </w:tc>
        <w:tc>
          <w:tcPr>
            <w:tcW w:w="142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产生量（t/a）</w:t>
            </w:r>
          </w:p>
        </w:tc>
        <w:tc>
          <w:tcPr>
            <w:tcW w:w="114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74.80</w:t>
            </w:r>
          </w:p>
        </w:tc>
        <w:tc>
          <w:tcPr>
            <w:tcW w:w="12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38.19</w:t>
            </w:r>
          </w:p>
        </w:tc>
        <w:tc>
          <w:tcPr>
            <w:tcW w:w="9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22.67</w:t>
            </w:r>
          </w:p>
        </w:tc>
        <w:tc>
          <w:tcPr>
            <w:tcW w:w="114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7.39</w:t>
            </w:r>
          </w:p>
        </w:tc>
        <w:tc>
          <w:tcPr>
            <w:tcW w:w="114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87" w:hRule="atLeast"/>
          <w:jc w:val="center"/>
        </w:trPr>
        <w:tc>
          <w:tcPr>
            <w:tcW w:w="1243"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生活污水（餐饮废水）</w:t>
            </w:r>
          </w:p>
        </w:tc>
        <w:tc>
          <w:tcPr>
            <w:tcW w:w="1394"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730</w:t>
            </w:r>
          </w:p>
        </w:tc>
        <w:tc>
          <w:tcPr>
            <w:tcW w:w="142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浓度（mg/L）</w:t>
            </w:r>
          </w:p>
        </w:tc>
        <w:tc>
          <w:tcPr>
            <w:tcW w:w="114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350</w:t>
            </w:r>
          </w:p>
        </w:tc>
        <w:tc>
          <w:tcPr>
            <w:tcW w:w="12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250</w:t>
            </w:r>
          </w:p>
        </w:tc>
        <w:tc>
          <w:tcPr>
            <w:tcW w:w="9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300</w:t>
            </w:r>
          </w:p>
        </w:tc>
        <w:tc>
          <w:tcPr>
            <w:tcW w:w="114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30</w:t>
            </w:r>
          </w:p>
        </w:tc>
        <w:tc>
          <w:tcPr>
            <w:tcW w:w="114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36" w:hRule="atLeast"/>
          <w:jc w:val="center"/>
        </w:trPr>
        <w:tc>
          <w:tcPr>
            <w:tcW w:w="1243" w:type="dxa"/>
            <w:vMerge w:val="continue"/>
            <w:vAlign w:val="center"/>
          </w:tcPr>
          <w:p>
            <w:pPr>
              <w:adjustRightInd w:val="0"/>
              <w:snapToGrid w:val="0"/>
              <w:jc w:val="center"/>
              <w:rPr>
                <w:rFonts w:hint="default" w:ascii="Times New Roman" w:hAnsi="Times New Roman" w:cs="Times New Roman"/>
                <w:szCs w:val="21"/>
              </w:rPr>
            </w:pPr>
          </w:p>
        </w:tc>
        <w:tc>
          <w:tcPr>
            <w:tcW w:w="1394" w:type="dxa"/>
            <w:vMerge w:val="continue"/>
            <w:vAlign w:val="center"/>
          </w:tcPr>
          <w:p>
            <w:pPr>
              <w:adjustRightInd w:val="0"/>
              <w:snapToGrid w:val="0"/>
              <w:jc w:val="center"/>
              <w:rPr>
                <w:rFonts w:hint="default" w:ascii="Times New Roman" w:hAnsi="Times New Roman" w:cs="Times New Roman"/>
                <w:szCs w:val="21"/>
              </w:rPr>
            </w:pPr>
          </w:p>
        </w:tc>
        <w:tc>
          <w:tcPr>
            <w:tcW w:w="142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产生量（t/a）</w:t>
            </w:r>
          </w:p>
        </w:tc>
        <w:tc>
          <w:tcPr>
            <w:tcW w:w="114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0.26</w:t>
            </w:r>
          </w:p>
        </w:tc>
        <w:tc>
          <w:tcPr>
            <w:tcW w:w="12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0.18</w:t>
            </w:r>
          </w:p>
        </w:tc>
        <w:tc>
          <w:tcPr>
            <w:tcW w:w="9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0.22</w:t>
            </w:r>
          </w:p>
        </w:tc>
        <w:tc>
          <w:tcPr>
            <w:tcW w:w="114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0.02</w:t>
            </w:r>
          </w:p>
        </w:tc>
        <w:tc>
          <w:tcPr>
            <w:tcW w:w="114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78" w:hRule="atLeast"/>
          <w:jc w:val="center"/>
        </w:trPr>
        <w:tc>
          <w:tcPr>
            <w:tcW w:w="1243"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混合污水</w:t>
            </w:r>
          </w:p>
        </w:tc>
        <w:tc>
          <w:tcPr>
            <w:tcW w:w="1394"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29063.018</w:t>
            </w:r>
          </w:p>
        </w:tc>
        <w:tc>
          <w:tcPr>
            <w:tcW w:w="142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浓度（mg/L）</w:t>
            </w:r>
          </w:p>
        </w:tc>
        <w:tc>
          <w:tcPr>
            <w:tcW w:w="114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2582.48</w:t>
            </w:r>
          </w:p>
        </w:tc>
        <w:tc>
          <w:tcPr>
            <w:tcW w:w="12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1320.42</w:t>
            </w:r>
          </w:p>
        </w:tc>
        <w:tc>
          <w:tcPr>
            <w:tcW w:w="9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787.44</w:t>
            </w:r>
          </w:p>
        </w:tc>
        <w:tc>
          <w:tcPr>
            <w:tcW w:w="114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255.20</w:t>
            </w:r>
          </w:p>
        </w:tc>
        <w:tc>
          <w:tcPr>
            <w:tcW w:w="114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42.63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1" w:hRule="atLeast"/>
          <w:jc w:val="center"/>
        </w:trPr>
        <w:tc>
          <w:tcPr>
            <w:tcW w:w="1243" w:type="dxa"/>
            <w:vMerge w:val="continue"/>
            <w:vAlign w:val="center"/>
          </w:tcPr>
          <w:p>
            <w:pPr>
              <w:adjustRightInd w:val="0"/>
              <w:snapToGrid w:val="0"/>
              <w:jc w:val="center"/>
              <w:rPr>
                <w:rFonts w:hint="default" w:ascii="Times New Roman" w:hAnsi="Times New Roman" w:cs="Times New Roman"/>
                <w:szCs w:val="21"/>
              </w:rPr>
            </w:pPr>
          </w:p>
        </w:tc>
        <w:tc>
          <w:tcPr>
            <w:tcW w:w="1394" w:type="dxa"/>
            <w:vMerge w:val="continue"/>
            <w:vAlign w:val="center"/>
          </w:tcPr>
          <w:p>
            <w:pPr>
              <w:adjustRightInd w:val="0"/>
              <w:snapToGrid w:val="0"/>
              <w:jc w:val="center"/>
              <w:rPr>
                <w:rFonts w:hint="default" w:ascii="Times New Roman" w:hAnsi="Times New Roman" w:cs="Times New Roman"/>
                <w:szCs w:val="21"/>
              </w:rPr>
            </w:pPr>
          </w:p>
        </w:tc>
        <w:tc>
          <w:tcPr>
            <w:tcW w:w="142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产生量（t/a）</w:t>
            </w:r>
          </w:p>
        </w:tc>
        <w:tc>
          <w:tcPr>
            <w:tcW w:w="114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75.05</w:t>
            </w:r>
          </w:p>
        </w:tc>
        <w:tc>
          <w:tcPr>
            <w:tcW w:w="122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39.39</w:t>
            </w:r>
          </w:p>
        </w:tc>
        <w:tc>
          <w:tcPr>
            <w:tcW w:w="93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22.89</w:t>
            </w:r>
          </w:p>
        </w:tc>
        <w:tc>
          <w:tcPr>
            <w:tcW w:w="114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7.42</w:t>
            </w:r>
          </w:p>
        </w:tc>
        <w:tc>
          <w:tcPr>
            <w:tcW w:w="114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1.24</w:t>
            </w:r>
          </w:p>
        </w:tc>
      </w:tr>
    </w:tbl>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本项目修建的用于处理施肥沼液的污水处理系统预计处理效率分析如下表3.3-4，项目废水经处理后排放情况见表3.3-5。</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表3.3-4  污水处理系统各单元处理效率分析</w:t>
      </w:r>
    </w:p>
    <w:tbl>
      <w:tblPr>
        <w:tblStyle w:val="33"/>
        <w:tblW w:w="968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83"/>
        <w:gridCol w:w="2285"/>
        <w:gridCol w:w="1091"/>
        <w:gridCol w:w="1185"/>
        <w:gridCol w:w="1184"/>
        <w:gridCol w:w="1184"/>
        <w:gridCol w:w="11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处理单元</w:t>
            </w: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指标</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CODcr</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BOD</w:t>
            </w:r>
            <w:r>
              <w:rPr>
                <w:rFonts w:hint="default" w:ascii="Times New Roman" w:hAnsi="Times New Roman" w:cs="Times New Roman"/>
                <w:kern w:val="0"/>
                <w:szCs w:val="21"/>
                <w:vertAlign w:val="subscript"/>
              </w:rPr>
              <w:t>5</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SS</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氨氮</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粪污收集池</w:t>
            </w: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进水(mg/L)</w:t>
            </w:r>
          </w:p>
        </w:tc>
        <w:tc>
          <w:tcPr>
            <w:tcW w:w="1091"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2582.48</w:t>
            </w:r>
          </w:p>
        </w:tc>
        <w:tc>
          <w:tcPr>
            <w:tcW w:w="1185"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1320.42</w:t>
            </w:r>
          </w:p>
        </w:tc>
        <w:tc>
          <w:tcPr>
            <w:tcW w:w="118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787.44</w:t>
            </w:r>
          </w:p>
        </w:tc>
        <w:tc>
          <w:tcPr>
            <w:tcW w:w="118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255.20</w:t>
            </w:r>
          </w:p>
        </w:tc>
        <w:tc>
          <w:tcPr>
            <w:tcW w:w="117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42.63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1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出水(mg/L)</w:t>
            </w:r>
          </w:p>
        </w:tc>
        <w:tc>
          <w:tcPr>
            <w:tcW w:w="1091"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2582.48</w:t>
            </w:r>
          </w:p>
        </w:tc>
        <w:tc>
          <w:tcPr>
            <w:tcW w:w="1185"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1320.42</w:t>
            </w:r>
          </w:p>
        </w:tc>
        <w:tc>
          <w:tcPr>
            <w:tcW w:w="118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787.44</w:t>
            </w:r>
          </w:p>
        </w:tc>
        <w:tc>
          <w:tcPr>
            <w:tcW w:w="118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255.20</w:t>
            </w:r>
          </w:p>
        </w:tc>
        <w:tc>
          <w:tcPr>
            <w:tcW w:w="117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42.63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去除率%</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74" w:type="dxa"/>
            <w:vAlign w:val="center"/>
          </w:tcPr>
          <w:p>
            <w:pPr>
              <w:widowControl/>
              <w:jc w:val="center"/>
              <w:rPr>
                <w:rFonts w:hint="default"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restart"/>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集水池</w:t>
            </w: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进水(mg/L)</w:t>
            </w:r>
          </w:p>
        </w:tc>
        <w:tc>
          <w:tcPr>
            <w:tcW w:w="1091"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2582.48</w:t>
            </w:r>
          </w:p>
        </w:tc>
        <w:tc>
          <w:tcPr>
            <w:tcW w:w="1185"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1320.42</w:t>
            </w:r>
          </w:p>
        </w:tc>
        <w:tc>
          <w:tcPr>
            <w:tcW w:w="118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787.44</w:t>
            </w:r>
          </w:p>
        </w:tc>
        <w:tc>
          <w:tcPr>
            <w:tcW w:w="118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255.20</w:t>
            </w:r>
          </w:p>
        </w:tc>
        <w:tc>
          <w:tcPr>
            <w:tcW w:w="11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42.63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出水(mg/L)</w:t>
            </w:r>
          </w:p>
        </w:tc>
        <w:tc>
          <w:tcPr>
            <w:tcW w:w="1091"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2582.48</w:t>
            </w:r>
          </w:p>
        </w:tc>
        <w:tc>
          <w:tcPr>
            <w:tcW w:w="1185"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1320.42</w:t>
            </w:r>
          </w:p>
        </w:tc>
        <w:tc>
          <w:tcPr>
            <w:tcW w:w="118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787.44</w:t>
            </w:r>
          </w:p>
        </w:tc>
        <w:tc>
          <w:tcPr>
            <w:tcW w:w="118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255.20</w:t>
            </w:r>
          </w:p>
        </w:tc>
        <w:tc>
          <w:tcPr>
            <w:tcW w:w="11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42.63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去除率%</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74" w:type="dxa"/>
            <w:vAlign w:val="center"/>
          </w:tcPr>
          <w:p>
            <w:pPr>
              <w:widowControl/>
              <w:jc w:val="center"/>
              <w:rPr>
                <w:rFonts w:hint="default"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固液分离机</w:t>
            </w: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进水(mg/L)</w:t>
            </w:r>
          </w:p>
        </w:tc>
        <w:tc>
          <w:tcPr>
            <w:tcW w:w="1091"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2582.48</w:t>
            </w:r>
          </w:p>
        </w:tc>
        <w:tc>
          <w:tcPr>
            <w:tcW w:w="1185"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1320.42</w:t>
            </w:r>
          </w:p>
        </w:tc>
        <w:tc>
          <w:tcPr>
            <w:tcW w:w="118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787.44</w:t>
            </w:r>
          </w:p>
        </w:tc>
        <w:tc>
          <w:tcPr>
            <w:tcW w:w="118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255.20</w:t>
            </w:r>
          </w:p>
        </w:tc>
        <w:tc>
          <w:tcPr>
            <w:tcW w:w="11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42.63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出水(mg/L)</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2324.23</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1188.38</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551.21</w:t>
            </w:r>
          </w:p>
        </w:tc>
        <w:tc>
          <w:tcPr>
            <w:tcW w:w="118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255.20</w:t>
            </w:r>
          </w:p>
        </w:tc>
        <w:tc>
          <w:tcPr>
            <w:tcW w:w="11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42.63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去除率%</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30</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调节酸化池</w:t>
            </w: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进水(mg/L)</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2324.23</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1188.38</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551.21</w:t>
            </w:r>
          </w:p>
        </w:tc>
        <w:tc>
          <w:tcPr>
            <w:tcW w:w="1184" w:type="dxa"/>
            <w:vAlign w:val="center"/>
          </w:tcPr>
          <w:p>
            <w:pPr>
              <w:jc w:val="center"/>
              <w:rPr>
                <w:rFonts w:hint="default" w:ascii="Times New Roman" w:hAnsi="Times New Roman" w:cs="Times New Roman"/>
                <w:kern w:val="0"/>
                <w:szCs w:val="21"/>
              </w:rPr>
            </w:pPr>
            <w:r>
              <w:rPr>
                <w:rFonts w:hint="default" w:ascii="Times New Roman" w:hAnsi="Times New Roman" w:cs="Times New Roman"/>
                <w:szCs w:val="21"/>
              </w:rPr>
              <w:t>255.20</w:t>
            </w:r>
          </w:p>
        </w:tc>
        <w:tc>
          <w:tcPr>
            <w:tcW w:w="117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42.63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出水(mg/L)</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1394.54</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713.03</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275.61</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255.20</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42.63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去除率%</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40</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40</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50</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黑膜沼气池</w:t>
            </w: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进水(mg/L)</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1394.54</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713.03</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275.61</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255.20</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42.63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出水(mg/L)</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418.36</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213.91</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137.81</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255.20</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42.63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去除率%</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70</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70</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50</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接触氧化池</w:t>
            </w: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进水(mg/L)</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418.36</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213.91</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137.81</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Cs w:val="21"/>
              </w:rPr>
              <w:t>255.20</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42.63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出水(mg/L)</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125.51</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64.17</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68.91</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51.04</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去除率%</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70</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70</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50</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80</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jc w:val="center"/>
        </w:trPr>
        <w:tc>
          <w:tcPr>
            <w:tcW w:w="1583"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二沉池</w:t>
            </w: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进水(mg/L)</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125.51</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64.17</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68.91</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51.04</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出水(mg/L)</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100.41</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51.34</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55.13</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51.04</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去除率%</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储存池</w:t>
            </w: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进水(mg/L)</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100.41</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51.34</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55.13</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51.04</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出水(mg/L)</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100.41</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51.34</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55.13</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51.04</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1583" w:type="dxa"/>
            <w:vMerge w:val="continue"/>
            <w:vAlign w:val="center"/>
          </w:tcPr>
          <w:p>
            <w:pPr>
              <w:widowControl/>
              <w:jc w:val="center"/>
              <w:rPr>
                <w:rFonts w:hint="default" w:ascii="Times New Roman" w:hAnsi="Times New Roman" w:cs="Times New Roman"/>
                <w:kern w:val="0"/>
                <w:szCs w:val="21"/>
              </w:rPr>
            </w:pP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去除率%</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8" w:hRule="atLeast"/>
          <w:jc w:val="center"/>
        </w:trPr>
        <w:tc>
          <w:tcPr>
            <w:tcW w:w="1583"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出水标准</w:t>
            </w:r>
          </w:p>
        </w:tc>
        <w:tc>
          <w:tcPr>
            <w:tcW w:w="2285"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《农田灌溉水质标准》（GB5084-2005）</w:t>
            </w:r>
          </w:p>
        </w:tc>
        <w:tc>
          <w:tcPr>
            <w:tcW w:w="1091"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b/>
                <w:kern w:val="0"/>
                <w:szCs w:val="21"/>
              </w:rPr>
              <w:t>200</w:t>
            </w:r>
          </w:p>
        </w:tc>
        <w:tc>
          <w:tcPr>
            <w:tcW w:w="1185"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100</w:t>
            </w:r>
          </w:p>
        </w:tc>
        <w:tc>
          <w:tcPr>
            <w:tcW w:w="1184" w:type="dxa"/>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100</w:t>
            </w:r>
          </w:p>
        </w:tc>
        <w:tc>
          <w:tcPr>
            <w:tcW w:w="118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174" w:type="dxa"/>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bl>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表3.3-5  本项目废水水质情况</w:t>
      </w:r>
    </w:p>
    <w:tbl>
      <w:tblPr>
        <w:tblStyle w:val="33"/>
        <w:tblW w:w="965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43"/>
        <w:gridCol w:w="1394"/>
        <w:gridCol w:w="1923"/>
        <w:gridCol w:w="914"/>
        <w:gridCol w:w="1118"/>
        <w:gridCol w:w="927"/>
        <w:gridCol w:w="996"/>
        <w:gridCol w:w="11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87" w:hRule="atLeast"/>
          <w:jc w:val="center"/>
        </w:trPr>
        <w:tc>
          <w:tcPr>
            <w:tcW w:w="1243"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废水种类</w:t>
            </w:r>
          </w:p>
        </w:tc>
        <w:tc>
          <w:tcPr>
            <w:tcW w:w="139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废水量（m</w:t>
            </w:r>
            <w:r>
              <w:rPr>
                <w:rFonts w:hint="default" w:ascii="Times New Roman" w:hAnsi="Times New Roman" w:cs="Times New Roman"/>
                <w:szCs w:val="21"/>
                <w:vertAlign w:val="superscript"/>
              </w:rPr>
              <w:t>3</w:t>
            </w:r>
            <w:r>
              <w:rPr>
                <w:rFonts w:hint="default" w:ascii="Times New Roman" w:hAnsi="Times New Roman" w:cs="Times New Roman"/>
                <w:szCs w:val="21"/>
              </w:rPr>
              <w:t>/a）</w:t>
            </w:r>
          </w:p>
        </w:tc>
        <w:tc>
          <w:tcPr>
            <w:tcW w:w="1923"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产生情况</w:t>
            </w:r>
          </w:p>
        </w:tc>
        <w:tc>
          <w:tcPr>
            <w:tcW w:w="914"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COD</w:t>
            </w:r>
          </w:p>
        </w:tc>
        <w:tc>
          <w:tcPr>
            <w:tcW w:w="1118"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BOD</w:t>
            </w:r>
            <w:r>
              <w:rPr>
                <w:rFonts w:hint="default" w:ascii="Times New Roman" w:hAnsi="Times New Roman" w:cs="Times New Roman"/>
                <w:b/>
                <w:bCs/>
                <w:szCs w:val="21"/>
                <w:vertAlign w:val="subscript"/>
              </w:rPr>
              <w:t>5</w:t>
            </w:r>
          </w:p>
        </w:tc>
        <w:tc>
          <w:tcPr>
            <w:tcW w:w="927"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SS</w:t>
            </w:r>
          </w:p>
        </w:tc>
        <w:tc>
          <w:tcPr>
            <w:tcW w:w="996"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NH</w:t>
            </w:r>
            <w:r>
              <w:rPr>
                <w:rFonts w:hint="default" w:ascii="Times New Roman" w:hAnsi="Times New Roman" w:cs="Times New Roman"/>
                <w:b/>
                <w:bCs/>
                <w:szCs w:val="21"/>
                <w:vertAlign w:val="subscript"/>
              </w:rPr>
              <w:t>3</w:t>
            </w:r>
            <w:r>
              <w:rPr>
                <w:rFonts w:hint="default" w:ascii="Times New Roman" w:hAnsi="Times New Roman" w:cs="Times New Roman"/>
                <w:b/>
                <w:bCs/>
                <w:szCs w:val="21"/>
              </w:rPr>
              <w:t>-N</w:t>
            </w:r>
          </w:p>
        </w:tc>
        <w:tc>
          <w:tcPr>
            <w:tcW w:w="1141"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78" w:hRule="atLeast"/>
          <w:jc w:val="center"/>
        </w:trPr>
        <w:tc>
          <w:tcPr>
            <w:tcW w:w="1243"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混合污水</w:t>
            </w:r>
          </w:p>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（处理前）</w:t>
            </w:r>
          </w:p>
        </w:tc>
        <w:tc>
          <w:tcPr>
            <w:tcW w:w="1394"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29063.018</w:t>
            </w:r>
          </w:p>
        </w:tc>
        <w:tc>
          <w:tcPr>
            <w:tcW w:w="1923"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浓度（mg/L）</w:t>
            </w:r>
          </w:p>
        </w:tc>
        <w:tc>
          <w:tcPr>
            <w:tcW w:w="91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2582.48</w:t>
            </w:r>
          </w:p>
        </w:tc>
        <w:tc>
          <w:tcPr>
            <w:tcW w:w="11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1320.42</w:t>
            </w:r>
          </w:p>
        </w:tc>
        <w:tc>
          <w:tcPr>
            <w:tcW w:w="92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787.44</w:t>
            </w:r>
          </w:p>
        </w:tc>
        <w:tc>
          <w:tcPr>
            <w:tcW w:w="99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255.20</w:t>
            </w:r>
          </w:p>
        </w:tc>
        <w:tc>
          <w:tcPr>
            <w:tcW w:w="114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42.63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1" w:hRule="atLeast"/>
          <w:jc w:val="center"/>
        </w:trPr>
        <w:tc>
          <w:tcPr>
            <w:tcW w:w="1243" w:type="dxa"/>
            <w:vMerge w:val="continue"/>
            <w:vAlign w:val="center"/>
          </w:tcPr>
          <w:p>
            <w:pPr>
              <w:adjustRightInd w:val="0"/>
              <w:snapToGrid w:val="0"/>
              <w:jc w:val="center"/>
              <w:rPr>
                <w:rFonts w:hint="default" w:ascii="Times New Roman" w:hAnsi="Times New Roman" w:cs="Times New Roman"/>
                <w:szCs w:val="21"/>
              </w:rPr>
            </w:pPr>
          </w:p>
        </w:tc>
        <w:tc>
          <w:tcPr>
            <w:tcW w:w="1394" w:type="dxa"/>
            <w:vMerge w:val="continue"/>
            <w:vAlign w:val="center"/>
          </w:tcPr>
          <w:p>
            <w:pPr>
              <w:adjustRightInd w:val="0"/>
              <w:snapToGrid w:val="0"/>
              <w:jc w:val="center"/>
              <w:rPr>
                <w:rFonts w:hint="default" w:ascii="Times New Roman" w:hAnsi="Times New Roman" w:cs="Times New Roman"/>
                <w:szCs w:val="21"/>
              </w:rPr>
            </w:pPr>
          </w:p>
        </w:tc>
        <w:tc>
          <w:tcPr>
            <w:tcW w:w="1923"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产生量（t/a）</w:t>
            </w:r>
          </w:p>
        </w:tc>
        <w:tc>
          <w:tcPr>
            <w:tcW w:w="91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75.05</w:t>
            </w:r>
          </w:p>
        </w:tc>
        <w:tc>
          <w:tcPr>
            <w:tcW w:w="11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39.39</w:t>
            </w:r>
          </w:p>
        </w:tc>
        <w:tc>
          <w:tcPr>
            <w:tcW w:w="92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22.89</w:t>
            </w:r>
          </w:p>
        </w:tc>
        <w:tc>
          <w:tcPr>
            <w:tcW w:w="99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7.42</w:t>
            </w:r>
          </w:p>
        </w:tc>
        <w:tc>
          <w:tcPr>
            <w:tcW w:w="114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1" w:hRule="atLeast"/>
          <w:jc w:val="center"/>
        </w:trPr>
        <w:tc>
          <w:tcPr>
            <w:tcW w:w="1243" w:type="dxa"/>
            <w:vMerge w:val="restart"/>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混合污水</w:t>
            </w:r>
          </w:p>
          <w:p>
            <w:pPr>
              <w:pStyle w:val="2"/>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（处理后）</w:t>
            </w:r>
          </w:p>
        </w:tc>
        <w:tc>
          <w:tcPr>
            <w:tcW w:w="1394" w:type="dxa"/>
            <w:vMerge w:val="restart"/>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29063.018</w:t>
            </w:r>
          </w:p>
        </w:tc>
        <w:tc>
          <w:tcPr>
            <w:tcW w:w="1923"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浓度（mg/L）</w:t>
            </w:r>
          </w:p>
        </w:tc>
        <w:tc>
          <w:tcPr>
            <w:tcW w:w="914" w:type="dxa"/>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100.41</w:t>
            </w:r>
          </w:p>
        </w:tc>
        <w:tc>
          <w:tcPr>
            <w:tcW w:w="1118" w:type="dxa"/>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51.34</w:t>
            </w:r>
          </w:p>
        </w:tc>
        <w:tc>
          <w:tcPr>
            <w:tcW w:w="927" w:type="dxa"/>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55.13</w:t>
            </w:r>
          </w:p>
        </w:tc>
        <w:tc>
          <w:tcPr>
            <w:tcW w:w="996" w:type="dxa"/>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51.04</w:t>
            </w:r>
          </w:p>
        </w:tc>
        <w:tc>
          <w:tcPr>
            <w:tcW w:w="1141" w:type="dxa"/>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8.53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1" w:hRule="atLeast"/>
          <w:jc w:val="center"/>
        </w:trPr>
        <w:tc>
          <w:tcPr>
            <w:tcW w:w="1243" w:type="dxa"/>
            <w:vMerge w:val="continue"/>
            <w:vAlign w:val="center"/>
          </w:tcPr>
          <w:p>
            <w:pPr>
              <w:adjustRightInd w:val="0"/>
              <w:snapToGrid w:val="0"/>
              <w:jc w:val="center"/>
              <w:rPr>
                <w:rFonts w:hint="default" w:ascii="Times New Roman" w:hAnsi="Times New Roman" w:cs="Times New Roman"/>
                <w:szCs w:val="21"/>
              </w:rPr>
            </w:pPr>
          </w:p>
        </w:tc>
        <w:tc>
          <w:tcPr>
            <w:tcW w:w="1394" w:type="dxa"/>
            <w:vMerge w:val="continue"/>
            <w:vAlign w:val="center"/>
          </w:tcPr>
          <w:p>
            <w:pPr>
              <w:adjustRightInd w:val="0"/>
              <w:snapToGrid w:val="0"/>
              <w:jc w:val="center"/>
              <w:rPr>
                <w:rFonts w:hint="default" w:ascii="Times New Roman" w:hAnsi="Times New Roman" w:cs="Times New Roman"/>
                <w:szCs w:val="21"/>
              </w:rPr>
            </w:pPr>
          </w:p>
        </w:tc>
        <w:tc>
          <w:tcPr>
            <w:tcW w:w="1923"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产生量（t/a）</w:t>
            </w:r>
          </w:p>
        </w:tc>
        <w:tc>
          <w:tcPr>
            <w:tcW w:w="91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2.92</w:t>
            </w:r>
          </w:p>
        </w:tc>
        <w:tc>
          <w:tcPr>
            <w:tcW w:w="11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1.49</w:t>
            </w:r>
          </w:p>
        </w:tc>
        <w:tc>
          <w:tcPr>
            <w:tcW w:w="92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1.60</w:t>
            </w:r>
          </w:p>
        </w:tc>
        <w:tc>
          <w:tcPr>
            <w:tcW w:w="99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1.48</w:t>
            </w:r>
          </w:p>
        </w:tc>
        <w:tc>
          <w:tcPr>
            <w:tcW w:w="114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1" w:hRule="atLeast"/>
          <w:jc w:val="center"/>
        </w:trPr>
        <w:tc>
          <w:tcPr>
            <w:tcW w:w="4560" w:type="dxa"/>
            <w:gridSpan w:val="3"/>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《农田灌溉水质标准》（GB5084-2005）旱作标准</w:t>
            </w:r>
          </w:p>
        </w:tc>
        <w:tc>
          <w:tcPr>
            <w:tcW w:w="91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200</w:t>
            </w:r>
          </w:p>
        </w:tc>
        <w:tc>
          <w:tcPr>
            <w:tcW w:w="11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100</w:t>
            </w:r>
          </w:p>
        </w:tc>
        <w:tc>
          <w:tcPr>
            <w:tcW w:w="92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100</w:t>
            </w:r>
          </w:p>
        </w:tc>
        <w:tc>
          <w:tcPr>
            <w:tcW w:w="99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114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bl>
    <w:p>
      <w:pPr>
        <w:spacing w:line="360" w:lineRule="auto"/>
        <w:ind w:firstLine="472" w:firstLineChars="197"/>
        <w:rPr>
          <w:rFonts w:hint="default" w:ascii="Times New Roman" w:hAnsi="Times New Roman" w:cs="Times New Roman"/>
          <w:sz w:val="24"/>
        </w:rPr>
      </w:pPr>
      <w:r>
        <w:rPr>
          <w:rFonts w:hint="default" w:ascii="Times New Roman" w:hAnsi="Times New Roman" w:cs="Times New Roman"/>
          <w:sz w:val="24"/>
        </w:rPr>
        <w:t>采取上述措施后，本项目污水经污水处理站处理达《农田灌溉水质标准》（GB5084-2005）旱作标准后，</w:t>
      </w:r>
      <w:r>
        <w:rPr>
          <w:rFonts w:hint="default" w:ascii="Times New Roman" w:hAnsi="Times New Roman" w:cs="Times New Roman"/>
          <w:sz w:val="24"/>
          <w:szCs w:val="24"/>
        </w:rPr>
        <w:t>部分废水通过管网输送系统输送至三洞镇周冲村村民耕地</w:t>
      </w:r>
      <w:r>
        <w:rPr>
          <w:rFonts w:hint="default" w:ascii="Times New Roman" w:hAnsi="Times New Roman" w:cs="Times New Roman"/>
          <w:sz w:val="24"/>
        </w:rPr>
        <w:t>（主要种植茶叶、果树及农作物）浇灌</w:t>
      </w:r>
      <w:r>
        <w:rPr>
          <w:rFonts w:hint="default" w:ascii="Times New Roman" w:hAnsi="Times New Roman" w:cs="Times New Roman"/>
          <w:sz w:val="24"/>
          <w:szCs w:val="24"/>
        </w:rPr>
        <w:t>使用，其余</w:t>
      </w:r>
      <w:r>
        <w:rPr>
          <w:rFonts w:hint="default" w:ascii="Times New Roman" w:hAnsi="Times New Roman" w:cs="Times New Roman"/>
          <w:bCs/>
          <w:sz w:val="24"/>
          <w:szCs w:val="24"/>
        </w:rPr>
        <w:t>部分废水通过罐车拉运至夹江县果香四季家庭农场（主要种植果树）的田间池中暂存，用于耕地施肥，</w:t>
      </w:r>
      <w:r>
        <w:rPr>
          <w:rFonts w:hint="default" w:ascii="Times New Roman" w:hAnsi="Times New Roman" w:cs="Times New Roman"/>
          <w:sz w:val="24"/>
          <w:szCs w:val="24"/>
        </w:rPr>
        <w:t>不外排。</w:t>
      </w:r>
      <w:r>
        <w:rPr>
          <w:rFonts w:hint="default" w:ascii="Times New Roman" w:hAnsi="Times New Roman" w:cs="Times New Roman"/>
          <w:sz w:val="24"/>
        </w:rPr>
        <w:t>因此本项目废水可以做到综合利用不外排。</w:t>
      </w:r>
    </w:p>
    <w:p>
      <w:pPr>
        <w:autoSpaceDE w:val="0"/>
        <w:autoSpaceDN w:val="0"/>
        <w:adjustRightInd w:val="0"/>
        <w:snapToGrid w:val="0"/>
        <w:spacing w:line="360" w:lineRule="auto"/>
        <w:ind w:firstLine="472" w:firstLineChars="196"/>
        <w:rPr>
          <w:rFonts w:hint="default" w:ascii="Times New Roman" w:hAnsi="Times New Roman" w:cs="Times New Roman"/>
          <w:b/>
          <w:bCs/>
          <w:sz w:val="24"/>
        </w:rPr>
      </w:pPr>
      <w:r>
        <w:rPr>
          <w:rFonts w:hint="default" w:ascii="Times New Roman" w:hAnsi="Times New Roman" w:cs="Times New Roman"/>
          <w:b/>
          <w:bCs/>
          <w:sz w:val="24"/>
        </w:rPr>
        <w:t>沼液暂存池</w:t>
      </w:r>
    </w:p>
    <w:p>
      <w:pPr>
        <w:autoSpaceDE w:val="0"/>
        <w:autoSpaceDN w:val="0"/>
        <w:adjustRightInd w:val="0"/>
        <w:snapToGrid w:val="0"/>
        <w:spacing w:line="360" w:lineRule="auto"/>
        <w:ind w:firstLine="470" w:firstLineChars="196"/>
        <w:rPr>
          <w:rFonts w:hint="default" w:ascii="Times New Roman" w:hAnsi="Times New Roman" w:cs="Times New Roman"/>
          <w:sz w:val="24"/>
          <w:u w:val="single"/>
        </w:rPr>
      </w:pPr>
      <w:r>
        <w:rPr>
          <w:rFonts w:hint="default" w:ascii="Times New Roman" w:hAnsi="Times New Roman" w:cs="Times New Roman"/>
          <w:sz w:val="24"/>
        </w:rPr>
        <w:t>本项目设沼液池，当农田生产灌溉的最大间隔时间和冬季冰封冻期或雨季最长降雨期，土地不能接纳沼液时，沼液储存池能有效防止沼液在当地生产用肥的最大间隔时间、冬季、雨季最长降雨期排放可能造成的土壤污染。按照四川省环境保护厅《2011年四川省规模化畜禽养殖主要污染物减排核查方案》（试行）川环发﹝2011﹞20号文件规定：“沼液贮存设施总容积应满足3个月粪污贮存要求。”</w:t>
      </w:r>
      <w:r>
        <w:rPr>
          <w:rFonts w:hint="default" w:ascii="Times New Roman" w:hAnsi="Times New Roman" w:cs="Times New Roman"/>
          <w:sz w:val="24"/>
          <w:u w:val="single"/>
        </w:rPr>
        <w:t>本项目用于施肥的沼液（按夏季最大量计）约89.845m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/d，按照文件规定沼液储存池设置需大于89.845（m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）*90（天）=8086.05m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，因此环评要求本项目沼液储存设施的有效容积总和不得小于8087m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w:t>
      </w:r>
    </w:p>
    <w:p>
      <w:pPr>
        <w:pStyle w:val="2"/>
        <w:spacing w:line="360" w:lineRule="auto"/>
        <w:ind w:firstLine="480" w:firstLineChars="200"/>
        <w:rPr>
          <w:rFonts w:hint="default" w:ascii="Times New Roman" w:hAnsi="Times New Roman" w:cs="Times New Roman"/>
          <w:color w:val="auto"/>
          <w:kern w:val="2"/>
          <w:u w:val="single"/>
        </w:rPr>
      </w:pPr>
      <w:r>
        <w:rPr>
          <w:rFonts w:hint="default" w:ascii="Times New Roman" w:hAnsi="Times New Roman" w:cs="Times New Roman"/>
          <w:color w:val="auto"/>
          <w:kern w:val="2"/>
          <w:u w:val="single"/>
        </w:rPr>
        <w:t>根据实际情况，夹江县果香四季家庭农场</w:t>
      </w:r>
      <w:r>
        <w:rPr>
          <w:rFonts w:hint="default" w:ascii="Times New Roman" w:hAnsi="Times New Roman" w:cs="Times New Roman"/>
          <w:color w:val="auto"/>
          <w:u w:val="single"/>
        </w:rPr>
        <w:t>消纳土地需要沼液时，由养殖场的密闭罐车（建设单位拟设置3台密闭罐车，每台有效容积约为5m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）将沼液运至施肥土地，暂存于</w:t>
      </w:r>
      <w:r>
        <w:rPr>
          <w:rFonts w:hint="default" w:ascii="Times New Roman" w:hAnsi="Times New Roman" w:cs="Times New Roman"/>
          <w:bCs/>
          <w:color w:val="auto"/>
          <w:u w:val="single"/>
        </w:rPr>
        <w:t>农场的田间池中暂存</w:t>
      </w:r>
      <w:r>
        <w:rPr>
          <w:rFonts w:hint="default" w:ascii="Times New Roman" w:hAnsi="Times New Roman" w:cs="Times New Roman"/>
          <w:color w:val="auto"/>
          <w:u w:val="single"/>
        </w:rPr>
        <w:t>，废水经农场灌溉系统经管道输送至施肥土地。三洞镇周冲村村民耕地需要沼液时，通过管网输送至施肥土地。使用</w:t>
      </w:r>
      <w:r>
        <w:rPr>
          <w:rFonts w:hint="default" w:ascii="Times New Roman" w:hAnsi="Times New Roman" w:cs="Times New Roman"/>
          <w:color w:val="auto"/>
          <w:kern w:val="2"/>
          <w:u w:val="single"/>
        </w:rPr>
        <w:t>本项目不设置高位水池以及田间池，拟在养殖场内设置1个沼液暂存池。因此，本项目需要建设的场内沼液暂存池容积不小于8087m</w:t>
      </w:r>
      <w:r>
        <w:rPr>
          <w:rFonts w:hint="default" w:ascii="Times New Roman" w:hAnsi="Times New Roman" w:cs="Times New Roman"/>
          <w:color w:val="auto"/>
          <w:kern w:val="2"/>
          <w:u w:val="single"/>
          <w:vertAlign w:val="superscript"/>
        </w:rPr>
        <w:t>3</w:t>
      </w:r>
      <w:r>
        <w:rPr>
          <w:rFonts w:hint="default" w:ascii="Times New Roman" w:hAnsi="Times New Roman" w:cs="Times New Roman"/>
          <w:color w:val="auto"/>
          <w:kern w:val="2"/>
          <w:u w:val="single"/>
        </w:rPr>
        <w:t>。</w:t>
      </w:r>
    </w:p>
    <w:p>
      <w:pPr>
        <w:spacing w:line="360" w:lineRule="auto"/>
        <w:ind w:firstLine="482" w:firstLineChars="200"/>
        <w:rPr>
          <w:rFonts w:hint="default" w:ascii="Times New Roman" w:hAnsi="Times New Roman" w:cs="Times New Roman"/>
          <w:b/>
          <w:sz w:val="24"/>
          <w:lang w:val="zh-CN"/>
        </w:rPr>
      </w:pPr>
      <w:r>
        <w:rPr>
          <w:rFonts w:hint="default" w:ascii="Times New Roman" w:hAnsi="Times New Roman" w:cs="Times New Roman"/>
          <w:b/>
          <w:sz w:val="24"/>
          <w:lang w:val="zh-CN"/>
        </w:rPr>
        <w:t>沼液储存池的修建：</w:t>
      </w:r>
    </w:p>
    <w:p>
      <w:pPr>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fldChar w:fldCharType="begin"/>
      </w:r>
      <w:r>
        <w:rPr>
          <w:rFonts w:hint="default" w:ascii="Times New Roman" w:hAnsi="Times New Roman" w:cs="Times New Roman"/>
          <w:sz w:val="24"/>
          <w:lang w:val="zh-CN"/>
        </w:rPr>
        <w:instrText xml:space="preserve"> = 1 \* GB3 </w:instrText>
      </w:r>
      <w:r>
        <w:rPr>
          <w:rFonts w:hint="default" w:ascii="Times New Roman" w:hAnsi="Times New Roman" w:cs="Times New Roman"/>
          <w:sz w:val="24"/>
          <w:lang w:val="zh-CN"/>
        </w:rPr>
        <w:fldChar w:fldCharType="separate"/>
      </w:r>
      <w:r>
        <w:rPr>
          <w:rFonts w:hint="default" w:ascii="Times New Roman" w:hAnsi="Times New Roman" w:cs="Times New Roman"/>
          <w:sz w:val="24"/>
          <w:lang w:val="zh-CN"/>
        </w:rPr>
        <w:t>①</w:t>
      </w:r>
      <w:r>
        <w:rPr>
          <w:rFonts w:hint="default" w:ascii="Times New Roman" w:hAnsi="Times New Roman" w:cs="Times New Roman"/>
          <w:sz w:val="24"/>
          <w:lang w:val="zh-CN"/>
        </w:rPr>
        <w:fldChar w:fldCharType="end"/>
      </w:r>
      <w:r>
        <w:rPr>
          <w:rFonts w:hint="default" w:ascii="Times New Roman" w:hAnsi="Times New Roman" w:cs="Times New Roman"/>
          <w:sz w:val="24"/>
          <w:lang w:val="zh-CN"/>
        </w:rPr>
        <w:t>沼液储存池用混凝土进行底部和侧面防渗处理，防止沼液渗透，污染地下水。</w:t>
      </w:r>
    </w:p>
    <w:p>
      <w:pPr>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fldChar w:fldCharType="begin"/>
      </w:r>
      <w:r>
        <w:rPr>
          <w:rFonts w:hint="default" w:ascii="Times New Roman" w:hAnsi="Times New Roman" w:cs="Times New Roman"/>
          <w:sz w:val="24"/>
          <w:lang w:val="zh-CN"/>
        </w:rPr>
        <w:instrText xml:space="preserve"> = 2 \* GB3 </w:instrText>
      </w:r>
      <w:r>
        <w:rPr>
          <w:rFonts w:hint="default" w:ascii="Times New Roman" w:hAnsi="Times New Roman" w:cs="Times New Roman"/>
          <w:sz w:val="24"/>
          <w:lang w:val="zh-CN"/>
        </w:rPr>
        <w:fldChar w:fldCharType="separate"/>
      </w:r>
      <w:r>
        <w:rPr>
          <w:rFonts w:hint="default" w:ascii="Times New Roman" w:hAnsi="Times New Roman" w:cs="Times New Roman"/>
          <w:sz w:val="24"/>
          <w:lang w:val="zh-CN"/>
        </w:rPr>
        <w:t>②</w:t>
      </w:r>
      <w:r>
        <w:rPr>
          <w:rFonts w:hint="default" w:ascii="Times New Roman" w:hAnsi="Times New Roman" w:cs="Times New Roman"/>
          <w:sz w:val="24"/>
          <w:lang w:val="zh-CN"/>
        </w:rPr>
        <w:fldChar w:fldCharType="end"/>
      </w:r>
      <w:r>
        <w:rPr>
          <w:rFonts w:hint="default" w:ascii="Times New Roman" w:hAnsi="Times New Roman" w:cs="Times New Roman"/>
          <w:sz w:val="24"/>
          <w:lang w:val="zh-CN"/>
        </w:rPr>
        <w:t>沼液储存池防止雨水进入，池体四周修建排水沟，或建设池体高于地面，防止雨水灌入。</w:t>
      </w:r>
    </w:p>
    <w:p>
      <w:pPr>
        <w:spacing w:line="360" w:lineRule="auto"/>
        <w:ind w:firstLine="480" w:firstLineChars="200"/>
        <w:rPr>
          <w:rFonts w:hint="default" w:ascii="Times New Roman" w:hAnsi="Times New Roman" w:cs="Times New Roman"/>
          <w:sz w:val="24"/>
          <w:u w:val="single"/>
        </w:rPr>
      </w:pPr>
      <w:r>
        <w:rPr>
          <w:rFonts w:hint="default" w:ascii="Times New Roman" w:hAnsi="Times New Roman" w:cs="Times New Roman"/>
          <w:sz w:val="24"/>
          <w:lang w:val="zh-CN"/>
        </w:rPr>
        <w:t>③</w:t>
      </w:r>
      <w:r>
        <w:rPr>
          <w:rFonts w:hint="default" w:ascii="Times New Roman" w:hAnsi="Times New Roman" w:cs="Times New Roman"/>
          <w:sz w:val="24"/>
        </w:rPr>
        <w:t>加强沼液暂存池的管理，定期检查，防止渗漏。</w:t>
      </w:r>
    </w:p>
    <w:p>
      <w:pPr>
        <w:spacing w:line="360" w:lineRule="auto"/>
        <w:ind w:firstLine="482" w:firstLineChars="200"/>
        <w:rPr>
          <w:rFonts w:hint="default" w:ascii="Times New Roman" w:hAnsi="Times New Roman" w:cs="Times New Roman"/>
          <w:b/>
          <w:sz w:val="24"/>
          <w:lang w:val="zh-CN"/>
        </w:rPr>
      </w:pPr>
      <w:r>
        <w:rPr>
          <w:rFonts w:hint="default" w:ascii="Times New Roman" w:hAnsi="Times New Roman" w:cs="Times New Roman"/>
          <w:b/>
          <w:sz w:val="24"/>
          <w:lang w:val="zh-CN"/>
        </w:rPr>
        <w:t xml:space="preserve"> 田间暂存池：</w:t>
      </w:r>
    </w:p>
    <w:p>
      <w:pPr>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本项目签订的消纳土地用于项目废水、粪便消纳，为方便废水消纳，在项目附近需要消纳的土地设置田间暂存池，较远的土地用于粪便消纳。废水从厂区内的暂存池中采用提升泵通过管网进入各田间暂存池中。项目根据施肥区域分布情况，拟设置</w:t>
      </w:r>
      <w:r>
        <w:rPr>
          <w:rFonts w:hint="default" w:ascii="Times New Roman" w:hAnsi="Times New Roman" w:cs="Times New Roman"/>
          <w:sz w:val="24"/>
          <w:lang w:val="en-US" w:eastAsia="zh-CN"/>
        </w:rPr>
        <w:t>3</w:t>
      </w:r>
      <w:r>
        <w:rPr>
          <w:rFonts w:hint="default" w:ascii="Times New Roman" w:hAnsi="Times New Roman" w:cs="Times New Roman"/>
          <w:sz w:val="24"/>
          <w:lang w:val="zh-CN"/>
        </w:rPr>
        <w:t>个田间暂存池（</w:t>
      </w:r>
      <w:r>
        <w:rPr>
          <w:rFonts w:hint="default" w:ascii="Times New Roman" w:hAnsi="Times New Roman" w:cs="Times New Roman"/>
          <w:sz w:val="24"/>
          <w:lang w:val="en-US" w:eastAsia="zh-CN"/>
        </w:rPr>
        <w:t>2个100m</w:t>
      </w:r>
      <w:r>
        <w:rPr>
          <w:rFonts w:hint="default" w:ascii="Times New Roman" w:hAnsi="Times New Roman" w:cs="Times New Roman"/>
          <w:sz w:val="24"/>
          <w:vertAlign w:val="superscript"/>
          <w:lang w:val="en-US" w:eastAsia="zh-CN"/>
        </w:rPr>
        <w:t>3</w:t>
      </w:r>
      <w:r>
        <w:rPr>
          <w:rFonts w:hint="default" w:ascii="Times New Roman" w:hAnsi="Times New Roman" w:cs="Times New Roman"/>
          <w:sz w:val="24"/>
          <w:lang w:val="en-US" w:eastAsia="zh-CN"/>
        </w:rPr>
        <w:t>，1个50m</w:t>
      </w:r>
      <w:r>
        <w:rPr>
          <w:rFonts w:hint="default" w:ascii="Times New Roman" w:hAnsi="Times New Roman" w:cs="Times New Roman"/>
          <w:sz w:val="24"/>
          <w:vertAlign w:val="superscript"/>
          <w:lang w:val="en-US" w:eastAsia="zh-CN"/>
        </w:rPr>
        <w:t>3</w:t>
      </w:r>
      <w:r>
        <w:rPr>
          <w:rFonts w:hint="default" w:ascii="Times New Roman" w:hAnsi="Times New Roman" w:cs="Times New Roman"/>
          <w:sz w:val="24"/>
          <w:lang w:val="zh-CN"/>
        </w:rPr>
        <w:t>），总有效容积</w:t>
      </w:r>
      <w:r>
        <w:rPr>
          <w:rFonts w:hint="default" w:ascii="Times New Roman" w:hAnsi="Times New Roman" w:cs="Times New Roman"/>
          <w:sz w:val="24"/>
          <w:lang w:val="en-US" w:eastAsia="zh-CN"/>
        </w:rPr>
        <w:t>25</w:t>
      </w:r>
      <w:r>
        <w:rPr>
          <w:rFonts w:hint="default" w:ascii="Times New Roman" w:hAnsi="Times New Roman" w:cs="Times New Roman"/>
          <w:sz w:val="24"/>
          <w:lang w:val="zh-CN"/>
        </w:rPr>
        <w:t>0m³。田间暂存池建于田间地面以上，可以实现底部出水管自行灌溉，也可以建于地下或半地下，但要在田间池内安装泵，由泵提升经管道实现灌溉。田间暂存池需做好防渗、排水措施。</w:t>
      </w:r>
    </w:p>
    <w:p>
      <w:pPr>
        <w:spacing w:line="360" w:lineRule="auto"/>
        <w:ind w:firstLine="482" w:firstLineChars="200"/>
        <w:rPr>
          <w:rFonts w:hint="default" w:ascii="Times New Roman" w:hAnsi="Times New Roman" w:cs="Times New Roman"/>
          <w:b/>
          <w:sz w:val="24"/>
          <w:lang w:val="zh-CN"/>
        </w:rPr>
      </w:pPr>
      <w:r>
        <w:rPr>
          <w:rFonts w:hint="default" w:ascii="Times New Roman" w:hAnsi="Times New Roman" w:cs="Times New Roman"/>
          <w:b/>
          <w:sz w:val="24"/>
          <w:lang w:val="zh-CN"/>
        </w:rPr>
        <w:t>应急池：</w:t>
      </w:r>
    </w:p>
    <w:p>
      <w:pPr>
        <w:pStyle w:val="2"/>
        <w:spacing w:line="360" w:lineRule="auto"/>
        <w:ind w:firstLine="360" w:firstLineChars="150"/>
        <w:rPr>
          <w:rFonts w:hint="default" w:ascii="Times New Roman" w:hAnsi="Times New Roman" w:cs="Times New Roman"/>
        </w:rPr>
      </w:pPr>
      <w:r>
        <w:rPr>
          <w:rFonts w:hint="default" w:ascii="Times New Roman" w:hAnsi="Times New Roman" w:cs="Times New Roman"/>
        </w:rPr>
        <w:t>为防止污水处理站故障导致废水泄露，应设立应急池。项目拟设废水暂存池总容积为</w:t>
      </w:r>
      <w:r>
        <w:rPr>
          <w:rFonts w:hint="default" w:ascii="Times New Roman" w:hAnsi="Times New Roman" w:cs="Times New Roman"/>
          <w:lang w:val="en-US" w:eastAsia="zh-CN"/>
        </w:rPr>
        <w:t>1000</w:t>
      </w:r>
      <w:r>
        <w:rPr>
          <w:rFonts w:hint="default" w:ascii="Times New Roman" w:hAnsi="Times New Roman" w:cs="Times New Roman"/>
        </w:rPr>
        <w:t>m³。</w:t>
      </w:r>
    </w:p>
    <w:p>
      <w:pPr>
        <w:spacing w:line="360" w:lineRule="auto"/>
        <w:ind w:firstLine="480" w:firstLineChars="200"/>
        <w:rPr>
          <w:rFonts w:hint="default" w:ascii="Times New Roman" w:hAnsi="Times New Roman" w:cs="Times New Roman"/>
          <w:b/>
          <w:bCs/>
          <w:sz w:val="24"/>
          <w:szCs w:val="24"/>
        </w:rPr>
      </w:pPr>
      <w:r>
        <w:rPr>
          <w:rFonts w:hint="default" w:ascii="Times New Roman" w:hAnsi="Times New Roman" w:cs="Times New Roman"/>
          <w:sz w:val="24"/>
          <w:szCs w:val="24"/>
        </w:rPr>
        <w:t>通过上述措施后，项目产生的废水基本不会对环境产生影响。</w:t>
      </w:r>
    </w:p>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为防止二次污染，本环评提出以下要求：</w:t>
      </w:r>
    </w:p>
    <w:p>
      <w:pPr>
        <w:spacing w:line="360" w:lineRule="auto"/>
        <w:ind w:firstLine="600" w:firstLineChars="250"/>
        <w:rPr>
          <w:rFonts w:hint="default" w:ascii="Times New Roman" w:hAnsi="Times New Roman" w:cs="Times New Roman"/>
          <w:sz w:val="24"/>
        </w:rPr>
      </w:pPr>
      <w:r>
        <w:rPr>
          <w:rFonts w:hint="default" w:ascii="Times New Roman" w:hAnsi="Times New Roman" w:cs="Times New Roman"/>
          <w:sz w:val="24"/>
        </w:rPr>
        <w:t>①雨水、污水收集及排放管道应尽可能不交叉，避免迂回曲折和相互干扰。</w:t>
      </w:r>
    </w:p>
    <w:p>
      <w:pPr>
        <w:spacing w:line="360" w:lineRule="auto"/>
        <w:ind w:firstLine="600" w:firstLineChars="250"/>
        <w:rPr>
          <w:rFonts w:hint="default" w:ascii="Times New Roman" w:hAnsi="Times New Roman" w:cs="Times New Roman"/>
          <w:sz w:val="24"/>
        </w:rPr>
      </w:pPr>
      <w:r>
        <w:rPr>
          <w:rFonts w:hint="default" w:ascii="Times New Roman" w:hAnsi="Times New Roman" w:cs="Times New Roman"/>
          <w:sz w:val="24"/>
        </w:rPr>
        <w:t xml:space="preserve">②按照《畜禽养殖业污染防治技术规范》中的要求，采用干式清粪工艺，分离后干粪应及时运输至猪粪暂存区；购置专用的清运设施，确保运输、转运过程中的遗漏、渗漏。 </w:t>
      </w:r>
    </w:p>
    <w:p>
      <w:pPr>
        <w:spacing w:line="360" w:lineRule="auto"/>
        <w:ind w:firstLine="600" w:firstLineChars="250"/>
        <w:rPr>
          <w:rFonts w:hint="default" w:ascii="Times New Roman" w:hAnsi="Times New Roman" w:cs="Times New Roman"/>
          <w:sz w:val="24"/>
        </w:rPr>
      </w:pPr>
      <w:r>
        <w:rPr>
          <w:rFonts w:hint="default" w:ascii="Times New Roman" w:hAnsi="Times New Roman" w:cs="Times New Roman"/>
          <w:sz w:val="24"/>
        </w:rPr>
        <w:t>③废水输送必须采取暗沟式，避免恶臭、溢流影响周围环境。</w:t>
      </w:r>
    </w:p>
    <w:p>
      <w:pPr>
        <w:spacing w:line="360" w:lineRule="auto"/>
        <w:ind w:firstLine="600" w:firstLineChars="250"/>
        <w:rPr>
          <w:rFonts w:hint="default" w:ascii="Times New Roman" w:hAnsi="Times New Roman" w:cs="Times New Roman"/>
          <w:sz w:val="24"/>
        </w:rPr>
      </w:pPr>
      <w:r>
        <w:rPr>
          <w:rFonts w:hint="default" w:ascii="Times New Roman" w:hAnsi="Times New Roman" w:cs="Times New Roman"/>
          <w:sz w:val="24"/>
        </w:rPr>
        <w:t>④污水处理设计施工必须由有资质的单位进行，沼气净化设施周围应建设围栏（墙）。</w:t>
      </w:r>
    </w:p>
    <w:p>
      <w:pPr>
        <w:spacing w:line="360" w:lineRule="auto"/>
        <w:ind w:firstLine="600" w:firstLineChars="25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5 \* GB3 </w:instrText>
      </w:r>
      <w:r>
        <w:rPr>
          <w:rFonts w:hint="default" w:ascii="Times New Roman" w:hAnsi="Times New Roman" w:cs="Times New Roman"/>
          <w:sz w:val="24"/>
        </w:rPr>
        <w:fldChar w:fldCharType="separate"/>
      </w:r>
      <w:r>
        <w:rPr>
          <w:rFonts w:hint="default" w:ascii="Times New Roman" w:hAnsi="Times New Roman" w:cs="Times New Roman"/>
          <w:sz w:val="24"/>
        </w:rPr>
        <w:t>⑤</w:t>
      </w:r>
      <w:r>
        <w:rPr>
          <w:rFonts w:hint="default" w:ascii="Times New Roman" w:hAnsi="Times New Roman" w:cs="Times New Roman"/>
          <w:sz w:val="24"/>
        </w:rPr>
        <w:fldChar w:fldCharType="end"/>
      </w:r>
      <w:r>
        <w:rPr>
          <w:rFonts w:hint="default" w:ascii="Times New Roman" w:hAnsi="Times New Roman" w:cs="Times New Roman"/>
          <w:sz w:val="24"/>
        </w:rPr>
        <w:t>沼液在运输过程中防止散排。</w:t>
      </w:r>
    </w:p>
    <w:p>
      <w:pPr>
        <w:spacing w:line="360" w:lineRule="auto"/>
        <w:ind w:firstLine="600" w:firstLineChars="250"/>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 6 \* GB3 \* MERGEFORMAT </w:instrText>
      </w:r>
      <w:r>
        <w:rPr>
          <w:rFonts w:hint="default" w:ascii="Times New Roman" w:hAnsi="Times New Roman" w:cs="Times New Roman"/>
          <w:sz w:val="24"/>
        </w:rPr>
        <w:fldChar w:fldCharType="separate"/>
      </w:r>
      <w:r>
        <w:rPr>
          <w:rFonts w:hint="default" w:ascii="Times New Roman" w:hAnsi="Times New Roman" w:cs="Times New Roman"/>
          <w:sz w:val="24"/>
        </w:rPr>
        <w:t>⑥</w:t>
      </w:r>
      <w:r>
        <w:rPr>
          <w:rFonts w:hint="default" w:ascii="Times New Roman" w:hAnsi="Times New Roman" w:cs="Times New Roman"/>
          <w:sz w:val="24"/>
        </w:rPr>
        <w:fldChar w:fldCharType="end"/>
      </w:r>
      <w:r>
        <w:rPr>
          <w:rFonts w:hint="default" w:ascii="Times New Roman" w:hAnsi="Times New Roman" w:cs="Times New Roman"/>
          <w:sz w:val="24"/>
        </w:rPr>
        <w:t>为做好水井的禁灌保护措施，灌溉土地范围内有水井的地方应以水井为圆心，半径50m范围内禁止灌溉项目产生的沼液。</w:t>
      </w:r>
    </w:p>
    <w:p>
      <w:pPr>
        <w:spacing w:line="360" w:lineRule="auto"/>
        <w:ind w:firstLine="600" w:firstLineChars="250"/>
        <w:rPr>
          <w:rFonts w:hint="default" w:ascii="Times New Roman" w:hAnsi="Times New Roman" w:cs="Times New Roman"/>
          <w:sz w:val="24"/>
        </w:rPr>
      </w:pPr>
      <w:r>
        <w:rPr>
          <w:rFonts w:hint="default" w:ascii="Times New Roman" w:hAnsi="Times New Roman" w:cs="Times New Roman"/>
          <w:sz w:val="24"/>
        </w:rPr>
        <w:t>通过上述措施后，项目产生的废水基本不会对环境产生影响。</w:t>
      </w:r>
    </w:p>
    <w:p>
      <w:pPr>
        <w:spacing w:line="360" w:lineRule="auto"/>
        <w:ind w:left="482" w:firstLine="120" w:firstLineChars="50"/>
        <w:outlineLvl w:val="3"/>
        <w:rPr>
          <w:rFonts w:hint="default" w:ascii="Times New Roman" w:hAnsi="Times New Roman" w:cs="Times New Roman"/>
          <w:b/>
          <w:sz w:val="24"/>
          <w:szCs w:val="24"/>
        </w:rPr>
      </w:pPr>
      <w:r>
        <w:rPr>
          <w:rFonts w:hint="default" w:ascii="Times New Roman" w:hAnsi="Times New Roman" w:cs="Times New Roman"/>
          <w:b/>
          <w:sz w:val="24"/>
          <w:szCs w:val="24"/>
        </w:rPr>
        <w:t>3.3.4.2 地下水</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本项目为生猪养殖项目，</w:t>
      </w:r>
      <w:r>
        <w:rPr>
          <w:rFonts w:hint="default" w:ascii="Times New Roman" w:hAnsi="Times New Roman" w:cs="Times New Roman"/>
          <w:kern w:val="0"/>
          <w:sz w:val="24"/>
          <w:szCs w:val="24"/>
        </w:rPr>
        <w:t>猪舍、猪粪暂存区、污水处理设施</w:t>
      </w:r>
      <w:r>
        <w:rPr>
          <w:rFonts w:hint="default" w:ascii="Times New Roman" w:hAnsi="Times New Roman" w:cs="Times New Roman"/>
          <w:sz w:val="24"/>
          <w:szCs w:val="24"/>
        </w:rPr>
        <w:t>、医疗废物暂存间等泄漏会对地下水造成影响。本项目的地下水污染预防措施应按照“源头控制、分区防治、污染监控、应急响应” 的主动与被动防渗相结合的防渗原则。本项目地下水和土壤的防治措施如下所述；</w:t>
      </w:r>
    </w:p>
    <w:p>
      <w:pPr>
        <w:spacing w:line="360" w:lineRule="auto"/>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 （1）源头控制</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① 积极推行实施清洁生产，实现各类废物循环利用，减少污染物的排放。</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② 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③ 对工艺、管道、设备、污水储存及处理构筑物采取控制措施，防止污染物的跑、冒、滴、漏，将污染物泄漏的环境风险事故降到最低限度。</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④异污水处理工艺中各池体和污水收集管道均为可视性、架空设计。</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⑤</w:t>
      </w:r>
      <w:r>
        <w:rPr>
          <w:rFonts w:hint="default" w:ascii="Times New Roman" w:hAnsi="Times New Roman" w:cs="Times New Roman"/>
          <w:kern w:val="0"/>
          <w:sz w:val="24"/>
          <w:szCs w:val="24"/>
        </w:rPr>
        <w:t>及时检查相应污染治理措施，清理场地，避免受雨水冲刷污染物对居民造成影响。</w:t>
      </w:r>
    </w:p>
    <w:p>
      <w:pPr>
        <w:spacing w:line="360" w:lineRule="auto"/>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 （2）分区防治</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根据《环境影响评价技术导则 地下水环境》（HJ 610-2016），本项目分为非防渗区、简单防渗区和一般防渗区域、重点防渗区域进行防渗。</w:t>
      </w:r>
      <w:r>
        <w:rPr>
          <w:rFonts w:hint="default" w:ascii="Times New Roman" w:hAnsi="Times New Roman" w:cs="Times New Roman"/>
          <w:sz w:val="24"/>
          <w:szCs w:val="24"/>
          <w:u w:val="single"/>
        </w:rPr>
        <w:t>非防渗区</w:t>
      </w:r>
      <w:r>
        <w:rPr>
          <w:rFonts w:hint="default" w:ascii="Times New Roman" w:hAnsi="Times New Roman" w:cs="Times New Roman"/>
          <w:sz w:val="24"/>
          <w:szCs w:val="24"/>
        </w:rPr>
        <w:t>主要为绿化用地；</w:t>
      </w:r>
      <w:r>
        <w:rPr>
          <w:rFonts w:hint="default" w:ascii="Times New Roman" w:hAnsi="Times New Roman" w:cs="Times New Roman"/>
          <w:sz w:val="24"/>
          <w:szCs w:val="24"/>
          <w:u w:val="single"/>
        </w:rPr>
        <w:t>简单防渗区域</w:t>
      </w:r>
      <w:r>
        <w:rPr>
          <w:rFonts w:hint="default" w:ascii="Times New Roman" w:hAnsi="Times New Roman" w:cs="Times New Roman"/>
          <w:sz w:val="24"/>
          <w:szCs w:val="24"/>
        </w:rPr>
        <w:t>主要为办公楼、场内道路等；</w:t>
      </w:r>
      <w:r>
        <w:rPr>
          <w:rFonts w:hint="default" w:ascii="Times New Roman" w:hAnsi="Times New Roman" w:cs="Times New Roman"/>
          <w:sz w:val="24"/>
          <w:szCs w:val="24"/>
          <w:u w:val="single"/>
        </w:rPr>
        <w:t>一般防渗区域</w:t>
      </w:r>
      <w:r>
        <w:rPr>
          <w:rFonts w:hint="default" w:ascii="Times New Roman" w:hAnsi="Times New Roman" w:cs="Times New Roman"/>
          <w:sz w:val="24"/>
          <w:szCs w:val="24"/>
        </w:rPr>
        <w:t>为</w:t>
      </w:r>
      <w:r>
        <w:rPr>
          <w:rFonts w:hint="default" w:ascii="Times New Roman" w:hAnsi="Times New Roman" w:cs="Times New Roman"/>
          <w:kern w:val="0"/>
          <w:sz w:val="24"/>
          <w:szCs w:val="24"/>
        </w:rPr>
        <w:t>猪舍、污水处理</w:t>
      </w:r>
      <w:r>
        <w:rPr>
          <w:rFonts w:hint="default" w:ascii="Times New Roman" w:hAnsi="Times New Roman" w:cs="Times New Roman"/>
          <w:sz w:val="24"/>
          <w:szCs w:val="24"/>
        </w:rPr>
        <w:t>工艺中各池体（蓄尿池、粪污调浆池、厌氧池、好氧池等）、预处理池、隔油池、污水收集导流沟槽；</w:t>
      </w:r>
      <w:r>
        <w:rPr>
          <w:rFonts w:hint="default" w:ascii="Times New Roman" w:hAnsi="Times New Roman" w:cs="Times New Roman"/>
          <w:sz w:val="24"/>
          <w:szCs w:val="24"/>
          <w:u w:val="single"/>
        </w:rPr>
        <w:t>重点防渗区域</w:t>
      </w:r>
      <w:r>
        <w:rPr>
          <w:rFonts w:hint="default" w:ascii="Times New Roman" w:hAnsi="Times New Roman" w:cs="Times New Roman"/>
          <w:sz w:val="24"/>
          <w:szCs w:val="24"/>
        </w:rPr>
        <w:t>为医疗废物暂存间。</w:t>
      </w:r>
    </w:p>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sz w:val="24"/>
          <w:szCs w:val="24"/>
        </w:rPr>
        <w:t>非防渗区：</w:t>
      </w:r>
      <w:r>
        <w:rPr>
          <w:rFonts w:hint="default" w:ascii="Times New Roman" w:hAnsi="Times New Roman" w:cs="Times New Roman"/>
          <w:sz w:val="24"/>
          <w:szCs w:val="24"/>
        </w:rPr>
        <w:t>绿化用地；</w:t>
      </w:r>
    </w:p>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sz w:val="24"/>
          <w:szCs w:val="24"/>
        </w:rPr>
        <w:t>简单防渗区域：</w:t>
      </w:r>
      <w:r>
        <w:rPr>
          <w:rFonts w:hint="default" w:ascii="Times New Roman" w:hAnsi="Times New Roman" w:cs="Times New Roman"/>
          <w:sz w:val="24"/>
          <w:szCs w:val="24"/>
        </w:rPr>
        <w:t>生活办公楼、饲料仓库、隔离区、消毒室、配电房以及厂区道路。参照《环境影响评价技术导则 地下水环境》（HJ 610-2016），简单防渗可采用一般地面硬化。评价要求简单防渗地区采用混凝土进行硬化。</w:t>
      </w:r>
    </w:p>
    <w:p>
      <w:pPr>
        <w:spacing w:line="360" w:lineRule="auto"/>
        <w:ind w:firstLine="482" w:firstLineChars="200"/>
        <w:rPr>
          <w:rFonts w:hint="default" w:ascii="Times New Roman" w:hAnsi="Times New Roman" w:cs="Times New Roman"/>
          <w:bCs/>
          <w:sz w:val="24"/>
          <w:szCs w:val="24"/>
        </w:rPr>
      </w:pPr>
      <w:r>
        <w:rPr>
          <w:rFonts w:hint="default" w:ascii="Times New Roman" w:hAnsi="Times New Roman" w:cs="Times New Roman"/>
          <w:b/>
          <w:sz w:val="24"/>
          <w:szCs w:val="24"/>
        </w:rPr>
        <w:t>一般防渗区域：</w:t>
      </w:r>
      <w:r>
        <w:rPr>
          <w:rFonts w:hint="default" w:ascii="Times New Roman" w:hAnsi="Times New Roman" w:cs="Times New Roman"/>
          <w:bCs/>
          <w:sz w:val="24"/>
          <w:szCs w:val="24"/>
        </w:rPr>
        <w:t>一般防渗区域：猪舍、堆粪场、污水处理站、污水暂存池以应进行一般防渗，采用防渗混凝土，防渗要求为：等效黏土防渗层Mb≥1.5m，渗透系数≤10</w:t>
      </w:r>
      <w:r>
        <w:rPr>
          <w:rFonts w:hint="default" w:ascii="Times New Roman" w:hAnsi="Times New Roman" w:cs="Times New Roman"/>
          <w:bCs/>
          <w:sz w:val="24"/>
          <w:szCs w:val="24"/>
          <w:vertAlign w:val="superscript"/>
        </w:rPr>
        <w:t>-7</w:t>
      </w:r>
      <w:r>
        <w:rPr>
          <w:rFonts w:hint="default" w:ascii="Times New Roman" w:hAnsi="Times New Roman" w:cs="Times New Roman"/>
          <w:bCs/>
          <w:sz w:val="24"/>
          <w:szCs w:val="24"/>
        </w:rPr>
        <w:t xml:space="preserve">cm/s；或参照GB16889执行。 </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 xml:space="preserve">猪舍：修建地沟、围堰等必要设施，避免粪尿与地面的直接接触。同时地面全部防渗，采用抗酸碱、抗腐蚀性的防渗材料。 </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堆粪场：粪渣堆场设置雨棚、场地阻隔墙、地面防渗材料和污水管道，将渗滤液送至污水处理系统；粪渣等固体废弃物及时清运，避免了因降水使固体废弃物中有害成份渗出污染地下水。</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 xml:space="preserve">污水处理池、应急池及相关管道：厂区内废水收集系统，采用密闭管道输送。各污水输送管道及污水处理池、应急池均进行防腐、 防渗处理，避免对地下水的污染。 </w:t>
      </w:r>
    </w:p>
    <w:p>
      <w:pPr>
        <w:pStyle w:val="2"/>
        <w:spacing w:line="360" w:lineRule="auto"/>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b/>
        </w:rPr>
        <w:t xml:space="preserve"> 重点防渗：</w:t>
      </w:r>
      <w:r>
        <w:rPr>
          <w:rFonts w:hint="default" w:ascii="Times New Roman" w:hAnsi="Times New Roman" w:cs="Times New Roman"/>
        </w:rPr>
        <w:t>医疗废物暂存间进行重点防渗，</w:t>
      </w:r>
      <w:r>
        <w:rPr>
          <w:rFonts w:hint="default" w:ascii="Times New Roman" w:hAnsi="Times New Roman" w:cs="Times New Roman"/>
          <w:bCs/>
        </w:rPr>
        <w:t>严格按照《危险废物贮存污染控制标准》的要求设计，地面做好地面防雨、防渗、防腐措施，基础周围设置地沟、围堰，并对地沟、围堰进行防渗、防腐处理，以防范装卸作业泄漏、溢流等意外污染事故的发生。本项目采用防渗混凝土+环氧树脂，</w:t>
      </w:r>
      <w:r>
        <w:rPr>
          <w:rFonts w:hint="default" w:ascii="Times New Roman" w:hAnsi="Times New Roman" w:cs="Times New Roman"/>
        </w:rPr>
        <w:t>防渗等效黏土防渗层Mb≥6.0m，渗透系数≤1×10</w:t>
      </w:r>
      <w:r>
        <w:rPr>
          <w:rFonts w:hint="default" w:ascii="Times New Roman" w:hAnsi="Times New Roman" w:cs="Times New Roman"/>
          <w:vertAlign w:val="superscript"/>
        </w:rPr>
        <w:t>-7</w:t>
      </w:r>
      <w:r>
        <w:rPr>
          <w:rFonts w:hint="default" w:ascii="Times New Roman" w:hAnsi="Times New Roman" w:cs="Times New Roman"/>
        </w:rPr>
        <w:t>cm/s；或参照GB16889执行。</w:t>
      </w:r>
    </w:p>
    <w:p>
      <w:pPr>
        <w:spacing w:line="360" w:lineRule="auto"/>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（3）定期进行检漏监测及检修</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强化各相关工程的转弯、承插、对接等处的防渗，做好隐蔽工程记录，强化施工期防渗工程的环境监理。本项目的</w:t>
      </w:r>
      <w:r>
        <w:rPr>
          <w:rFonts w:hint="default" w:ascii="Times New Roman" w:hAnsi="Times New Roman" w:cs="Times New Roman"/>
          <w:kern w:val="0"/>
          <w:sz w:val="24"/>
          <w:szCs w:val="24"/>
        </w:rPr>
        <w:t>猪舍、</w:t>
      </w:r>
      <w:r>
        <w:rPr>
          <w:rFonts w:hint="default" w:ascii="Times New Roman" w:hAnsi="Times New Roman" w:cs="Times New Roman"/>
          <w:sz w:val="24"/>
          <w:szCs w:val="24"/>
        </w:rPr>
        <w:t>异位发酵床工艺中各池体（蓄尿池、粪污调浆池、异位发酵池等）、预处理池、隔油池、污水收集导流沟槽以及医疗废物暂存间的防渗措施应按照要求进行防渗。医疗废物暂存间对危险废物应及时收集，并按照类别分置于防渗漏的专用包装物或容器，并有明显的警示标识和警示说明；暂存间要采取“三防”措施；禁止在非贮存点（容器）倾倒和堆放。</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（4）风险事故应急响应</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① 制定地下水风险事故应急响应预案，事故状态确保防控体系的有效运行。</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② 地下水或土壤受到污染时，应及时采取措施防治污染扩散，并对受污染的地下水和土壤进行治理。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综上，本项目采取以上防渗措施后，对地下水的影响是可以接受的。</w:t>
      </w:r>
    </w:p>
    <w:p>
      <w:pPr>
        <w:spacing w:line="360" w:lineRule="auto"/>
        <w:ind w:left="482" w:firstLine="120" w:firstLineChars="50"/>
        <w:outlineLvl w:val="3"/>
        <w:rPr>
          <w:rFonts w:hint="default" w:ascii="Times New Roman" w:hAnsi="Times New Roman" w:cs="Times New Roman"/>
          <w:b/>
          <w:sz w:val="24"/>
          <w:szCs w:val="24"/>
        </w:rPr>
      </w:pPr>
      <w:r>
        <w:rPr>
          <w:rFonts w:hint="default" w:ascii="Times New Roman" w:hAnsi="Times New Roman" w:cs="Times New Roman"/>
          <w:b/>
          <w:sz w:val="24"/>
          <w:szCs w:val="24"/>
        </w:rPr>
        <w:t xml:space="preserve">3.3.4.3 </w:t>
      </w:r>
      <w:bookmarkEnd w:id="180"/>
      <w:r>
        <w:rPr>
          <w:rFonts w:hint="default" w:ascii="Times New Roman" w:hAnsi="Times New Roman" w:cs="Times New Roman"/>
          <w:b/>
          <w:sz w:val="24"/>
          <w:szCs w:val="24"/>
        </w:rPr>
        <w:t>废气</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本项目营运期产生的废气主要包括养殖废气（恶臭）、燃烧废气、备用柴油发电机烟气以及食堂油烟等。项目饲料直接外购成品颗粒饲料，不进行加工，无粉尘等产生。</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（1）餐饮油烟</w:t>
      </w:r>
    </w:p>
    <w:p>
      <w:pPr>
        <w:overflowPunct w:val="0"/>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项目设置食堂，食堂烹饪过程中将产生餐饮油烟。烹调油烟气，主要有脂肪酸、烷烃、烯烃、醛、酮、醇、酯、芳香化合物和杂环化合物等，具体成分因烹饪条件不同而各异。资料表明，目前城市居民人均使拥有消耗量约30g/人·d，一般油烟挥发量占总耗油量的2～4%，平均为2.83%。项目食堂就餐人数为20人/d计，则拟建项目消耗食用油共约0.6kg/d，219kg/a。油烟产生量约0.017kg/d，6.198kg/a。油烟产生时间按每天2h计，则油烟产生量为8.49g/h。</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 拟采取治理措施：</w:t>
      </w:r>
      <w:r>
        <w:rPr>
          <w:rFonts w:hint="default" w:ascii="Times New Roman" w:hAnsi="Times New Roman" w:cs="Times New Roman"/>
          <w:sz w:val="24"/>
          <w:szCs w:val="24"/>
        </w:rPr>
        <w:t>项目就餐人数较少，评价要求设置一台抽油烟机（处理效率60%）对餐饮油烟进行处理后，风量2000m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/h，油烟经抽油烟机处理后高于屋顶排放，排放量为排放浓度约为1.70mg/m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，能达到GB18483-2001《饮食业油烟排放标准》（小型）标准的要求（2mg/m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（2）沼气燃烧废气</w:t>
      </w:r>
    </w:p>
    <w:p>
      <w:pPr>
        <w:overflowPunct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厌氧发酵产生的沼气是含CH</w:t>
      </w:r>
      <w:r>
        <w:rPr>
          <w:rFonts w:hint="default" w:ascii="Times New Roman" w:hAnsi="Times New Roman" w:cs="Times New Roman"/>
          <w:sz w:val="24"/>
          <w:szCs w:val="24"/>
          <w:vertAlign w:val="subscript"/>
        </w:rPr>
        <w:t>4</w:t>
      </w:r>
      <w:r>
        <w:rPr>
          <w:rFonts w:hint="default" w:ascii="Times New Roman" w:hAnsi="Times New Roman" w:cs="Times New Roman"/>
          <w:sz w:val="24"/>
          <w:szCs w:val="24"/>
        </w:rPr>
        <w:t>、CO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S和饱和水蒸气的混合气体。H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S不仅有毒，而且有很强的腐蚀性。过量的H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S和杂质会危及沼气管网的寿命，因此使用脱硫剂对沼气进行脱硫处理。</w:t>
      </w:r>
    </w:p>
    <w:p>
      <w:pPr>
        <w:overflowPunct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沼气中含有一定水分，在输气管路凝结会阻碍沼气的流动，所以设置气水分离及排水装置。沼气的产生是一个连续的过程，但是沼气使用时间比较集中。因此设置沼气柜调节产气和用气的时间差。</w:t>
      </w:r>
    </w:p>
    <w:p>
      <w:pPr>
        <w:overflowPunct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沼气特性参数一览表如下：</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表3.3-6 沼气特性参数一览表</w:t>
      </w:r>
    </w:p>
    <w:tbl>
      <w:tblPr>
        <w:tblStyle w:val="33"/>
        <w:tblW w:w="98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2340"/>
        <w:gridCol w:w="2029"/>
        <w:gridCol w:w="41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364" w:type="dxa"/>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4369" w:type="dxa"/>
            <w:gridSpan w:val="2"/>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特性参数</w:t>
            </w:r>
          </w:p>
        </w:tc>
        <w:tc>
          <w:tcPr>
            <w:tcW w:w="4107" w:type="dxa"/>
            <w:vAlign w:val="center"/>
          </w:tcPr>
          <w:p>
            <w:pPr>
              <w:jc w:val="center"/>
              <w:rPr>
                <w:rFonts w:hint="default" w:ascii="Times New Roman" w:hAnsi="Times New Roman" w:cs="Times New Roman"/>
                <w:b/>
                <w:szCs w:val="21"/>
              </w:rPr>
            </w:pPr>
            <w:r>
              <w:rPr>
                <w:rFonts w:hint="default" w:ascii="Times New Roman" w:hAnsi="Times New Roman" w:cs="Times New Roman"/>
                <w:b/>
                <w:szCs w:val="21"/>
              </w:rPr>
              <w:t>CH</w:t>
            </w:r>
            <w:r>
              <w:rPr>
                <w:rFonts w:hint="default" w:ascii="Times New Roman" w:hAnsi="Times New Roman" w:cs="Times New Roman"/>
                <w:b/>
                <w:szCs w:val="21"/>
                <w:vertAlign w:val="subscript"/>
              </w:rPr>
              <w:t>4</w:t>
            </w:r>
            <w:r>
              <w:rPr>
                <w:rFonts w:hint="default" w:ascii="Times New Roman" w:hAnsi="Times New Roman" w:cs="Times New Roman"/>
                <w:b/>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364" w:type="dxa"/>
            <w:vMerge w:val="continue"/>
            <w:vAlign w:val="center"/>
          </w:tcPr>
          <w:p>
            <w:pPr>
              <w:jc w:val="center"/>
              <w:rPr>
                <w:rFonts w:hint="default" w:ascii="Times New Roman" w:hAnsi="Times New Roman" w:cs="Times New Roman"/>
                <w:b/>
                <w:szCs w:val="21"/>
              </w:rPr>
            </w:pPr>
          </w:p>
        </w:tc>
        <w:tc>
          <w:tcPr>
            <w:tcW w:w="4369" w:type="dxa"/>
            <w:gridSpan w:val="2"/>
            <w:vMerge w:val="continue"/>
            <w:vAlign w:val="center"/>
          </w:tcPr>
          <w:p>
            <w:pPr>
              <w:jc w:val="center"/>
              <w:rPr>
                <w:rFonts w:hint="default" w:ascii="Times New Roman" w:hAnsi="Times New Roman" w:cs="Times New Roman"/>
                <w:b/>
                <w:szCs w:val="21"/>
              </w:rPr>
            </w:pPr>
          </w:p>
        </w:tc>
        <w:tc>
          <w:tcPr>
            <w:tcW w:w="4107" w:type="dxa"/>
            <w:vAlign w:val="center"/>
          </w:tcPr>
          <w:p>
            <w:pPr>
              <w:jc w:val="center"/>
              <w:rPr>
                <w:rFonts w:hint="default" w:ascii="Times New Roman" w:hAnsi="Times New Roman" w:cs="Times New Roman"/>
                <w:b/>
                <w:szCs w:val="21"/>
              </w:rPr>
            </w:pPr>
            <w:r>
              <w:rPr>
                <w:rFonts w:hint="default" w:ascii="Times New Roman" w:hAnsi="Times New Roman" w:cs="Times New Roman"/>
                <w:b/>
                <w:szCs w:val="21"/>
              </w:rPr>
              <w:t>CO</w:t>
            </w:r>
            <w:r>
              <w:rPr>
                <w:rFonts w:hint="default" w:ascii="Times New Roman" w:hAnsi="Times New Roman" w:cs="Times New Roman"/>
                <w:b/>
                <w:szCs w:val="21"/>
                <w:vertAlign w:val="subscript"/>
              </w:rPr>
              <w:t>2</w:t>
            </w:r>
            <w:r>
              <w:rPr>
                <w:rFonts w:hint="default" w:ascii="Times New Roman" w:hAnsi="Times New Roman" w:cs="Times New Roman"/>
                <w:b/>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36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4369"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密度（kg/m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410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1.221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36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4369"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比重</w:t>
            </w:r>
          </w:p>
        </w:tc>
        <w:tc>
          <w:tcPr>
            <w:tcW w:w="410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0.944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36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4369"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热值（kJ/m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410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21524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36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4369"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理论空气量（m</w:t>
            </w:r>
            <w:r>
              <w:rPr>
                <w:rFonts w:hint="default" w:ascii="Times New Roman" w:hAnsi="Times New Roman" w:cs="Times New Roman"/>
                <w:szCs w:val="21"/>
                <w:vertAlign w:val="superscript"/>
              </w:rPr>
              <w:t>3</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410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364"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2340"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爆炸极限（%）</w:t>
            </w:r>
          </w:p>
        </w:tc>
        <w:tc>
          <w:tcPr>
            <w:tcW w:w="202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上限</w:t>
            </w:r>
          </w:p>
        </w:tc>
        <w:tc>
          <w:tcPr>
            <w:tcW w:w="410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24.44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364" w:type="dxa"/>
            <w:vMerge w:val="continue"/>
            <w:vAlign w:val="center"/>
          </w:tcPr>
          <w:p>
            <w:pPr>
              <w:jc w:val="center"/>
              <w:rPr>
                <w:rFonts w:hint="default" w:ascii="Times New Roman" w:hAnsi="Times New Roman" w:cs="Times New Roman"/>
                <w:szCs w:val="21"/>
              </w:rPr>
            </w:pPr>
          </w:p>
        </w:tc>
        <w:tc>
          <w:tcPr>
            <w:tcW w:w="2340" w:type="dxa"/>
            <w:vMerge w:val="continue"/>
            <w:vAlign w:val="center"/>
          </w:tcPr>
          <w:p>
            <w:pPr>
              <w:jc w:val="center"/>
              <w:rPr>
                <w:rFonts w:hint="default" w:ascii="Times New Roman" w:hAnsi="Times New Roman" w:cs="Times New Roman"/>
                <w:szCs w:val="21"/>
              </w:rPr>
            </w:pPr>
          </w:p>
        </w:tc>
        <w:tc>
          <w:tcPr>
            <w:tcW w:w="202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下限</w:t>
            </w:r>
          </w:p>
        </w:tc>
        <w:tc>
          <w:tcPr>
            <w:tcW w:w="410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36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6</w:t>
            </w:r>
          </w:p>
        </w:tc>
        <w:tc>
          <w:tcPr>
            <w:tcW w:w="4369"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理论烟气量（m</w:t>
            </w:r>
            <w:r>
              <w:rPr>
                <w:rFonts w:hint="default" w:ascii="Times New Roman" w:hAnsi="Times New Roman" w:cs="Times New Roman"/>
                <w:szCs w:val="21"/>
                <w:vertAlign w:val="superscript"/>
              </w:rPr>
              <w:t>3</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410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8.914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36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w:t>
            </w:r>
          </w:p>
        </w:tc>
        <w:tc>
          <w:tcPr>
            <w:tcW w:w="4369"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火焰传播速度（m/s）</w:t>
            </w:r>
          </w:p>
        </w:tc>
        <w:tc>
          <w:tcPr>
            <w:tcW w:w="410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0.198</w:t>
            </w:r>
          </w:p>
        </w:tc>
      </w:tr>
    </w:tbl>
    <w:p>
      <w:pPr>
        <w:overflowPunct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根据《规模化畜禽养殖场沼气工程设计规范》中的数据，厌氧反应器每去除1kgCOD，可产生沼气0.3～0.4m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（理论计算的近似值,本次计算取中间值0.35m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），按最大废水产生量计，项目每天有89.845m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的废液（按夏季最大量计）进入厌氧反应器，每天COD的去除量为0.23t，沼气产生量约为78m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产生的沼气在沼气储气柜经脱硫剂进行脱硫处理后用于职工热水、食堂炉灶所用燃料。沼气属于清洁能源，燃烧后的产污为二氧化碳和水，不会污染环境。废脱硫剂由生产厂家定期进行更换并回收。根据设计，项目建设1个沼气储气柜，容积占日产量的50%，因此，沼气柜容积为39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，使用不完的沼气储存在沼气柜中备用。</w:t>
      </w:r>
    </w:p>
    <w:p>
      <w:pPr>
        <w:spacing w:line="360" w:lineRule="auto"/>
        <w:ind w:firstLine="361" w:firstLineChars="150"/>
        <w:rPr>
          <w:rFonts w:hint="default" w:ascii="Times New Roman" w:hAnsi="Times New Roman" w:cs="Times New Roman"/>
          <w:b/>
          <w:bCs/>
          <w:color w:val="000000"/>
          <w:sz w:val="24"/>
          <w:szCs w:val="24"/>
        </w:rPr>
      </w:pPr>
      <w:r>
        <w:rPr>
          <w:rFonts w:hint="default" w:ascii="Times New Roman" w:hAnsi="Times New Roman" w:cs="Times New Roman"/>
          <w:b/>
          <w:color w:val="000000"/>
          <w:sz w:val="24"/>
          <w:szCs w:val="24"/>
        </w:rPr>
        <w:t>（3）</w:t>
      </w:r>
      <w:r>
        <w:rPr>
          <w:rFonts w:hint="default" w:ascii="Times New Roman" w:hAnsi="Times New Roman" w:cs="Times New Roman"/>
          <w:b/>
          <w:bCs/>
          <w:color w:val="000000"/>
          <w:sz w:val="24"/>
          <w:szCs w:val="24"/>
        </w:rPr>
        <w:t>备用发电机烟气</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项目配备柴油发电机，储油罐的容量为20kg，置于项目库房旁发电机房内，仅在断电时临时使用，主要产生NO</w:t>
      </w:r>
      <w:r>
        <w:rPr>
          <w:rFonts w:hint="default" w:ascii="Times New Roman" w:hAnsi="Times New Roman" w:cs="Times New Roman"/>
          <w:color w:val="000000"/>
          <w:sz w:val="24"/>
          <w:szCs w:val="24"/>
          <w:vertAlign w:val="subscript"/>
        </w:rPr>
        <w:t>X</w:t>
      </w:r>
      <w:r>
        <w:rPr>
          <w:rFonts w:hint="default" w:ascii="Times New Roman" w:hAnsi="Times New Roman" w:cs="Times New Roman"/>
          <w:color w:val="000000"/>
          <w:sz w:val="24"/>
          <w:szCs w:val="24"/>
        </w:rPr>
        <w:t>、SO</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CO等污染物。因项目处丘陵地带山顶，通风扩散条件较好，柴油发电机房及储油间采取自然通风。根据区域电力供应情况分析，项目备用发电机的使用时间、几率较少，产生烟气量较小，一般柴油发电机都自带烟气净化装置，烟气经处理后能够实现达标排放。</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（4） 恶臭</w:t>
      </w:r>
    </w:p>
    <w:p>
      <w:pPr>
        <w:spacing w:line="360" w:lineRule="auto"/>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 </w:t>
      </w: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 1 \* GB3 </w:instrText>
      </w:r>
      <w:r>
        <w:rPr>
          <w:rFonts w:hint="default" w:ascii="Times New Roman" w:hAnsi="Times New Roman" w:cs="Times New Roman"/>
          <w:b/>
          <w:sz w:val="24"/>
          <w:szCs w:val="24"/>
        </w:rPr>
        <w:fldChar w:fldCharType="separate"/>
      </w:r>
      <w:r>
        <w:rPr>
          <w:rFonts w:hint="default" w:ascii="Times New Roman" w:hAnsi="Times New Roman" w:cs="Times New Roman"/>
          <w:b/>
          <w:sz w:val="24"/>
          <w:szCs w:val="24"/>
        </w:rPr>
        <w:t>①</w:t>
      </w:r>
      <w:r>
        <w:rPr>
          <w:rFonts w:hint="default" w:ascii="Times New Roman" w:hAnsi="Times New Roman" w:cs="Times New Roman"/>
          <w:b/>
          <w:sz w:val="24"/>
          <w:szCs w:val="24"/>
        </w:rPr>
        <w:fldChar w:fldCharType="end"/>
      </w:r>
      <w:r>
        <w:rPr>
          <w:rFonts w:hint="default" w:ascii="Times New Roman" w:hAnsi="Times New Roman" w:cs="Times New Roman"/>
          <w:b/>
          <w:sz w:val="24"/>
          <w:szCs w:val="24"/>
        </w:rPr>
        <w:t>产生源</w:t>
      </w:r>
    </w:p>
    <w:p>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本项目产生的恶臭主要来源于猪舍、猪粪暂存间、</w:t>
      </w:r>
      <w:r>
        <w:rPr>
          <w:rFonts w:hint="default" w:ascii="Times New Roman" w:hAnsi="Times New Roman" w:cs="Times New Roman"/>
          <w:sz w:val="24"/>
          <w:szCs w:val="24"/>
          <w:lang w:eastAsia="zh-CN"/>
        </w:rPr>
        <w:t>污水处理站</w:t>
      </w:r>
      <w:r>
        <w:rPr>
          <w:rFonts w:hint="default" w:ascii="Times New Roman" w:hAnsi="Times New Roman" w:cs="Times New Roman"/>
          <w:sz w:val="24"/>
          <w:szCs w:val="24"/>
        </w:rPr>
        <w:t>恶臭气体</w:t>
      </w:r>
      <w:r>
        <w:rPr>
          <w:rFonts w:hint="default" w:ascii="Times New Roman" w:hAnsi="Times New Roman" w:cs="Times New Roman"/>
          <w:sz w:val="24"/>
          <w:szCs w:val="24"/>
          <w:lang w:eastAsia="zh-CN"/>
        </w:rPr>
        <w:t>。</w:t>
      </w:r>
    </w:p>
    <w:p>
      <w:pPr>
        <w:spacing w:line="360" w:lineRule="auto"/>
        <w:ind w:firstLine="482" w:firstLineChars="200"/>
        <w:rPr>
          <w:rFonts w:hint="default" w:ascii="Times New Roman" w:hAnsi="Times New Roman" w:cs="Times New Roman"/>
          <w:bCs/>
          <w:sz w:val="24"/>
          <w:szCs w:val="24"/>
        </w:rPr>
      </w:pPr>
      <w:r>
        <w:rPr>
          <w:rFonts w:hint="default" w:ascii="Times New Roman" w:hAnsi="Times New Roman" w:cs="Times New Roman"/>
          <w:b/>
          <w:sz w:val="24"/>
          <w:szCs w:val="24"/>
        </w:rPr>
        <w:t>产生情况：</w:t>
      </w:r>
      <w:r>
        <w:rPr>
          <w:rFonts w:hint="default" w:ascii="Times New Roman" w:hAnsi="Times New Roman" w:cs="Times New Roman"/>
          <w:bCs/>
          <w:sz w:val="24"/>
          <w:szCs w:val="24"/>
        </w:rPr>
        <w:t>项目清粪工艺采用改良型全漏缝板机械清粪工艺，干湿分离出的固体粪渣采用刮粪板每天清粪，再由输粪管道输送至堆粪区，外售给夹江县果香四季家庭农场，用作有机肥使用。因此，项目恶臭主要产生于猪舍、污水处理站、</w:t>
      </w:r>
      <w:r>
        <w:rPr>
          <w:rFonts w:hint="default" w:ascii="Times New Roman" w:hAnsi="Times New Roman" w:cs="Times New Roman"/>
          <w:sz w:val="24"/>
          <w:szCs w:val="24"/>
        </w:rPr>
        <w:t>猪粪暂存间</w:t>
      </w:r>
      <w:r>
        <w:rPr>
          <w:rFonts w:hint="default" w:ascii="Times New Roman" w:hAnsi="Times New Roman" w:cs="Times New Roman"/>
          <w:bCs/>
          <w:sz w:val="24"/>
          <w:szCs w:val="24"/>
        </w:rPr>
        <w:t>，具体分析如下：</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①动物本身：包括猪只皮脂腺和汗腺的分泌物、猪只体外激素、黏附在体表的污物、呼出气中的CO</w:t>
      </w:r>
      <w:r>
        <w:rPr>
          <w:rFonts w:hint="default" w:ascii="Times New Roman" w:hAnsi="Times New Roman" w:cs="Times New Roman"/>
          <w:bCs/>
          <w:sz w:val="24"/>
          <w:szCs w:val="24"/>
          <w:vertAlign w:val="subscript"/>
        </w:rPr>
        <w:t>2</w:t>
      </w:r>
      <w:r>
        <w:rPr>
          <w:rFonts w:hint="default" w:ascii="Times New Roman" w:hAnsi="Times New Roman" w:cs="Times New Roman"/>
          <w:bCs/>
          <w:sz w:val="24"/>
          <w:szCs w:val="24"/>
        </w:rPr>
        <w:t>（含量比大气约高100倍）等都会散发出难闻的气味等；</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②饲料：饲料中纤维分解时产生的甲烷、饲料在猪只消化道内经过各种消化酶、肠道细菌的作用，会产生吲哚、粪臭素、硫化氢等使粪有臭味的气体；</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③粪尿的臭味：猪舍中刚排泄出的粪尿中有氨、硫化氢、胺等有害气体，进而产生甲硫醇、多胺、脂肪酸、吲哚等，在高温季节尤为明显；此外，粪尿在猪舍地下的储存池内停留，形成厌氧发酵，产生大量的有害气体，如NH</w:t>
      </w:r>
      <w:r>
        <w:rPr>
          <w:rFonts w:hint="default" w:ascii="Times New Roman" w:hAnsi="Times New Roman" w:cs="Times New Roman"/>
          <w:bCs/>
          <w:sz w:val="24"/>
          <w:szCs w:val="24"/>
          <w:vertAlign w:val="subscript"/>
        </w:rPr>
        <w:t>3</w:t>
      </w:r>
      <w:r>
        <w:rPr>
          <w:rFonts w:hint="default" w:ascii="Times New Roman" w:hAnsi="Times New Roman" w:cs="Times New Roman"/>
          <w:bCs/>
          <w:sz w:val="24"/>
          <w:szCs w:val="24"/>
        </w:rPr>
        <w:t>、H</w:t>
      </w:r>
      <w:r>
        <w:rPr>
          <w:rFonts w:hint="default" w:ascii="Times New Roman" w:hAnsi="Times New Roman" w:cs="Times New Roman"/>
          <w:bCs/>
          <w:sz w:val="24"/>
          <w:szCs w:val="24"/>
          <w:vertAlign w:val="subscript"/>
        </w:rPr>
        <w:t>2</w:t>
      </w:r>
      <w:r>
        <w:rPr>
          <w:rFonts w:hint="default" w:ascii="Times New Roman" w:hAnsi="Times New Roman" w:cs="Times New Roman"/>
          <w:bCs/>
          <w:sz w:val="24"/>
          <w:szCs w:val="24"/>
        </w:rPr>
        <w:t>S、CH</w:t>
      </w:r>
      <w:r>
        <w:rPr>
          <w:rFonts w:hint="default" w:ascii="Times New Roman" w:hAnsi="Times New Roman" w:cs="Times New Roman"/>
          <w:bCs/>
          <w:sz w:val="24"/>
          <w:szCs w:val="24"/>
          <w:vertAlign w:val="subscript"/>
        </w:rPr>
        <w:t>4</w:t>
      </w:r>
      <w:r>
        <w:rPr>
          <w:rFonts w:hint="default" w:ascii="Times New Roman" w:hAnsi="Times New Roman" w:cs="Times New Roman"/>
          <w:bCs/>
          <w:sz w:val="24"/>
          <w:szCs w:val="24"/>
        </w:rPr>
        <w:t>等恶化室内空气环境；</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④污水发酵：本项目污水处理站包括调节池、黑膜沼气池池、曝气池等处理系统等，在经过沉淀、厌氧发酵、接触氧化等过程中会蓄积VFA（挥发性脂肪酸）、酚类、吲哚、粪臭素等，使恶臭增强。</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⑤</w:t>
      </w:r>
      <w:r>
        <w:rPr>
          <w:rFonts w:hint="default" w:ascii="Times New Roman" w:hAnsi="Times New Roman" w:cs="Times New Roman"/>
          <w:sz w:val="24"/>
          <w:szCs w:val="24"/>
        </w:rPr>
        <w:t>猪粪暂存间</w:t>
      </w:r>
      <w:r>
        <w:rPr>
          <w:rFonts w:hint="default" w:ascii="Times New Roman" w:hAnsi="Times New Roman" w:cs="Times New Roman"/>
          <w:bCs/>
          <w:sz w:val="24"/>
          <w:szCs w:val="24"/>
        </w:rPr>
        <w:t>恶臭：项目猪粪暂存间堆放猪粪过程中产生NH</w:t>
      </w:r>
      <w:r>
        <w:rPr>
          <w:rFonts w:hint="default" w:ascii="Times New Roman" w:hAnsi="Times New Roman" w:cs="Times New Roman"/>
          <w:bCs/>
          <w:sz w:val="24"/>
          <w:szCs w:val="24"/>
          <w:vertAlign w:val="subscript"/>
        </w:rPr>
        <w:t>3</w:t>
      </w:r>
      <w:r>
        <w:rPr>
          <w:rFonts w:hint="default" w:ascii="Times New Roman" w:hAnsi="Times New Roman" w:cs="Times New Roman"/>
          <w:bCs/>
          <w:sz w:val="24"/>
          <w:szCs w:val="24"/>
        </w:rPr>
        <w:t>、H</w:t>
      </w:r>
      <w:r>
        <w:rPr>
          <w:rFonts w:hint="default" w:ascii="Times New Roman" w:hAnsi="Times New Roman" w:cs="Times New Roman"/>
          <w:bCs/>
          <w:sz w:val="24"/>
          <w:szCs w:val="24"/>
          <w:vertAlign w:val="subscript"/>
        </w:rPr>
        <w:t>2</w:t>
      </w:r>
      <w:r>
        <w:rPr>
          <w:rFonts w:hint="default" w:ascii="Times New Roman" w:hAnsi="Times New Roman" w:cs="Times New Roman"/>
          <w:bCs/>
          <w:sz w:val="24"/>
          <w:szCs w:val="24"/>
        </w:rPr>
        <w:t>S、CH</w:t>
      </w:r>
      <w:r>
        <w:rPr>
          <w:rFonts w:hint="default" w:ascii="Times New Roman" w:hAnsi="Times New Roman" w:cs="Times New Roman"/>
          <w:bCs/>
          <w:sz w:val="24"/>
          <w:szCs w:val="24"/>
          <w:vertAlign w:val="subscript"/>
        </w:rPr>
        <w:t>4</w:t>
      </w:r>
      <w:r>
        <w:rPr>
          <w:rFonts w:hint="default" w:ascii="Times New Roman" w:hAnsi="Times New Roman" w:cs="Times New Roman"/>
          <w:bCs/>
          <w:sz w:val="24"/>
          <w:szCs w:val="24"/>
        </w:rPr>
        <w:t>等恶臭气体。</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养猪场散发的气体中含有硫化氢、氨、胺、甲硫醇、挥发性有机酸、吲哚、粪臭素等恶臭物质，污染猪舍和附近大气环境。根据本项目特点，恶臭气体发生源主要分布于猪舍、废水处理站、堆粪区，其产生源在场区分布面较广，并以低矮面源形式排放，堆粪区、猪舍、污水处理设施产生的恶臭目前从经济上和技术上均无成熟的收集处置措施，属无组织排放。</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以上有害气体及生产中产生的微生物等排入大气，刺激人、畜呼吸道，可引起呼吸道疾病；恶臭气体使人产生不愉快的感觉，影响人的工作效率，可引起母猪生产力下降。此外，猪场内空气中的粉尘与猪场臭气产生的关系密切；粉尘是微生物的载体，并吸附大量的挥发性臭气（不饱和醛、粪臭素），随风传播，可引起疫病蔓延，场区孳生大量蚊蝇也易传播疫病、污染环境。</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 2 \* GB3 </w:instrText>
      </w:r>
      <w:r>
        <w:rPr>
          <w:rFonts w:hint="default" w:ascii="Times New Roman" w:hAnsi="Times New Roman" w:cs="Times New Roman"/>
          <w:b/>
          <w:sz w:val="24"/>
          <w:szCs w:val="24"/>
        </w:rPr>
        <w:fldChar w:fldCharType="separate"/>
      </w:r>
      <w:r>
        <w:rPr>
          <w:rFonts w:hint="default" w:ascii="Times New Roman" w:hAnsi="Times New Roman" w:cs="Times New Roman"/>
          <w:b/>
          <w:sz w:val="24"/>
          <w:szCs w:val="24"/>
        </w:rPr>
        <w:t>②</w:t>
      </w:r>
      <w:r>
        <w:rPr>
          <w:rFonts w:hint="default" w:ascii="Times New Roman" w:hAnsi="Times New Roman" w:cs="Times New Roman"/>
          <w:b/>
          <w:sz w:val="24"/>
          <w:szCs w:val="24"/>
        </w:rPr>
        <w:fldChar w:fldCharType="end"/>
      </w:r>
      <w:r>
        <w:rPr>
          <w:rFonts w:hint="default" w:ascii="Times New Roman" w:hAnsi="Times New Roman" w:cs="Times New Roman"/>
          <w:b/>
          <w:sz w:val="24"/>
          <w:szCs w:val="24"/>
        </w:rPr>
        <w:t>产生源强</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根据《畜禽养殖业污染治理工程技术规范》（HJ497-2009）表A.1畜禽养殖场废水中的污染物浓度和pH值中可知，干清粪工艺废水中总氮的产生量平均为370mg/L，按日最大废水产生量计89.845m³/d（夏季），则废水中总氮的产生量为33.243kg/d；根据有关资料监测数据，猪粪中总固体量约20～27.4%，其中含氮量0.6%，根据《畜禽养殖业污染治理工程技术规范》（HJ497-2009）表A.2不同畜禽粪污日排泄量为2kg/只·d，本项目产生的猪粪量为14t/d，则项目猪粪中含氮量为84kg/d，两者合计项目日排总氮量117.243kg/d。饲料选用合理、猪舍管理得当时预计项目总氮转化成NH</w:t>
      </w:r>
      <w:r>
        <w:rPr>
          <w:rFonts w:hint="default" w:ascii="Times New Roman" w:hAnsi="Times New Roman" w:cs="Times New Roman"/>
          <w:bCs/>
          <w:sz w:val="24"/>
          <w:szCs w:val="24"/>
          <w:vertAlign w:val="subscript"/>
        </w:rPr>
        <w:t>3</w:t>
      </w:r>
      <w:r>
        <w:rPr>
          <w:rFonts w:hint="default" w:ascii="Times New Roman" w:hAnsi="Times New Roman" w:cs="Times New Roman"/>
          <w:bCs/>
          <w:sz w:val="24"/>
          <w:szCs w:val="24"/>
        </w:rPr>
        <w:t>约为1%，H</w:t>
      </w:r>
      <w:r>
        <w:rPr>
          <w:rFonts w:hint="default" w:ascii="Times New Roman" w:hAnsi="Times New Roman" w:cs="Times New Roman"/>
          <w:bCs/>
          <w:sz w:val="24"/>
          <w:szCs w:val="24"/>
          <w:vertAlign w:val="subscript"/>
        </w:rPr>
        <w:t>2</w:t>
      </w:r>
      <w:r>
        <w:rPr>
          <w:rFonts w:hint="default" w:ascii="Times New Roman" w:hAnsi="Times New Roman" w:cs="Times New Roman"/>
          <w:bCs/>
          <w:sz w:val="24"/>
          <w:szCs w:val="24"/>
        </w:rPr>
        <w:t>S产生量不大于氨气产生量的10%，则相应NH</w:t>
      </w:r>
      <w:r>
        <w:rPr>
          <w:rFonts w:hint="default" w:ascii="Times New Roman" w:hAnsi="Times New Roman" w:cs="Times New Roman"/>
          <w:bCs/>
          <w:sz w:val="24"/>
          <w:szCs w:val="24"/>
          <w:vertAlign w:val="subscript"/>
        </w:rPr>
        <w:t>3</w:t>
      </w:r>
      <w:r>
        <w:rPr>
          <w:rFonts w:hint="default" w:ascii="Times New Roman" w:hAnsi="Times New Roman" w:cs="Times New Roman"/>
          <w:bCs/>
          <w:sz w:val="24"/>
          <w:szCs w:val="24"/>
        </w:rPr>
        <w:t>最大产生量为1.17kg/d、0.049kg/h，H</w:t>
      </w:r>
      <w:r>
        <w:rPr>
          <w:rFonts w:hint="default" w:ascii="Times New Roman" w:hAnsi="Times New Roman" w:cs="Times New Roman"/>
          <w:bCs/>
          <w:sz w:val="24"/>
          <w:szCs w:val="24"/>
          <w:vertAlign w:val="subscript"/>
        </w:rPr>
        <w:t>2</w:t>
      </w:r>
      <w:r>
        <w:rPr>
          <w:rFonts w:hint="default" w:ascii="Times New Roman" w:hAnsi="Times New Roman" w:cs="Times New Roman"/>
          <w:bCs/>
          <w:sz w:val="24"/>
          <w:szCs w:val="24"/>
        </w:rPr>
        <w:t>S最大产生量为0.117kg/d、0.005kg/h。</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则项目恶臭排放源强见下表。</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表3.3-7  无组织恶臭排放源强</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419"/>
        <w:gridCol w:w="3147"/>
        <w:gridCol w:w="314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3419"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恶臭源强</w:t>
            </w:r>
          </w:p>
        </w:tc>
        <w:tc>
          <w:tcPr>
            <w:tcW w:w="3147"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氨</w:t>
            </w:r>
          </w:p>
        </w:tc>
        <w:tc>
          <w:tcPr>
            <w:tcW w:w="3147"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硫化氢</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3419"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排放量kg/h</w:t>
            </w:r>
          </w:p>
        </w:tc>
        <w:tc>
          <w:tcPr>
            <w:tcW w:w="3147"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0.049</w:t>
            </w:r>
          </w:p>
        </w:tc>
        <w:tc>
          <w:tcPr>
            <w:tcW w:w="3147"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0.005</w:t>
            </w:r>
          </w:p>
        </w:tc>
      </w:tr>
    </w:tbl>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项目采用干清粪工艺，产污源为圈舍、猪粪暂存间、污水处理站，其排放形式为无组织排放。</w:t>
      </w:r>
    </w:p>
    <w:p>
      <w:pPr>
        <w:spacing w:line="360" w:lineRule="auto"/>
        <w:ind w:firstLine="482" w:firstLineChars="200"/>
        <w:rPr>
          <w:rFonts w:hint="default" w:ascii="Times New Roman" w:hAnsi="Times New Roman" w:cs="Times New Roman"/>
          <w:bCs/>
          <w:sz w:val="24"/>
          <w:szCs w:val="24"/>
        </w:rPr>
      </w:pPr>
      <w:r>
        <w:rPr>
          <w:rFonts w:hint="default" w:ascii="Times New Roman" w:hAnsi="Times New Roman" w:cs="Times New Roman"/>
          <w:b/>
          <w:sz w:val="24"/>
          <w:szCs w:val="24"/>
        </w:rPr>
        <w:t>③拟采取治理措施</w:t>
      </w:r>
    </w:p>
    <w:p>
      <w:pPr>
        <w:spacing w:line="360" w:lineRule="auto"/>
        <w:ind w:firstLine="482" w:firstLineChars="200"/>
        <w:rPr>
          <w:rFonts w:hint="default" w:ascii="Times New Roman" w:hAnsi="Times New Roman" w:eastAsia="宋体" w:cs="Times New Roman"/>
          <w:b/>
          <w:bCs w:val="0"/>
          <w:sz w:val="24"/>
          <w:szCs w:val="24"/>
          <w:lang w:eastAsia="zh-CN"/>
        </w:rPr>
      </w:pPr>
      <w:r>
        <w:rPr>
          <w:rFonts w:hint="default" w:ascii="Times New Roman" w:hAnsi="Times New Roman" w:cs="Times New Roman"/>
          <w:b/>
          <w:bCs w:val="0"/>
          <w:sz w:val="24"/>
          <w:szCs w:val="24"/>
        </w:rPr>
        <w:t>圈舍恶臭</w:t>
      </w:r>
      <w:r>
        <w:rPr>
          <w:rFonts w:hint="default" w:ascii="Times New Roman" w:hAnsi="Times New Roman" w:cs="Times New Roman"/>
          <w:b/>
          <w:bCs w:val="0"/>
          <w:sz w:val="24"/>
          <w:szCs w:val="24"/>
          <w:lang w:eastAsia="zh-CN"/>
        </w:rPr>
        <w:t>：</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本项目圈舍恶臭中氨、硫化氢占总量的20%，则圈舍氨的产生情况为：0.</w:t>
      </w:r>
      <w:r>
        <w:rPr>
          <w:rFonts w:hint="default" w:ascii="Times New Roman" w:hAnsi="Times New Roman" w:cs="Times New Roman"/>
          <w:bCs/>
          <w:sz w:val="24"/>
          <w:szCs w:val="24"/>
          <w:lang w:val="en-US" w:eastAsia="zh-CN"/>
        </w:rPr>
        <w:t>0098</w:t>
      </w:r>
      <w:r>
        <w:rPr>
          <w:rFonts w:hint="default" w:ascii="Times New Roman" w:hAnsi="Times New Roman" w:cs="Times New Roman"/>
          <w:bCs/>
          <w:sz w:val="24"/>
          <w:szCs w:val="24"/>
        </w:rPr>
        <w:t>kg/h、硫化氢产生情况为：0.00</w:t>
      </w:r>
      <w:r>
        <w:rPr>
          <w:rFonts w:hint="default" w:ascii="Times New Roman" w:hAnsi="Times New Roman" w:cs="Times New Roman"/>
          <w:bCs/>
          <w:sz w:val="24"/>
          <w:szCs w:val="24"/>
          <w:lang w:val="en-US" w:eastAsia="zh-CN"/>
        </w:rPr>
        <w:t>1</w:t>
      </w:r>
      <w:r>
        <w:rPr>
          <w:rFonts w:hint="default" w:ascii="Times New Roman" w:hAnsi="Times New Roman" w:cs="Times New Roman"/>
          <w:bCs/>
          <w:sz w:val="24"/>
          <w:szCs w:val="24"/>
        </w:rPr>
        <w:t>kg/h。</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由于散发恶臭的源多，而且是以无组织排放的面源形式排放弥散于空气中，要消除和克服这种恶臭异味对场区内和场界外近距离的影响是不易做到的，影响养殖场恶臭产生的主要因素是清粪方式、管理水平、粪便和污水的无害化处理程度等。为减轻恶臭气体对环境的影响，要求项目方在生产全过程中注意以下事项，以期将恶臭对环境的影响降低至最小：</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①猪舍内产生的粪尿依靠重力进入缝隙地板下的收集池，不需用清水对圈舍粪尿日常清理，大大减少了粪污产生量并实现粪尿及时清理，保持猪舍的清洁和干燥；同时注意舍内防潮；加强猪舍消毒措施，全部猪舍必须配备地面消毒设备；猪舍设计为密闭结构，设置屋面屋顶通风设备，安装负压通风机，加强舍内通风。</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②养殖场的排水系统实行雨水和污水分离收集输送系统，场内排尿沟采用矩形、浆砌砖结构型式，内底面抹光，加钢筋砼活动盖板密封。</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③污水处理站选址于场址西面，与养殖区和生活管理区，相距较远，位于侧风向；保持污水排放系统的通畅，减少臭气的产生量；污水处理装置选取合适设备，并进行密闭，不能完全密闭的污水处理池，如格栅池、调节池、曝气等，尽量利用植被与养殖场其他区域进行隔离；确保安装的污水收集和处理系统正常运转。</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④本项目设有猪粪暂存区，干湿分离处的粪渣及时输送至猪粪暂存区。</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⑤夏季在产生臭气污染源处投放吸附剂（沸石、锯末、膨润土、蛭石），除臭剂等减少恶臭污染。</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⑥科学设计日粮，提高饲料利用率：猪采食饲料后，饲料在消化道消化过程中（尤其后段肠道），因微生物腐败分解而产生臭气；同时，没有消化吸收部分在体外被微生物降解，也产生恶臭。产生的粪污越多，臭气就越多。提高日粮的消化率、减少干物质（特别是蛋白质）排出量，既减少肠道臭气的产生，又可减少粪便排出后臭气的产生，这是减少恶臭来源的有效措施。试验证明，日粮消化率由85%提高至90%，粪便干物质排出量就减少三分之一；日粮蛋白质减少2%，粪便排泄量就降低20%。可采用经氨基酸平衡的低蛋白日粮和采用稀饲喂养方式减少恶臭的产生。</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 7 \* GB3 </w:instrText>
      </w:r>
      <w:r>
        <w:rPr>
          <w:rFonts w:hint="default" w:ascii="Times New Roman" w:hAnsi="Times New Roman" w:cs="Times New Roman"/>
          <w:bCs/>
          <w:sz w:val="24"/>
          <w:szCs w:val="24"/>
        </w:rPr>
        <w:fldChar w:fldCharType="separate"/>
      </w:r>
      <w:r>
        <w:rPr>
          <w:rFonts w:hint="default" w:ascii="Times New Roman" w:hAnsi="Times New Roman" w:cs="Times New Roman"/>
          <w:bCs/>
          <w:sz w:val="24"/>
          <w:szCs w:val="24"/>
        </w:rPr>
        <w:t>⑦</w:t>
      </w:r>
      <w:r>
        <w:rPr>
          <w:rFonts w:hint="default" w:ascii="Times New Roman" w:hAnsi="Times New Roman" w:cs="Times New Roman"/>
          <w:bCs/>
          <w:sz w:val="24"/>
          <w:szCs w:val="24"/>
        </w:rPr>
        <w:fldChar w:fldCharType="end"/>
      </w:r>
      <w:r>
        <w:rPr>
          <w:rFonts w:hint="default" w:ascii="Times New Roman" w:hAnsi="Times New Roman" w:cs="Times New Roman"/>
          <w:bCs/>
          <w:sz w:val="24"/>
          <w:szCs w:val="24"/>
        </w:rPr>
        <w:t>圈舍内采用自动节水饮水器供生猪饮水，有利于保持圈舍和运动场干燥，不易产生恶臭；</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⑧场区内利用一切空地、边角地带，特别是在猪舍、污水处理站周边等地方合理布局和设置绿化，绿化树木选择能抗污力强，净化空气好的植物，利用绿色植物吸收恶臭等物质，减轻臭气的影响。</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⑨加强个人劳动卫生保护；加强猪场卫生管理，重视杀虫灭蝇工作。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t>猪粪暂存间</w:t>
      </w:r>
      <w:r>
        <w:rPr>
          <w:rFonts w:hint="default" w:ascii="Times New Roman" w:hAnsi="Times New Roman" w:cs="Times New Roman"/>
          <w:b/>
          <w:bCs/>
          <w:sz w:val="24"/>
          <w:szCs w:val="24"/>
        </w:rPr>
        <w:t>、污水处理站恶臭</w:t>
      </w:r>
      <w:r>
        <w:rPr>
          <w:rFonts w:hint="default" w:ascii="Times New Roman" w:hAnsi="Times New Roman" w:cs="Times New Roman"/>
          <w:b/>
          <w:bCs/>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本项目圈舍恶臭中氨、硫化氢占总量的20%，</w:t>
      </w:r>
      <w:r>
        <w:rPr>
          <w:rFonts w:hint="default" w:ascii="Times New Roman" w:hAnsi="Times New Roman" w:cs="Times New Roman"/>
          <w:sz w:val="24"/>
          <w:szCs w:val="24"/>
          <w:lang w:eastAsia="zh-CN"/>
        </w:rPr>
        <w:t>猪粪暂存间</w:t>
      </w:r>
      <w:r>
        <w:rPr>
          <w:rFonts w:hint="default" w:ascii="Times New Roman" w:hAnsi="Times New Roman" w:cs="Times New Roman"/>
          <w:sz w:val="24"/>
          <w:szCs w:val="24"/>
        </w:rPr>
        <w:t>、污水处理站恶臭中氨、硫化氢占总量的80%。则</w:t>
      </w:r>
      <w:r>
        <w:rPr>
          <w:rFonts w:hint="default" w:ascii="Times New Roman" w:hAnsi="Times New Roman" w:cs="Times New Roman"/>
          <w:sz w:val="24"/>
          <w:szCs w:val="24"/>
          <w:lang w:eastAsia="zh-CN"/>
        </w:rPr>
        <w:t>猪粪暂存间</w:t>
      </w:r>
      <w:r>
        <w:rPr>
          <w:rFonts w:hint="default" w:ascii="Times New Roman" w:hAnsi="Times New Roman" w:cs="Times New Roman"/>
          <w:sz w:val="24"/>
          <w:szCs w:val="24"/>
        </w:rPr>
        <w:t>、污水处理站氨的产生情况为：0.0</w:t>
      </w:r>
      <w:r>
        <w:rPr>
          <w:rFonts w:hint="default" w:ascii="Times New Roman" w:hAnsi="Times New Roman" w:cs="Times New Roman"/>
          <w:sz w:val="24"/>
          <w:szCs w:val="24"/>
          <w:lang w:val="en-US" w:eastAsia="zh-CN"/>
        </w:rPr>
        <w:t>392</w:t>
      </w:r>
      <w:r>
        <w:rPr>
          <w:rFonts w:hint="default" w:ascii="Times New Roman" w:hAnsi="Times New Roman" w:cs="Times New Roman"/>
          <w:sz w:val="24"/>
          <w:szCs w:val="24"/>
        </w:rPr>
        <w:t>kg/h、硫化氢产生情况为：0.00</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kg/h。</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w:t>
      </w:r>
      <w:r>
        <w:rPr>
          <w:rFonts w:hint="default" w:ascii="Times New Roman" w:hAnsi="Times New Roman" w:cs="Times New Roman"/>
          <w:sz w:val="24"/>
          <w:szCs w:val="24"/>
          <w:lang w:eastAsia="zh-CN"/>
        </w:rPr>
        <w:t>猪粪暂存间</w:t>
      </w:r>
      <w:r>
        <w:rPr>
          <w:rFonts w:hint="default" w:ascii="Times New Roman" w:hAnsi="Times New Roman" w:cs="Times New Roman"/>
          <w:sz w:val="24"/>
          <w:szCs w:val="24"/>
        </w:rPr>
        <w:t>、污水处理站拟全封闭进行负压抽风的方式</w:t>
      </w:r>
      <w:r>
        <w:rPr>
          <w:rFonts w:hint="default" w:ascii="Times New Roman" w:hAnsi="Times New Roman" w:cs="Times New Roman"/>
          <w:sz w:val="24"/>
          <w:szCs w:val="24"/>
          <w:lang w:eastAsia="zh-CN"/>
        </w:rPr>
        <w:t>（设计风量</w:t>
      </w:r>
      <w:r>
        <w:rPr>
          <w:rFonts w:hint="default" w:ascii="Times New Roman" w:hAnsi="Times New Roman" w:cs="Times New Roman"/>
          <w:sz w:val="24"/>
          <w:szCs w:val="24"/>
          <w:lang w:val="en-US" w:eastAsia="zh-CN"/>
        </w:rPr>
        <w:t>5000m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w:t>
      </w:r>
      <w:r>
        <w:rPr>
          <w:rFonts w:hint="default" w:ascii="Times New Roman" w:hAnsi="Times New Roman" w:cs="Times New Roman"/>
          <w:sz w:val="24"/>
          <w:szCs w:val="24"/>
          <w:lang w:eastAsia="zh-CN"/>
        </w:rPr>
        <w:t>）</w:t>
      </w:r>
      <w:r>
        <w:rPr>
          <w:rFonts w:hint="default" w:ascii="Times New Roman" w:hAnsi="Times New Roman" w:cs="Times New Roman"/>
          <w:sz w:val="24"/>
          <w:szCs w:val="24"/>
        </w:rPr>
        <w:t>，将臭气收集后通过抽风机抽至</w:t>
      </w:r>
      <w:r>
        <w:rPr>
          <w:rFonts w:hint="default" w:ascii="Times New Roman" w:hAnsi="Times New Roman" w:cs="Times New Roman"/>
          <w:sz w:val="24"/>
          <w:szCs w:val="24"/>
          <w:lang w:eastAsia="zh-CN"/>
        </w:rPr>
        <w:t>生物除臭系统处理后通过排气筒排放</w:t>
      </w:r>
      <w:r>
        <w:rPr>
          <w:rFonts w:hint="default" w:ascii="Times New Roman" w:hAnsi="Times New Roman" w:cs="Times New Roman"/>
          <w:sz w:val="24"/>
          <w:szCs w:val="24"/>
        </w:rPr>
        <w:t>。</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按照相关标准及要求，本项目污水处理系统拟收集进水区（调节池）、污水生化处理区（</w:t>
      </w:r>
      <w:r>
        <w:rPr>
          <w:rFonts w:hint="default" w:ascii="Times New Roman" w:hAnsi="Times New Roman" w:cs="Times New Roman"/>
          <w:sz w:val="24"/>
          <w:szCs w:val="24"/>
          <w:lang w:eastAsia="zh-CN"/>
        </w:rPr>
        <w:t>黑膜沼气池</w:t>
      </w:r>
      <w:r>
        <w:rPr>
          <w:rFonts w:hint="default" w:ascii="Times New Roman" w:hAnsi="Times New Roman" w:cs="Times New Roman"/>
          <w:sz w:val="24"/>
          <w:szCs w:val="24"/>
        </w:rPr>
        <w:t>）的臭气，送</w:t>
      </w:r>
      <w:r>
        <w:rPr>
          <w:rFonts w:hint="default" w:ascii="Times New Roman" w:hAnsi="Times New Roman" w:cs="Times New Roman"/>
          <w:sz w:val="24"/>
          <w:szCs w:val="24"/>
          <w:lang w:eastAsia="zh-CN"/>
        </w:rPr>
        <w:t>生物除臭系统处理</w:t>
      </w:r>
      <w:r>
        <w:rPr>
          <w:rFonts w:hint="default" w:ascii="Times New Roman" w:hAnsi="Times New Roman" w:cs="Times New Roman"/>
          <w:sz w:val="24"/>
          <w:szCs w:val="24"/>
        </w:rPr>
        <w:t>。</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臭气收集：其中，进水区（调节池）机械设备尽可能采用全封闭的形式，以节省加盖的投资，并预留臭气收集口，连接臭气收集管路；生化处理区（</w:t>
      </w:r>
      <w:r>
        <w:rPr>
          <w:rFonts w:hint="default" w:ascii="Times New Roman" w:hAnsi="Times New Roman" w:cs="Times New Roman"/>
          <w:sz w:val="24"/>
          <w:szCs w:val="24"/>
          <w:lang w:eastAsia="zh-CN"/>
        </w:rPr>
        <w:t>黑膜沼气池</w:t>
      </w:r>
      <w:r>
        <w:rPr>
          <w:rFonts w:hint="default" w:ascii="Times New Roman" w:hAnsi="Times New Roman" w:cs="Times New Roman"/>
          <w:sz w:val="24"/>
          <w:szCs w:val="24"/>
        </w:rPr>
        <w:t>）采用密封加盖并设置气体捕集口，连接臭气收集管路</w:t>
      </w:r>
      <w:r>
        <w:rPr>
          <w:rFonts w:hint="default" w:ascii="Times New Roman" w:hAnsi="Times New Roman" w:cs="Times New Roman"/>
          <w:sz w:val="24"/>
          <w:szCs w:val="24"/>
          <w:lang w:eastAsia="zh-CN"/>
        </w:rPr>
        <w:t>，</w:t>
      </w:r>
      <w:r>
        <w:rPr>
          <w:rFonts w:hint="default" w:ascii="Times New Roman" w:hAnsi="Times New Roman" w:cs="Times New Roman"/>
          <w:sz w:val="24"/>
          <w:szCs w:val="24"/>
        </w:rPr>
        <w:t>收集的臭气全部进入</w:t>
      </w:r>
      <w:r>
        <w:rPr>
          <w:rFonts w:hint="default" w:ascii="Times New Roman" w:hAnsi="Times New Roman" w:cs="Times New Roman"/>
          <w:sz w:val="24"/>
          <w:szCs w:val="24"/>
          <w:lang w:eastAsia="zh-CN"/>
        </w:rPr>
        <w:t>生物除臭系统处理后排放</w:t>
      </w:r>
      <w:r>
        <w:rPr>
          <w:rFonts w:hint="default" w:ascii="Times New Roman" w:hAnsi="Times New Roman" w:cs="Times New Roman"/>
          <w:sz w:val="24"/>
          <w:szCs w:val="24"/>
        </w:rPr>
        <w:t>。</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eastAsia="zh-CN"/>
        </w:rPr>
        <w:t>负压抽风装置</w:t>
      </w:r>
      <w:r>
        <w:rPr>
          <w:rFonts w:hint="default" w:ascii="Times New Roman" w:hAnsi="Times New Roman" w:cs="Times New Roman"/>
          <w:sz w:val="24"/>
          <w:szCs w:val="24"/>
        </w:rPr>
        <w:t>对恶臭气体收集率按98%计，</w:t>
      </w:r>
      <w:r>
        <w:rPr>
          <w:rFonts w:hint="default" w:ascii="Times New Roman" w:hAnsi="Times New Roman" w:cs="Times New Roman"/>
          <w:sz w:val="24"/>
          <w:szCs w:val="24"/>
          <w:lang w:eastAsia="zh-CN"/>
        </w:rPr>
        <w:t>生物除臭系统</w:t>
      </w:r>
      <w:r>
        <w:rPr>
          <w:rFonts w:hint="default" w:ascii="Times New Roman" w:hAnsi="Times New Roman" w:cs="Times New Roman"/>
          <w:sz w:val="24"/>
          <w:szCs w:val="24"/>
        </w:rPr>
        <w:t>对H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等恶臭气体的去除率达</w:t>
      </w:r>
      <w:r>
        <w:rPr>
          <w:rFonts w:hint="default" w:ascii="Times New Roman" w:hAnsi="Times New Roman" w:cs="Times New Roman"/>
          <w:sz w:val="24"/>
          <w:szCs w:val="24"/>
          <w:lang w:val="en-US" w:eastAsia="zh-CN"/>
        </w:rPr>
        <w:t>80</w:t>
      </w:r>
      <w:r>
        <w:rPr>
          <w:rFonts w:hint="default" w:ascii="Times New Roman" w:hAnsi="Times New Roman" w:cs="Times New Roman"/>
          <w:sz w:val="24"/>
          <w:szCs w:val="24"/>
        </w:rPr>
        <w:t>%以上。</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臭气处理系统产污：生物滴滤除臭装置的循环水池将定期排放一定的废水，废水排至本污水厂进行处理；另外，每隔3~5年将淘汰生物填料作为固废，废弃填料由生产厂家回收处置。</w:t>
      </w:r>
    </w:p>
    <w:p>
      <w:pPr>
        <w:adjustRightInd w:val="0"/>
        <w:snapToGrid w:val="0"/>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生物除臭的原理</w:t>
      </w:r>
      <w:r>
        <w:rPr>
          <w:rFonts w:hint="default" w:ascii="Times New Roman" w:hAnsi="Times New Roman" w:cs="Times New Roman"/>
          <w:sz w:val="24"/>
          <w:szCs w:val="24"/>
          <w:lang w:eastAsia="zh-CN"/>
        </w:rPr>
        <w:t>：</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采用生物滤池除臭，原理是指加湿后的废气被通入填充有填料（如堆肥、土壤、树皮、珍珠岩、沸石、有机塑料等等）的生物过滤器中，与填料上所附着生长的生物膜（微生物）接触，被微生物所吸附降解，最终转化为简单的无机物（如CO2、H2O、SO42-、NO3-和Cl-等）或合成新细胞物质，处理后的气体在从生物过滤器的另一端排出。生物过滤器所填充的填料需维持一定的pH范围、湿度和营养，以维持微生物的正常代谢活动，这些营养和湿度可以通过填料自身提供或外加。</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生物过滤法对废气去除是不同的生化作用与物理化学作用的复杂结合的结果。其降解机理如下：</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S或其它含硫物质+O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→SO</w:t>
      </w:r>
      <w:r>
        <w:rPr>
          <w:rFonts w:hint="default" w:ascii="Times New Roman" w:hAnsi="Times New Roman" w:cs="Times New Roman"/>
          <w:sz w:val="24"/>
          <w:szCs w:val="24"/>
          <w:vertAlign w:val="subscript"/>
        </w:rPr>
        <w:t>4</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+CO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O+细胞物质</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或含N无机化合物+O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→CO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+NO</w:t>
      </w:r>
      <w:r>
        <w:rPr>
          <w:rFonts w:hint="default" w:ascii="Times New Roman" w:hAnsi="Times New Roman" w:cs="Times New Roman"/>
          <w:sz w:val="24"/>
          <w:szCs w:val="24"/>
          <w:vertAlign w:val="subscript"/>
        </w:rPr>
        <w:t>3</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O+细胞物质</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除臭滤床本体结构为玻璃钢材料，并成套配置加湿、喷淋系统，含循环水箱、循环水泵（带液位开关）、布水管道及喷头、支架、吊架等。具体的结构见下图。</w:t>
      </w:r>
    </w:p>
    <w:p>
      <w:pPr>
        <w:adjustRightInd w:val="0"/>
        <w:snapToGrid w:val="0"/>
        <w:spacing w:line="360" w:lineRule="auto"/>
        <w:ind w:firstLine="420" w:firstLineChars="200"/>
        <w:rPr>
          <w:rFonts w:hint="default" w:ascii="Times New Roman" w:hAnsi="Times New Roman" w:cs="Times New Roman"/>
        </w:rPr>
      </w:pPr>
      <w:r>
        <w:rPr>
          <w:rFonts w:hint="default" w:ascii="Times New Roman" w:hAnsi="Times New Roman" w:cs="Times New Roman"/>
        </w:rPr>
        <w:drawing>
          <wp:inline distT="0" distB="0" distL="114300" distR="114300">
            <wp:extent cx="5537835" cy="2611755"/>
            <wp:effectExtent l="0" t="0" r="5715" b="17145"/>
            <wp:docPr id="2" name="图片 14" descr="360截图2019051523004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360截图20190515230043326"/>
                    <pic:cNvPicPr>
                      <a:picLocks noChangeAspect="1"/>
                    </pic:cNvPicPr>
                  </pic:nvPicPr>
                  <pic:blipFill>
                    <a:blip r:embed="rId46"/>
                    <a:srcRect b="10529"/>
                    <a:stretch>
                      <a:fillRect/>
                    </a:stretch>
                  </pic:blipFill>
                  <pic:spPr>
                    <a:xfrm>
                      <a:off x="0" y="0"/>
                      <a:ext cx="5537835" cy="2611755"/>
                    </a:xfrm>
                    <a:prstGeom prst="rect">
                      <a:avLst/>
                    </a:prstGeom>
                    <a:noFill/>
                    <a:ln w="9525">
                      <a:noFill/>
                    </a:ln>
                  </pic:spPr>
                </pic:pic>
              </a:graphicData>
            </a:graphic>
          </wp:inline>
        </w:drawing>
      </w:r>
    </w:p>
    <w:p>
      <w:pPr>
        <w:adjustRightInd w:val="0"/>
        <w:snapToGrid w:val="0"/>
        <w:spacing w:line="360" w:lineRule="auto"/>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sz w:val="24"/>
          <w:szCs w:val="24"/>
        </w:rPr>
        <w:t>图3</w:t>
      </w:r>
      <w:r>
        <w:rPr>
          <w:rFonts w:hint="default" w:ascii="Times New Roman" w:hAnsi="Times New Roman" w:eastAsia="黑体" w:cs="Times New Roman"/>
          <w:b w:val="0"/>
          <w:bCs w:val="0"/>
          <w:sz w:val="24"/>
          <w:szCs w:val="24"/>
          <w:lang w:val="en-US" w:eastAsia="zh-CN"/>
        </w:rPr>
        <w:t>.3</w:t>
      </w:r>
      <w:r>
        <w:rPr>
          <w:rFonts w:hint="default" w:ascii="Times New Roman" w:hAnsi="Times New Roman" w:eastAsia="黑体" w:cs="Times New Roman"/>
          <w:b w:val="0"/>
          <w:bCs w:val="0"/>
          <w:sz w:val="24"/>
          <w:szCs w:val="24"/>
        </w:rPr>
        <w:t>-</w:t>
      </w:r>
      <w:r>
        <w:rPr>
          <w:rFonts w:hint="default" w:ascii="Times New Roman" w:hAnsi="Times New Roman" w:eastAsia="黑体" w:cs="Times New Roman"/>
          <w:b w:val="0"/>
          <w:bCs w:val="0"/>
          <w:sz w:val="24"/>
          <w:szCs w:val="24"/>
          <w:lang w:val="en-US" w:eastAsia="zh-CN"/>
        </w:rPr>
        <w:t>8</w:t>
      </w:r>
      <w:r>
        <w:rPr>
          <w:rFonts w:hint="default" w:ascii="Times New Roman" w:hAnsi="Times New Roman" w:eastAsia="黑体" w:cs="Times New Roman"/>
          <w:b w:val="0"/>
          <w:bCs w:val="0"/>
          <w:sz w:val="24"/>
          <w:szCs w:val="24"/>
        </w:rPr>
        <w:t xml:space="preserve"> 生物除臭塔工艺示意图</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由以上分析可知，本项目采用先进的饲养工艺和清粪工艺，并做猪舍内勤清扫、保持干燥和防潮、加强通风，场区内加强绿化，粪便在得到及时处理前提下，厂界臭气浓度均能够满足《畜禽养殖业污染物排放标准》（GB18596-2001）中的规定值。</w:t>
      </w:r>
    </w:p>
    <w:p>
      <w:pPr>
        <w:jc w:val="center"/>
        <w:rPr>
          <w:rFonts w:hint="default" w:ascii="Times New Roman" w:hAnsi="Times New Roman" w:eastAsia="黑体" w:cs="Times New Roman"/>
          <w:bCs/>
          <w:sz w:val="24"/>
          <w:szCs w:val="24"/>
        </w:rPr>
      </w:pPr>
      <w:bookmarkStart w:id="187" w:name="_Toc371868959"/>
      <w:r>
        <w:rPr>
          <w:rFonts w:hint="default" w:ascii="Times New Roman" w:hAnsi="Times New Roman" w:eastAsia="黑体" w:cs="Times New Roman"/>
          <w:bCs/>
          <w:sz w:val="24"/>
          <w:szCs w:val="24"/>
        </w:rPr>
        <w:t>表3.3-8   营运期废气产生及治理</w:t>
      </w:r>
    </w:p>
    <w:tbl>
      <w:tblPr>
        <w:tblStyle w:val="33"/>
        <w:tblW w:w="96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035"/>
        <w:gridCol w:w="1682"/>
        <w:gridCol w:w="2758"/>
        <w:gridCol w:w="1522"/>
        <w:gridCol w:w="15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151" w:type="dxa"/>
            <w:tcBorders>
              <w:bottom w:val="single" w:color="auto" w:sz="4" w:space="0"/>
            </w:tcBorders>
            <w:vAlign w:val="center"/>
          </w:tcPr>
          <w:p>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污染源</w:t>
            </w:r>
          </w:p>
        </w:tc>
        <w:tc>
          <w:tcPr>
            <w:tcW w:w="1035" w:type="dxa"/>
            <w:vAlign w:val="center"/>
          </w:tcPr>
          <w:p>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污染物</w:t>
            </w:r>
          </w:p>
        </w:tc>
        <w:tc>
          <w:tcPr>
            <w:tcW w:w="1682"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污染源强</w:t>
            </w:r>
          </w:p>
        </w:tc>
        <w:tc>
          <w:tcPr>
            <w:tcW w:w="2758"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治理措施</w:t>
            </w:r>
          </w:p>
        </w:tc>
        <w:tc>
          <w:tcPr>
            <w:tcW w:w="1522" w:type="dxa"/>
            <w:vAlign w:val="center"/>
          </w:tcPr>
          <w:p>
            <w:pPr>
              <w:pStyle w:val="79"/>
              <w:spacing w:before="0" w:line="240" w:lineRule="auto"/>
              <w:ind w:firstLine="0" w:firstLineChars="0"/>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有组织排放情况</w:t>
            </w:r>
          </w:p>
        </w:tc>
        <w:tc>
          <w:tcPr>
            <w:tcW w:w="1510" w:type="dxa"/>
            <w:vAlign w:val="center"/>
          </w:tcPr>
          <w:p>
            <w:pPr>
              <w:pStyle w:val="79"/>
              <w:spacing w:before="0" w:line="240" w:lineRule="auto"/>
              <w:ind w:firstLine="0" w:firstLineChars="0"/>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无组织排放量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0" w:hRule="atLeast"/>
          <w:jc w:val="center"/>
        </w:trPr>
        <w:tc>
          <w:tcPr>
            <w:tcW w:w="1151" w:type="dxa"/>
            <w:vMerge w:val="restart"/>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污水处理站、</w:t>
            </w:r>
            <w:r>
              <w:rPr>
                <w:rFonts w:hint="default" w:ascii="Times New Roman" w:hAnsi="Times New Roman" w:cs="Times New Roman"/>
                <w:color w:val="auto"/>
                <w:sz w:val="21"/>
                <w:szCs w:val="21"/>
                <w:lang w:val="en-US" w:eastAsia="zh-CN"/>
              </w:rPr>
              <w:t>猪粪暂存间</w:t>
            </w:r>
          </w:p>
        </w:tc>
        <w:tc>
          <w:tcPr>
            <w:tcW w:w="1035" w:type="dxa"/>
            <w:vAlign w:val="center"/>
          </w:tcPr>
          <w:p>
            <w:pPr>
              <w:pStyle w:val="79"/>
              <w:spacing w:before="0" w:line="240" w:lineRule="auto"/>
              <w:ind w:firstLine="0" w:firstLineChars="0"/>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氨</w:t>
            </w:r>
          </w:p>
        </w:tc>
        <w:tc>
          <w:tcPr>
            <w:tcW w:w="1682" w:type="dxa"/>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0.0392</w:t>
            </w:r>
            <w:r>
              <w:rPr>
                <w:rFonts w:hint="default" w:ascii="Times New Roman" w:hAnsi="Times New Roman" w:eastAsia="宋体" w:cs="Times New Roman"/>
                <w:color w:val="auto"/>
                <w:sz w:val="21"/>
                <w:szCs w:val="21"/>
                <w:lang w:val="en-US" w:eastAsia="zh-CN"/>
              </w:rPr>
              <w:t>kg/h</w:t>
            </w:r>
          </w:p>
        </w:tc>
        <w:tc>
          <w:tcPr>
            <w:tcW w:w="2758" w:type="dxa"/>
            <w:vMerge w:val="restart"/>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设置恶臭加盖收集系统或抽风收集系统，臭气经收集后送生物除臭系统进行除臭，净化气经15m高排气筒排放。恶臭收集率达 98%以上，生物除臭系统对恶臭气体的去除率达 80%以上。</w:t>
            </w:r>
          </w:p>
        </w:tc>
        <w:tc>
          <w:tcPr>
            <w:tcW w:w="1522" w:type="dxa"/>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0.0077</w:t>
            </w:r>
            <w:r>
              <w:rPr>
                <w:rFonts w:hint="default" w:ascii="Times New Roman" w:hAnsi="Times New Roman" w:eastAsia="宋体" w:cs="Times New Roman"/>
                <w:color w:val="auto"/>
                <w:sz w:val="21"/>
                <w:szCs w:val="21"/>
                <w:lang w:val="en-US" w:eastAsia="zh-CN"/>
              </w:rPr>
              <w:t>kg/h</w:t>
            </w:r>
            <w:r>
              <w:rPr>
                <w:rFonts w:hint="default" w:ascii="Times New Roman" w:hAnsi="Times New Roman" w:cs="Times New Roman"/>
                <w:color w:val="auto"/>
                <w:sz w:val="21"/>
                <w:szCs w:val="21"/>
                <w:lang w:val="en-US" w:eastAsia="zh-CN"/>
              </w:rPr>
              <w:t>，1.54</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1510" w:type="dxa"/>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0.00078</w:t>
            </w:r>
            <w:r>
              <w:rPr>
                <w:rFonts w:hint="default" w:ascii="Times New Roman" w:hAnsi="Times New Roman" w:eastAsia="宋体" w:cs="Times New Roman"/>
                <w:color w:val="auto"/>
                <w:sz w:val="21"/>
                <w:szCs w:val="21"/>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1151" w:type="dxa"/>
            <w:vMerge w:val="continue"/>
            <w:vAlign w:val="center"/>
          </w:tcPr>
          <w:p>
            <w:pPr>
              <w:adjustRightInd w:val="0"/>
              <w:snapToGrid w:val="0"/>
              <w:jc w:val="center"/>
              <w:rPr>
                <w:rFonts w:hint="default" w:ascii="Times New Roman" w:hAnsi="Times New Roman" w:cs="Times New Roman"/>
                <w:sz w:val="21"/>
                <w:szCs w:val="21"/>
              </w:rPr>
            </w:pPr>
          </w:p>
        </w:tc>
        <w:tc>
          <w:tcPr>
            <w:tcW w:w="1035" w:type="dxa"/>
            <w:vAlign w:val="center"/>
          </w:tcPr>
          <w:p>
            <w:pPr>
              <w:pStyle w:val="79"/>
              <w:spacing w:before="0" w:line="240" w:lineRule="auto"/>
              <w:ind w:firstLine="0" w:firstLineChars="0"/>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硫化氢</w:t>
            </w:r>
          </w:p>
        </w:tc>
        <w:tc>
          <w:tcPr>
            <w:tcW w:w="1682" w:type="dxa"/>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0.004</w:t>
            </w:r>
            <w:r>
              <w:rPr>
                <w:rFonts w:hint="default" w:ascii="Times New Roman" w:hAnsi="Times New Roman" w:eastAsia="宋体" w:cs="Times New Roman"/>
                <w:color w:val="auto"/>
                <w:sz w:val="21"/>
                <w:szCs w:val="21"/>
                <w:lang w:val="en-US" w:eastAsia="zh-CN"/>
              </w:rPr>
              <w:t>kg/h</w:t>
            </w:r>
          </w:p>
        </w:tc>
        <w:tc>
          <w:tcPr>
            <w:tcW w:w="2758" w:type="dxa"/>
            <w:vMerge w:val="continue"/>
            <w:vAlign w:val="center"/>
          </w:tcPr>
          <w:p>
            <w:pPr>
              <w:adjustRightInd w:val="0"/>
              <w:snapToGrid w:val="0"/>
              <w:jc w:val="center"/>
              <w:rPr>
                <w:rFonts w:hint="default" w:ascii="Times New Roman" w:hAnsi="Times New Roman" w:cs="Times New Roman"/>
                <w:sz w:val="21"/>
                <w:szCs w:val="21"/>
              </w:rPr>
            </w:pPr>
          </w:p>
        </w:tc>
        <w:tc>
          <w:tcPr>
            <w:tcW w:w="1522" w:type="dxa"/>
            <w:vAlign w:val="center"/>
          </w:tcPr>
          <w:p>
            <w:pPr>
              <w:adjustRightInd w:val="0"/>
              <w:snapToGrid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0.00078</w:t>
            </w:r>
            <w:r>
              <w:rPr>
                <w:rFonts w:hint="default" w:ascii="Times New Roman" w:hAnsi="Times New Roman" w:eastAsia="宋体" w:cs="Times New Roman"/>
                <w:color w:val="auto"/>
                <w:sz w:val="21"/>
                <w:szCs w:val="21"/>
                <w:lang w:val="en-US" w:eastAsia="zh-CN"/>
              </w:rPr>
              <w:t>kg/h</w:t>
            </w:r>
            <w:r>
              <w:rPr>
                <w:rFonts w:hint="eastAsia" w:ascii="Times New Roman" w:hAnsi="Times New Roman" w:cs="Times New Roman"/>
                <w:color w:val="auto"/>
                <w:sz w:val="21"/>
                <w:szCs w:val="21"/>
                <w:lang w:val="en-US" w:eastAsia="zh-CN"/>
              </w:rPr>
              <w:t>，0.15</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1510" w:type="dxa"/>
            <w:vAlign w:val="center"/>
          </w:tcPr>
          <w:p>
            <w:pPr>
              <w:adjustRightInd w:val="0"/>
              <w:snapToGrid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0.00008</w:t>
            </w:r>
            <w:r>
              <w:rPr>
                <w:rFonts w:hint="default" w:ascii="Times New Roman" w:hAnsi="Times New Roman" w:eastAsia="宋体" w:cs="Times New Roman"/>
                <w:color w:val="auto"/>
                <w:sz w:val="21"/>
                <w:szCs w:val="21"/>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151" w:type="dxa"/>
            <w:vMerge w:val="restart"/>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猪舍</w:t>
            </w:r>
          </w:p>
        </w:tc>
        <w:tc>
          <w:tcPr>
            <w:tcW w:w="1035" w:type="dxa"/>
            <w:vAlign w:val="center"/>
          </w:tcPr>
          <w:p>
            <w:pPr>
              <w:pStyle w:val="79"/>
              <w:spacing w:before="0" w:line="240" w:lineRule="auto"/>
              <w:ind w:firstLine="0" w:firstLineChars="0"/>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氨</w:t>
            </w:r>
          </w:p>
        </w:tc>
        <w:tc>
          <w:tcPr>
            <w:tcW w:w="1682" w:type="dxa"/>
            <w:vAlign w:val="center"/>
          </w:tcPr>
          <w:p>
            <w:pPr>
              <w:adjustRightInd w:val="0"/>
              <w:snapToGrid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0.0098</w:t>
            </w:r>
            <w:r>
              <w:rPr>
                <w:rFonts w:hint="default" w:ascii="Times New Roman" w:hAnsi="Times New Roman" w:eastAsia="宋体" w:cs="Times New Roman"/>
                <w:color w:val="auto"/>
                <w:sz w:val="21"/>
                <w:szCs w:val="21"/>
                <w:lang w:val="en-US" w:eastAsia="zh-CN"/>
              </w:rPr>
              <w:t>kg/h</w:t>
            </w:r>
          </w:p>
        </w:tc>
        <w:tc>
          <w:tcPr>
            <w:tcW w:w="2758" w:type="dxa"/>
            <w:vMerge w:val="restart"/>
            <w:vAlign w:val="center"/>
          </w:tcPr>
          <w:p>
            <w:pPr>
              <w:adjustRightInd w:val="0"/>
              <w:snapToGrid w:val="0"/>
              <w:jc w:val="center"/>
              <w:rPr>
                <w:rFonts w:hint="default" w:ascii="Times New Roman" w:hAnsi="Times New Roman" w:cs="Times New Roman"/>
                <w:sz w:val="21"/>
                <w:szCs w:val="21"/>
              </w:rPr>
            </w:pPr>
            <w:r>
              <w:rPr>
                <w:rFonts w:hint="eastAsia" w:eastAsia="宋体"/>
                <w:color w:val="auto"/>
                <w:lang w:val="en-US" w:eastAsia="zh-CN"/>
              </w:rPr>
              <w:t>除臭剂、绿化，无组织排放</w:t>
            </w:r>
          </w:p>
        </w:tc>
        <w:tc>
          <w:tcPr>
            <w:tcW w:w="1522" w:type="dxa"/>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510" w:type="dxa"/>
            <w:vAlign w:val="center"/>
          </w:tcPr>
          <w:p>
            <w:pPr>
              <w:adjustRightInd w:val="0"/>
              <w:snapToGrid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0.0098</w:t>
            </w:r>
            <w:r>
              <w:rPr>
                <w:rFonts w:hint="default" w:ascii="Times New Roman" w:hAnsi="Times New Roman" w:eastAsia="宋体" w:cs="Times New Roman"/>
                <w:color w:val="auto"/>
                <w:sz w:val="21"/>
                <w:szCs w:val="21"/>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151" w:type="dxa"/>
            <w:vMerge w:val="continue"/>
            <w:vAlign w:val="center"/>
          </w:tcPr>
          <w:p>
            <w:pPr>
              <w:adjustRightInd w:val="0"/>
              <w:snapToGrid w:val="0"/>
              <w:jc w:val="center"/>
              <w:rPr>
                <w:rFonts w:hint="default" w:ascii="Times New Roman" w:hAnsi="Times New Roman" w:cs="Times New Roman"/>
                <w:sz w:val="21"/>
                <w:szCs w:val="21"/>
              </w:rPr>
            </w:pPr>
          </w:p>
        </w:tc>
        <w:tc>
          <w:tcPr>
            <w:tcW w:w="1035" w:type="dxa"/>
            <w:vAlign w:val="center"/>
          </w:tcPr>
          <w:p>
            <w:pPr>
              <w:pStyle w:val="79"/>
              <w:spacing w:before="0" w:line="240" w:lineRule="auto"/>
              <w:ind w:firstLine="0" w:firstLineChars="0"/>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硫化氢</w:t>
            </w:r>
          </w:p>
        </w:tc>
        <w:tc>
          <w:tcPr>
            <w:tcW w:w="1682"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0.00</w:t>
            </w:r>
            <w:r>
              <w:rPr>
                <w:rFonts w:hint="eastAsia" w:ascii="Times New Roman" w:hAnsi="Times New Roman" w:cs="Times New Roman"/>
                <w:sz w:val="21"/>
                <w:szCs w:val="21"/>
                <w:lang w:val="en-US" w:eastAsia="zh-CN"/>
              </w:rPr>
              <w:t>1</w:t>
            </w:r>
            <w:r>
              <w:rPr>
                <w:rFonts w:hint="default" w:ascii="Times New Roman" w:hAnsi="Times New Roman" w:eastAsia="宋体" w:cs="Times New Roman"/>
                <w:color w:val="auto"/>
                <w:sz w:val="21"/>
                <w:szCs w:val="21"/>
                <w:lang w:val="en-US" w:eastAsia="zh-CN"/>
              </w:rPr>
              <w:t>kg/h</w:t>
            </w:r>
          </w:p>
        </w:tc>
        <w:tc>
          <w:tcPr>
            <w:tcW w:w="2758" w:type="dxa"/>
            <w:vMerge w:val="continue"/>
            <w:vAlign w:val="center"/>
          </w:tcPr>
          <w:p>
            <w:pPr>
              <w:adjustRightInd w:val="0"/>
              <w:snapToGrid w:val="0"/>
              <w:jc w:val="center"/>
              <w:rPr>
                <w:rFonts w:hint="default" w:ascii="Times New Roman" w:hAnsi="Times New Roman" w:cs="Times New Roman"/>
                <w:sz w:val="21"/>
                <w:szCs w:val="21"/>
              </w:rPr>
            </w:pPr>
          </w:p>
        </w:tc>
        <w:tc>
          <w:tcPr>
            <w:tcW w:w="1522" w:type="dxa"/>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510"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0.00</w:t>
            </w:r>
            <w:r>
              <w:rPr>
                <w:rFonts w:hint="eastAsia" w:ascii="Times New Roman" w:hAnsi="Times New Roman" w:cs="Times New Roman"/>
                <w:sz w:val="21"/>
                <w:szCs w:val="21"/>
                <w:lang w:val="en-US" w:eastAsia="zh-CN"/>
              </w:rPr>
              <w:t>1</w:t>
            </w:r>
            <w:r>
              <w:rPr>
                <w:rFonts w:hint="default" w:ascii="Times New Roman" w:hAnsi="Times New Roman" w:eastAsia="宋体" w:cs="Times New Roman"/>
                <w:color w:val="auto"/>
                <w:sz w:val="21"/>
                <w:szCs w:val="21"/>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0" w:hRule="exact"/>
          <w:jc w:val="center"/>
        </w:trPr>
        <w:tc>
          <w:tcPr>
            <w:tcW w:w="1151" w:type="dxa"/>
            <w:vMerge w:val="restart"/>
            <w:vAlign w:val="center"/>
          </w:tcPr>
          <w:p>
            <w:pPr>
              <w:adjustRightInd w:val="0"/>
              <w:snapToGrid w:val="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小计</w:t>
            </w:r>
          </w:p>
        </w:tc>
        <w:tc>
          <w:tcPr>
            <w:tcW w:w="1035" w:type="dxa"/>
            <w:vAlign w:val="center"/>
          </w:tcPr>
          <w:p>
            <w:pPr>
              <w:pStyle w:val="79"/>
              <w:spacing w:before="0" w:line="240" w:lineRule="auto"/>
              <w:ind w:firstLine="0" w:firstLineChars="0"/>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氨</w:t>
            </w:r>
          </w:p>
        </w:tc>
        <w:tc>
          <w:tcPr>
            <w:tcW w:w="1682" w:type="dxa"/>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0.049</w:t>
            </w:r>
            <w:r>
              <w:rPr>
                <w:rFonts w:hint="default" w:ascii="Times New Roman" w:hAnsi="Times New Roman" w:eastAsia="宋体" w:cs="Times New Roman"/>
                <w:color w:val="auto"/>
                <w:sz w:val="21"/>
                <w:szCs w:val="21"/>
                <w:lang w:val="en-US" w:eastAsia="zh-CN"/>
              </w:rPr>
              <w:t>kg/h</w:t>
            </w:r>
          </w:p>
        </w:tc>
        <w:tc>
          <w:tcPr>
            <w:tcW w:w="2758" w:type="dxa"/>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522" w:type="dxa"/>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0.0077</w:t>
            </w:r>
            <w:r>
              <w:rPr>
                <w:rFonts w:hint="default" w:ascii="Times New Roman" w:hAnsi="Times New Roman" w:eastAsia="宋体" w:cs="Times New Roman"/>
                <w:color w:val="auto"/>
                <w:sz w:val="21"/>
                <w:szCs w:val="21"/>
                <w:lang w:val="en-US" w:eastAsia="zh-CN"/>
              </w:rPr>
              <w:t>kg/h</w:t>
            </w:r>
            <w:r>
              <w:rPr>
                <w:rFonts w:hint="default" w:ascii="Times New Roman" w:hAnsi="Times New Roman" w:cs="Times New Roman"/>
                <w:color w:val="auto"/>
                <w:sz w:val="21"/>
                <w:szCs w:val="21"/>
                <w:lang w:val="en-US" w:eastAsia="zh-CN"/>
              </w:rPr>
              <w:t>，1.54</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1510"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1058</w:t>
            </w:r>
            <w:r>
              <w:rPr>
                <w:rFonts w:hint="default" w:ascii="Times New Roman" w:hAnsi="Times New Roman" w:eastAsia="宋体" w:cs="Times New Roman"/>
                <w:color w:val="auto"/>
                <w:sz w:val="21"/>
                <w:szCs w:val="21"/>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0" w:hRule="exact"/>
          <w:jc w:val="center"/>
        </w:trPr>
        <w:tc>
          <w:tcPr>
            <w:tcW w:w="1151" w:type="dxa"/>
            <w:vMerge w:val="continue"/>
            <w:vAlign w:val="center"/>
          </w:tcPr>
          <w:p>
            <w:pPr>
              <w:adjustRightInd w:val="0"/>
              <w:snapToGrid w:val="0"/>
              <w:jc w:val="center"/>
              <w:rPr>
                <w:rFonts w:hint="default" w:ascii="Times New Roman" w:hAnsi="Times New Roman" w:cs="Times New Roman"/>
                <w:sz w:val="21"/>
                <w:szCs w:val="21"/>
              </w:rPr>
            </w:pPr>
          </w:p>
        </w:tc>
        <w:tc>
          <w:tcPr>
            <w:tcW w:w="1035" w:type="dxa"/>
            <w:vAlign w:val="center"/>
          </w:tcPr>
          <w:p>
            <w:pPr>
              <w:pStyle w:val="79"/>
              <w:spacing w:before="0" w:line="240" w:lineRule="auto"/>
              <w:ind w:firstLine="0" w:firstLineChars="0"/>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硫化氢</w:t>
            </w:r>
          </w:p>
        </w:tc>
        <w:tc>
          <w:tcPr>
            <w:tcW w:w="1682" w:type="dxa"/>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0.005</w:t>
            </w:r>
            <w:r>
              <w:rPr>
                <w:rFonts w:hint="default" w:ascii="Times New Roman" w:hAnsi="Times New Roman" w:eastAsia="宋体" w:cs="Times New Roman"/>
                <w:color w:val="auto"/>
                <w:sz w:val="21"/>
                <w:szCs w:val="21"/>
                <w:lang w:val="en-US" w:eastAsia="zh-CN"/>
              </w:rPr>
              <w:t>kg/h</w:t>
            </w:r>
          </w:p>
        </w:tc>
        <w:tc>
          <w:tcPr>
            <w:tcW w:w="2758" w:type="dxa"/>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522" w:type="dxa"/>
            <w:vAlign w:val="center"/>
          </w:tcPr>
          <w:p>
            <w:pPr>
              <w:adjustRightInd w:val="0"/>
              <w:snapToGrid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0.00078</w:t>
            </w:r>
            <w:r>
              <w:rPr>
                <w:rFonts w:hint="default" w:ascii="Times New Roman" w:hAnsi="Times New Roman" w:eastAsia="宋体" w:cs="Times New Roman"/>
                <w:color w:val="auto"/>
                <w:sz w:val="21"/>
                <w:szCs w:val="21"/>
                <w:lang w:val="en-US" w:eastAsia="zh-CN"/>
              </w:rPr>
              <w:t>kg/h</w:t>
            </w:r>
            <w:r>
              <w:rPr>
                <w:rFonts w:hint="eastAsia" w:ascii="Times New Roman" w:hAnsi="Times New Roman" w:cs="Times New Roman"/>
                <w:color w:val="auto"/>
                <w:sz w:val="21"/>
                <w:szCs w:val="21"/>
                <w:lang w:val="en-US" w:eastAsia="zh-CN"/>
              </w:rPr>
              <w:t>，0.15</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1510"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0.00</w:t>
            </w:r>
            <w:r>
              <w:rPr>
                <w:rFonts w:hint="eastAsia" w:ascii="Times New Roman" w:hAnsi="Times New Roman" w:cs="Times New Roman"/>
                <w:sz w:val="21"/>
                <w:szCs w:val="21"/>
                <w:lang w:val="en-US" w:eastAsia="zh-CN"/>
              </w:rPr>
              <w:t>108</w:t>
            </w:r>
            <w:r>
              <w:rPr>
                <w:rFonts w:hint="default" w:ascii="Times New Roman" w:hAnsi="Times New Roman" w:eastAsia="宋体" w:cs="Times New Roman"/>
                <w:color w:val="auto"/>
                <w:sz w:val="21"/>
                <w:szCs w:val="21"/>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1151"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食堂、锅炉</w:t>
            </w:r>
          </w:p>
        </w:tc>
        <w:tc>
          <w:tcPr>
            <w:tcW w:w="1035"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燃烧废气</w:t>
            </w:r>
          </w:p>
        </w:tc>
        <w:tc>
          <w:tcPr>
            <w:tcW w:w="1682"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78m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p>
        </w:tc>
        <w:tc>
          <w:tcPr>
            <w:tcW w:w="2758"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清洁能源</w:t>
            </w:r>
          </w:p>
        </w:tc>
        <w:tc>
          <w:tcPr>
            <w:tcW w:w="1522"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510"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78m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jc w:val="center"/>
        </w:trPr>
        <w:tc>
          <w:tcPr>
            <w:tcW w:w="1151"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食堂</w:t>
            </w:r>
          </w:p>
        </w:tc>
        <w:tc>
          <w:tcPr>
            <w:tcW w:w="1035"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油烟</w:t>
            </w:r>
          </w:p>
        </w:tc>
        <w:tc>
          <w:tcPr>
            <w:tcW w:w="1682"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6.198kg/a</w:t>
            </w:r>
          </w:p>
        </w:tc>
        <w:tc>
          <w:tcPr>
            <w:tcW w:w="2758"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设置一台抽油烟机</w:t>
            </w:r>
          </w:p>
        </w:tc>
        <w:tc>
          <w:tcPr>
            <w:tcW w:w="1522" w:type="dxa"/>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2.480kg/a</w:t>
            </w:r>
          </w:p>
        </w:tc>
        <w:tc>
          <w:tcPr>
            <w:tcW w:w="1510" w:type="dxa"/>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bl>
    <w:p>
      <w:pPr>
        <w:spacing w:line="360" w:lineRule="auto"/>
        <w:ind w:firstLine="482"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sz w:val="24"/>
          <w:szCs w:val="24"/>
        </w:rPr>
        <w:t>环评要求：</w:t>
      </w:r>
      <w:r>
        <w:rPr>
          <w:rFonts w:hint="default" w:ascii="Times New Roman" w:hAnsi="Times New Roman" w:eastAsia="宋体" w:cs="Times New Roman"/>
          <w:sz w:val="24"/>
          <w:szCs w:val="24"/>
        </w:rPr>
        <w:t>设置卫生防护距离：以猪舍、污水处理站、</w:t>
      </w:r>
      <w:r>
        <w:rPr>
          <w:rFonts w:hint="default" w:ascii="Times New Roman" w:hAnsi="Times New Roman" w:cs="Times New Roman"/>
          <w:sz w:val="24"/>
          <w:szCs w:val="24"/>
          <w:lang w:eastAsia="zh-CN"/>
        </w:rPr>
        <w:t>猪粪暂存间</w:t>
      </w:r>
      <w:r>
        <w:rPr>
          <w:rFonts w:hint="default" w:ascii="Times New Roman" w:hAnsi="Times New Roman" w:eastAsia="宋体" w:cs="Times New Roman"/>
          <w:sz w:val="24"/>
          <w:szCs w:val="24"/>
          <w:lang w:eastAsia="zh-CN"/>
        </w:rPr>
        <w:t>为</w:t>
      </w:r>
      <w:r>
        <w:rPr>
          <w:rFonts w:hint="default" w:ascii="Times New Roman" w:hAnsi="Times New Roman" w:eastAsia="宋体" w:cs="Times New Roman"/>
          <w:sz w:val="24"/>
          <w:szCs w:val="24"/>
        </w:rPr>
        <w:t>边界，设立</w:t>
      </w:r>
      <w:r>
        <w:rPr>
          <w:rFonts w:hint="default" w:ascii="Times New Roman" w:hAnsi="Times New Roman" w:cs="Times New Roman"/>
          <w:sz w:val="24"/>
          <w:szCs w:val="24"/>
          <w:lang w:val="en-US" w:eastAsia="zh-CN"/>
        </w:rPr>
        <w:t>1</w:t>
      </w:r>
      <w:r>
        <w:rPr>
          <w:rFonts w:hint="default" w:ascii="Times New Roman" w:hAnsi="Times New Roman" w:eastAsia="宋体" w:cs="Times New Roman"/>
          <w:sz w:val="24"/>
          <w:szCs w:val="24"/>
        </w:rPr>
        <w:t>00m的卫生防护距离，禁止卫生防护距离内新建居民住宅、医院、学校等民用设施和食品、医药等对大气环境质量要求较高企业，最大程度减少臭气的影响。由以上分析可知，本项目采用先进的饲养工艺和清粪工艺，并做到猪舍内勤清扫、保持干燥和防潮、加强通风，场区内加强绿化，粪便在得到及时处理前提下，厂界臭气浓度均能够满足《畜禽养殖业污染物排放标准》（GB18596-2001）中的规定值。</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由以上分析可知，本项目采用先进的饲养工艺和清粪工艺，猪舍内勤清扫、保持干燥和防潮、加强通风，场区内加强绿化，粪便在得到及时处理前提下，厂界臭气对大气环境的影响较小。</w:t>
      </w:r>
    </w:p>
    <w:p>
      <w:pPr>
        <w:spacing w:line="360" w:lineRule="auto"/>
        <w:ind w:left="482" w:firstLine="120" w:firstLineChars="50"/>
        <w:outlineLvl w:val="3"/>
        <w:rPr>
          <w:rFonts w:hint="default" w:ascii="Times New Roman" w:hAnsi="Times New Roman" w:cs="Times New Roman"/>
          <w:b/>
          <w:sz w:val="24"/>
          <w:szCs w:val="24"/>
        </w:rPr>
      </w:pPr>
      <w:r>
        <w:rPr>
          <w:rFonts w:hint="default" w:ascii="Times New Roman" w:hAnsi="Times New Roman" w:cs="Times New Roman"/>
          <w:b/>
          <w:sz w:val="24"/>
          <w:szCs w:val="24"/>
        </w:rPr>
        <w:t>3.3.4.4 噪声</w:t>
      </w:r>
      <w:bookmarkEnd w:id="181"/>
      <w:bookmarkEnd w:id="182"/>
      <w:bookmarkEnd w:id="183"/>
      <w:bookmarkEnd w:id="184"/>
      <w:bookmarkEnd w:id="187"/>
    </w:p>
    <w:p>
      <w:pPr>
        <w:spacing w:line="360" w:lineRule="auto"/>
        <w:ind w:firstLine="480" w:firstLineChars="200"/>
        <w:rPr>
          <w:rFonts w:hint="default" w:ascii="Times New Roman" w:hAnsi="Times New Roman" w:cs="Times New Roman"/>
          <w:color w:val="000000"/>
          <w:sz w:val="24"/>
          <w:szCs w:val="24"/>
        </w:rPr>
      </w:pPr>
      <w:bookmarkStart w:id="188" w:name="_Toc269400719"/>
      <w:bookmarkStart w:id="189" w:name="_Toc311979932"/>
      <w:bookmarkStart w:id="190" w:name="_Toc311979864"/>
      <w:bookmarkStart w:id="191" w:name="_Toc311979819"/>
      <w:bookmarkStart w:id="192" w:name="_Toc371868960"/>
      <w:r>
        <w:rPr>
          <w:rFonts w:hint="default" w:ascii="Times New Roman" w:hAnsi="Times New Roman" w:cs="Times New Roman"/>
          <w:sz w:val="24"/>
          <w:szCs w:val="24"/>
        </w:rPr>
        <w:t>噪声主要为猪叫声、猪舍降温配套降温风机、污水处理设施等设备运行时产生的噪声，噪声声级范围60-85dB（A</w:t>
      </w:r>
      <w:r>
        <w:rPr>
          <w:rFonts w:hint="default" w:ascii="Times New Roman" w:hAnsi="Times New Roman" w:cs="Times New Roman"/>
          <w:color w:val="000000"/>
          <w:sz w:val="24"/>
          <w:szCs w:val="24"/>
        </w:rPr>
        <w:t>），该项目噪声治理措施见表3.3-9。</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表3.3-9  噪声产生及治理情况一览表</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764"/>
        <w:gridCol w:w="1913"/>
        <w:gridCol w:w="961"/>
        <w:gridCol w:w="1687"/>
        <w:gridCol w:w="2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7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序号</w:t>
            </w:r>
          </w:p>
        </w:tc>
        <w:tc>
          <w:tcPr>
            <w:tcW w:w="176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设备名称</w:t>
            </w:r>
          </w:p>
        </w:tc>
        <w:tc>
          <w:tcPr>
            <w:tcW w:w="1913" w:type="dxa"/>
            <w:tcBorders>
              <w:right w:val="single" w:color="auto" w:sz="8" w:space="0"/>
            </w:tcBorders>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噪声值dB（A）</w:t>
            </w:r>
          </w:p>
        </w:tc>
        <w:tc>
          <w:tcPr>
            <w:tcW w:w="961" w:type="dxa"/>
            <w:tcBorders>
              <w:left w:val="single" w:color="auto" w:sz="8" w:space="0"/>
            </w:tcBorders>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数量</w:t>
            </w:r>
          </w:p>
        </w:tc>
        <w:tc>
          <w:tcPr>
            <w:tcW w:w="1687" w:type="dxa"/>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所在位置</w:t>
            </w:r>
          </w:p>
        </w:tc>
        <w:tc>
          <w:tcPr>
            <w:tcW w:w="2514" w:type="dxa"/>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87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176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备用发电机</w:t>
            </w:r>
          </w:p>
        </w:tc>
        <w:tc>
          <w:tcPr>
            <w:tcW w:w="1913" w:type="dxa"/>
            <w:tcBorders>
              <w:righ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75~85</w:t>
            </w:r>
          </w:p>
        </w:tc>
        <w:tc>
          <w:tcPr>
            <w:tcW w:w="961" w:type="dxa"/>
            <w:tcBorders>
              <w:lef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1台</w:t>
            </w:r>
          </w:p>
        </w:tc>
        <w:tc>
          <w:tcPr>
            <w:tcW w:w="1687"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备用发电机房</w:t>
            </w:r>
          </w:p>
        </w:tc>
        <w:tc>
          <w:tcPr>
            <w:tcW w:w="251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专用发电机房，建筑隔声，距离衰减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87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176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风机</w:t>
            </w:r>
          </w:p>
        </w:tc>
        <w:tc>
          <w:tcPr>
            <w:tcW w:w="1913" w:type="dxa"/>
            <w:tcBorders>
              <w:righ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60~70</w:t>
            </w:r>
          </w:p>
        </w:tc>
        <w:tc>
          <w:tcPr>
            <w:tcW w:w="961" w:type="dxa"/>
            <w:tcBorders>
              <w:lef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18台</w:t>
            </w:r>
          </w:p>
        </w:tc>
        <w:tc>
          <w:tcPr>
            <w:tcW w:w="1687"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圈舍外墙</w:t>
            </w:r>
          </w:p>
        </w:tc>
        <w:tc>
          <w:tcPr>
            <w:tcW w:w="2514"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合理布局，采用低噪声设备，风机柔性连接，水泵基座减震，距离衰减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87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176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水泵</w:t>
            </w:r>
          </w:p>
        </w:tc>
        <w:tc>
          <w:tcPr>
            <w:tcW w:w="1913" w:type="dxa"/>
            <w:tcBorders>
              <w:righ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65~75</w:t>
            </w:r>
          </w:p>
        </w:tc>
        <w:tc>
          <w:tcPr>
            <w:tcW w:w="961" w:type="dxa"/>
            <w:tcBorders>
              <w:lef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4台</w:t>
            </w:r>
          </w:p>
        </w:tc>
        <w:tc>
          <w:tcPr>
            <w:tcW w:w="1687"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池体内</w:t>
            </w:r>
          </w:p>
        </w:tc>
        <w:tc>
          <w:tcPr>
            <w:tcW w:w="2514" w:type="dxa"/>
            <w:vMerge w:val="continue"/>
            <w:vAlign w:val="center"/>
          </w:tcPr>
          <w:p>
            <w:pPr>
              <w:adjustRightInd w:val="0"/>
              <w:snapToGrid w:val="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7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176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污水处理系统</w:t>
            </w:r>
          </w:p>
        </w:tc>
        <w:tc>
          <w:tcPr>
            <w:tcW w:w="1913" w:type="dxa"/>
            <w:tcBorders>
              <w:righ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65~80</w:t>
            </w:r>
          </w:p>
        </w:tc>
        <w:tc>
          <w:tcPr>
            <w:tcW w:w="961" w:type="dxa"/>
            <w:tcBorders>
              <w:lef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1套</w:t>
            </w:r>
          </w:p>
        </w:tc>
        <w:tc>
          <w:tcPr>
            <w:tcW w:w="1687"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地块东侧</w:t>
            </w:r>
          </w:p>
        </w:tc>
        <w:tc>
          <w:tcPr>
            <w:tcW w:w="251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部分采用地下室，地上设施密闭处理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7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5</w:t>
            </w:r>
          </w:p>
        </w:tc>
        <w:tc>
          <w:tcPr>
            <w:tcW w:w="176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猪只叫声</w:t>
            </w:r>
          </w:p>
        </w:tc>
        <w:tc>
          <w:tcPr>
            <w:tcW w:w="1913" w:type="dxa"/>
            <w:tcBorders>
              <w:righ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60~75</w:t>
            </w:r>
          </w:p>
        </w:tc>
        <w:tc>
          <w:tcPr>
            <w:tcW w:w="961" w:type="dxa"/>
            <w:tcBorders>
              <w:lef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若干</w:t>
            </w:r>
          </w:p>
        </w:tc>
        <w:tc>
          <w:tcPr>
            <w:tcW w:w="1687"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猪舍</w:t>
            </w:r>
          </w:p>
        </w:tc>
        <w:tc>
          <w:tcPr>
            <w:tcW w:w="251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密闭养殖，加强管理，定时投食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87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w:t>
            </w:r>
          </w:p>
        </w:tc>
        <w:tc>
          <w:tcPr>
            <w:tcW w:w="176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运输车辆</w:t>
            </w:r>
          </w:p>
        </w:tc>
        <w:tc>
          <w:tcPr>
            <w:tcW w:w="1913" w:type="dxa"/>
            <w:tcBorders>
              <w:righ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60~70</w:t>
            </w:r>
          </w:p>
        </w:tc>
        <w:tc>
          <w:tcPr>
            <w:tcW w:w="961" w:type="dxa"/>
            <w:tcBorders>
              <w:lef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1687"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2514"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限制车速，采用噪声小的车辆，禁止鸣笛</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项目养殖场内的猪舍为砖混结构，采用彩钢顶棚，除门和排风口以外，为密闭养殖，墙体可隔音，并且养殖区周围为大面积的山林且有山丘阻挡，易于降噪，</w:t>
      </w:r>
      <w:r>
        <w:rPr>
          <w:rFonts w:hint="default" w:ascii="Times New Roman" w:hAnsi="Times New Roman" w:cs="Times New Roman"/>
          <w:b/>
          <w:bCs/>
          <w:sz w:val="24"/>
          <w:szCs w:val="24"/>
        </w:rPr>
        <w:t>项目拟采取的措施有：</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①备用发电机采用低噪声设备、发电机房采取建筑隔声等降噪措施，且发电机使用时间较少。</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②水泵加装减振器，进水管道设可曲挠管道橡胶伸缩接头以减小水锤冲击和水泵震动产生的噪声，连接水泵进出口的水管、进出机房隔墙处与运转设备连接的管道均采用减震吊架。</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③风机采用低噪声设备，进出口设软接头，风机进出口风管处安装消声设备，合理布置风机在外墙的分布，远离敏感点。</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④污水处理站污泥泵、风机等均设置于地下池体内，污水处理设施地下隔声降噪，产生噪声影响较小。</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⑤固液分离设备密闭设置，设置减震基础，经过墙体隔声、距离衰减后，对周围环境影响较小。</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⑥场内对车辆采取限速、禁鸣的要求，可以有效降低车辆运输带来的噪声。</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⑦加强场区内绿化，建立立体隔离绿化带，充分利用建筑物、绿化带阻隔声音传播。经过上述治理措施后，本项目厂界噪声均能达到《工业企业厂界环境噪声排放标准》（GB12348-2008）2类标准的要求。</w:t>
      </w:r>
    </w:p>
    <w:p>
      <w:pPr>
        <w:spacing w:line="360" w:lineRule="auto"/>
        <w:ind w:left="482" w:firstLine="120" w:firstLineChars="50"/>
        <w:outlineLvl w:val="3"/>
        <w:rPr>
          <w:rFonts w:hint="default" w:ascii="Times New Roman" w:hAnsi="Times New Roman" w:cs="Times New Roman"/>
          <w:b/>
          <w:sz w:val="24"/>
          <w:szCs w:val="24"/>
        </w:rPr>
      </w:pPr>
      <w:r>
        <w:rPr>
          <w:rFonts w:hint="default" w:ascii="Times New Roman" w:hAnsi="Times New Roman" w:cs="Times New Roman"/>
          <w:b/>
          <w:sz w:val="24"/>
          <w:szCs w:val="24"/>
        </w:rPr>
        <w:t>3.3.4.5 固体废弃物</w:t>
      </w:r>
      <w:bookmarkEnd w:id="188"/>
      <w:bookmarkEnd w:id="189"/>
      <w:bookmarkEnd w:id="190"/>
      <w:bookmarkEnd w:id="191"/>
      <w:bookmarkEnd w:id="192"/>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项目产生的固体废弃物包含猪粪、病死猪、</w:t>
      </w:r>
      <w:r>
        <w:rPr>
          <w:rFonts w:hint="default" w:ascii="Times New Roman" w:hAnsi="Times New Roman" w:cs="Times New Roman"/>
          <w:bCs/>
          <w:kern w:val="0"/>
          <w:sz w:val="24"/>
        </w:rPr>
        <w:t>污水处理站栅渣和污泥、</w:t>
      </w:r>
      <w:r>
        <w:rPr>
          <w:rFonts w:hint="default" w:ascii="Times New Roman" w:hAnsi="Times New Roman" w:cs="Times New Roman"/>
          <w:bCs/>
          <w:sz w:val="24"/>
          <w:szCs w:val="24"/>
        </w:rPr>
        <w:t>员工生活垃圾、医疗废物、废包装袋、废脱硫剂等。</w:t>
      </w:r>
    </w:p>
    <w:p>
      <w:pPr>
        <w:spacing w:line="360" w:lineRule="auto"/>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（1）生活垃圾</w:t>
      </w:r>
    </w:p>
    <w:p>
      <w:pPr>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工作人员20人，其中10人厂区食宿，在厂区食宿人员生活垃圾产生量按1kg/（人·d）计算，其余按0.5kg/（人·d）计算，则每年产生生活垃圾5.475t。</w:t>
      </w:r>
    </w:p>
    <w:p>
      <w:pPr>
        <w:spacing w:line="360" w:lineRule="auto"/>
        <w:ind w:firstLine="482" w:firstLineChars="200"/>
        <w:rPr>
          <w:rFonts w:hint="default" w:ascii="Times New Roman" w:hAnsi="Times New Roman" w:cs="Times New Roman"/>
          <w:kern w:val="0"/>
          <w:sz w:val="24"/>
          <w:szCs w:val="24"/>
        </w:rPr>
      </w:pPr>
      <w:r>
        <w:rPr>
          <w:rFonts w:hint="default" w:ascii="Times New Roman" w:hAnsi="Times New Roman" w:cs="Times New Roman"/>
          <w:b/>
          <w:kern w:val="0"/>
          <w:sz w:val="24"/>
          <w:szCs w:val="24"/>
        </w:rPr>
        <w:t>拟采取治理措施：</w:t>
      </w:r>
      <w:r>
        <w:rPr>
          <w:rFonts w:hint="default" w:ascii="Times New Roman" w:hAnsi="Times New Roman" w:cs="Times New Roman"/>
          <w:kern w:val="0"/>
          <w:sz w:val="24"/>
          <w:szCs w:val="24"/>
        </w:rPr>
        <w:t>场区内设置生活垃圾桶内衬塑料袋收集生活垃圾，生活垃圾集中收集后，送至乡镇垃圾收集点，交由当地环卫部门统一清运处理。</w:t>
      </w:r>
    </w:p>
    <w:p>
      <w:pPr>
        <w:spacing w:line="360" w:lineRule="auto"/>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（2）猪粪</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 根据《畜禽养殖业污染治理工程技术规范》（HJ497-2009），每头猪每天的排泄量为2kg，本项目猪存栏量为7000头，则产生的猪粪为14t/d，每年产生猪粪5110t。若不加以妥善利用，粪污任意堆弃和排放，严重污染周围环境，同时也污染自身。</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拟采取治理措施：</w:t>
      </w:r>
      <w:r>
        <w:rPr>
          <w:rFonts w:hint="default" w:ascii="Times New Roman" w:hAnsi="Times New Roman" w:cs="Times New Roman"/>
          <w:bCs/>
          <w:sz w:val="24"/>
          <w:szCs w:val="24"/>
        </w:rPr>
        <w:t>本项目拟将粪便在项目区暂存后，外售给夹江县果香四季家庭农场制作有机肥，做到日产日清，本项目不堆肥。粪便贮存场所防雨水，顶部和侧面全遮，前、后面敞开式。地面为水泥结构，设置通气孔。</w:t>
      </w:r>
    </w:p>
    <w:p>
      <w:pPr>
        <w:spacing w:line="360" w:lineRule="auto"/>
        <w:ind w:firstLine="482" w:firstLineChars="200"/>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lang w:eastAsia="zh-CN"/>
        </w:rPr>
        <w:t>依托可行性分析：</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Cs/>
          <w:color w:val="auto"/>
          <w:sz w:val="24"/>
          <w:szCs w:val="24"/>
        </w:rPr>
        <w:t>夹江县果香四季家庭农场</w:t>
      </w:r>
      <w:r>
        <w:rPr>
          <w:rFonts w:hint="default" w:ascii="Times New Roman" w:hAnsi="Times New Roman" w:cs="Times New Roman"/>
          <w:b w:val="0"/>
          <w:bCs w:val="0"/>
          <w:color w:val="auto"/>
          <w:sz w:val="24"/>
          <w:szCs w:val="24"/>
        </w:rPr>
        <w:t>采用条垛堆肥工艺进行粪污堆肥处理，处理工艺如下：</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1）原料预处理</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原料预处理为猪粪经过收集后，在有机肥发酵区待发酵，按一定的比例添加菌种进行发酵，既起到接种的目的，又解决了新鲜猪粪含水率高的问题。</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2）发酵</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本项目混合后的物料用铲车在发酵区堆成条垛状，条垛每条宽约1.8m，高1.2~2.0m。每天用铲车翻堆一次，使物料充氧充分，可使堆体在1~3天内温度上升至25~45℃，堆体温度达到60~70℃后发酵稳定，物料中纤维素和木质素也开始分解，腐殖质开始形成。堆体温度最高能达到80℃，充分发酵后温度逐步降低。翻抛的同时可将物料充分混合均匀，经一次发酵后的物料含水率约为40%。</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本项目堆肥发酵过程分为4个阶段：</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①升温阶段</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这个过程一般指堆肥过程的初期，在该阶段，堆肥温度逐步从环境温度上升到45℃左右，主导微生物以嗜温性微生物为主，包括细菌、真菌和放线菌，分解底物以糖类和淀粉为主，期间能发现真菌的子实体，也有动物及原生动物参与分解。</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②高温阶段</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堆温升至45℃以上即进入高温阶段，在这一阶段，嗜温微生物受到抑制甚至死亡，而嗜热微生物则上升为主导微生物。堆肥中残留的和新生成的可溶性有机物质继续被氧化分解，复杂的有机物如半纤维素-纤维素和蛋白质也开始被强烈分解。微生物的活动交替出现，通常在50℃左右时最活跃的是嗜热性真菌和放线菌，温度上升到60℃时真菌几乎完全停止活动，仅有嗜热性细菌和放线菌活动，温度升到70℃时大多数嗜热性微生物已不再适应，并大批进入休眠和死亡阶段。</w:t>
      </w:r>
      <w:r>
        <w:rPr>
          <w:rFonts w:hint="default" w:ascii="Times New Roman" w:hAnsi="Times New Roman" w:cs="Times New Roman"/>
          <w:b w:val="0"/>
          <w:bCs w:val="0"/>
          <w:color w:val="auto"/>
          <w:sz w:val="24"/>
          <w:szCs w:val="24"/>
          <w:lang w:eastAsia="zh-CN"/>
        </w:rPr>
        <w:t>仁寿德康农牧有限公司</w:t>
      </w:r>
      <w:r>
        <w:rPr>
          <w:rFonts w:hint="default" w:ascii="Times New Roman" w:hAnsi="Times New Roman" w:cs="Times New Roman"/>
          <w:b w:val="0"/>
          <w:bCs w:val="0"/>
          <w:color w:val="auto"/>
          <w:sz w:val="24"/>
          <w:szCs w:val="24"/>
        </w:rPr>
        <w:t>采用现代化的工艺生产有机肥，最佳温度为55℃，这是因为大多数微生物在该温度范围内最活跃，最易分解有机物，而病原菌和寄生虫大多数可被杀死。</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③降温阶段</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高温阶段必然造成微生物的死亡和活动减少，自然进入低温阶段。在这一阶段，嗜温性微生物又开始占据优势，对残余较难分解的有机物作进一步的分解，但微生物活性普遍下降，堆体发热量减少，温度开始下降，有机物趋于稳定化，需氧量大大减少，堆肥进入腐熟或后熟阶段。</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④腐熟保肥阶段</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有机物大部分已经分解和稳定，温度下降，为了保持已形成的腐殖质和微量的氮、磷、钾肥等，要使腐熟的肥料保持平衡。堆肥腐熟后，体积缩小，堆温下降至稍高于气温，应将堆体压紧，有机成分处于厌氧条件下，防止出现矿质化，以利于肥力的保存。发酵后的固体有机肥，搅拌补养后进行筛分，后进行袋装。项目产生有机肥全部外卖。</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eastAsia="黑体" w:cs="Times New Roman"/>
          <w:b w:val="0"/>
          <w:bCs w:val="0"/>
          <w:color w:val="auto"/>
          <w:sz w:val="24"/>
          <w:szCs w:val="24"/>
        </w:rPr>
        <w:pict>
          <v:group id="画布 751" o:spid="_x0000_s2315" o:spt="203" style="position:absolute;left:0pt;margin-left:20.55pt;margin-top:29.25pt;height:193.75pt;width:448.8pt;mso-wrap-distance-bottom:0pt;mso-wrap-distance-top:0pt;z-index:251919360;mso-width-relative:page;mso-height-relative:page;" coordorigin="1296,815" coordsize="8976,3874" editas="canvas">
            <o:lock v:ext="edit"/>
            <v:shape id="画布 751" o:spid="_x0000_s2316" o:spt="75" type="#_x0000_t75" style="position:absolute;left:1296;top:815;height:3874;width:8976;" filled="f" stroked="f" coordsize="21600,21600">
              <v:path/>
              <v:fill on="f" focussize="0,0"/>
              <v:stroke on="f"/>
              <v:imagedata o:title=""/>
              <o:lock v:ext="edit" text="t" aspectratio="t"/>
            </v:shape>
            <v:shape id="文本框 753" o:spid="_x0000_s2317" o:spt="202" type="#_x0000_t202" style="position:absolute;left:3420;top:1788;height:462;width:938;" fillcolor="#FFFFFF" filled="t" stroked="t" coordsize="21600,21600">
              <v:path/>
              <v:fill on="t" color2="#FFFFFF" focussize="0,0"/>
              <v:stroke color="#000000" joinstyle="miter"/>
              <v:imagedata o:title=""/>
              <o:lock v:ext="edit" aspectratio="f"/>
              <v:textbox>
                <w:txbxContent>
                  <w:p>
                    <w:pPr>
                      <w:jc w:val="center"/>
                      <w:rPr>
                        <w:szCs w:val="21"/>
                      </w:rPr>
                    </w:pPr>
                    <w:r>
                      <w:rPr>
                        <w:rFonts w:hint="eastAsia"/>
                        <w:szCs w:val="21"/>
                      </w:rPr>
                      <w:t>混料</w:t>
                    </w:r>
                  </w:p>
                </w:txbxContent>
              </v:textbox>
            </v:shape>
            <v:shape id="文本框 754" o:spid="_x0000_s2318" o:spt="202" type="#_x0000_t202" style="position:absolute;left:1308;top:1755;height:481;width:1470;" filled="f" stroked="f" coordsize="21600,21600">
              <v:path/>
              <v:fill on="f" focussize="0,0"/>
              <v:stroke on="f"/>
              <v:imagedata o:title=""/>
              <o:lock v:ext="edit" aspectratio="f"/>
              <v:textbox>
                <w:txbxContent>
                  <w:p>
                    <w:pPr>
                      <w:jc w:val="center"/>
                      <w:rPr>
                        <w:szCs w:val="21"/>
                      </w:rPr>
                    </w:pPr>
                    <w:r>
                      <w:rPr>
                        <w:rFonts w:hint="eastAsia"/>
                        <w:szCs w:val="21"/>
                      </w:rPr>
                      <w:t>猪粪、沼渣</w:t>
                    </w:r>
                  </w:p>
                </w:txbxContent>
              </v:textbox>
            </v:shape>
            <v:shape id="自选图形 755" o:spid="_x0000_s2319" o:spt="32" type="#_x0000_t32" style="position:absolute;left:2655;top:1998;height:1;width:765;" filled="f" stroked="t" coordsize="21600,21600">
              <v:path arrowok="t"/>
              <v:fill on="f" focussize="0,0"/>
              <v:stroke color="#000000" endarrow="block"/>
              <v:imagedata o:title=""/>
              <o:lock v:ext="edit" aspectratio="f"/>
            </v:shape>
            <v:shape id="自选图形 756" o:spid="_x0000_s2320" o:spt="32" type="#_x0000_t32" style="position:absolute;left:4358;top:1999;height:1;width:765;" filled="f" stroked="t" coordsize="21600,21600">
              <v:path arrowok="t"/>
              <v:fill on="f" focussize="0,0"/>
              <v:stroke color="#000000" endarrow="block"/>
              <v:imagedata o:title=""/>
              <o:lock v:ext="edit" aspectratio="f"/>
            </v:shape>
            <v:shape id="文本框 757" o:spid="_x0000_s2321" o:spt="202" type="#_x0000_t202" style="position:absolute;left:5123;top:1788;height:462;width:1490;" fillcolor="#FFFFFF" filled="t" stroked="t" coordsize="21600,21600">
              <v:path/>
              <v:fill on="t" color2="#FFFFFF" focussize="0,0"/>
              <v:stroke color="#000000" joinstyle="miter"/>
              <v:imagedata o:title=""/>
              <o:lock v:ext="edit" aspectratio="f"/>
              <v:textbox>
                <w:txbxContent>
                  <w:p>
                    <w:pPr>
                      <w:jc w:val="center"/>
                      <w:rPr>
                        <w:szCs w:val="21"/>
                      </w:rPr>
                    </w:pPr>
                    <w:r>
                      <w:rPr>
                        <w:rFonts w:hint="eastAsia"/>
                        <w:szCs w:val="21"/>
                      </w:rPr>
                      <w:t>条垛发酵堆</w:t>
                    </w:r>
                  </w:p>
                </w:txbxContent>
              </v:textbox>
            </v:shape>
            <v:shape id="文本框 758" o:spid="_x0000_s2322" o:spt="202" type="#_x0000_t202" style="position:absolute;left:7378;top:1788;height:462;width:966;" fillcolor="#FFFFFF" filled="t" stroked="t" coordsize="21600,21600">
              <v:path/>
              <v:fill on="t" color2="#FFFFFF" focussize="0,0"/>
              <v:stroke color="#000000" joinstyle="miter"/>
              <v:imagedata o:title=""/>
              <o:lock v:ext="edit" aspectratio="f"/>
              <v:textbox>
                <w:txbxContent>
                  <w:p>
                    <w:pPr>
                      <w:jc w:val="center"/>
                      <w:rPr>
                        <w:szCs w:val="21"/>
                      </w:rPr>
                    </w:pPr>
                    <w:r>
                      <w:rPr>
                        <w:rFonts w:hint="eastAsia"/>
                        <w:szCs w:val="21"/>
                      </w:rPr>
                      <w:t>筛分</w:t>
                    </w:r>
                  </w:p>
                </w:txbxContent>
              </v:textbox>
            </v:shape>
            <v:shape id="自选图形 759" o:spid="_x0000_s2323" o:spt="32" type="#_x0000_t32" style="position:absolute;left:6613;top:2000;height:1;width:765;" filled="f" stroked="t" coordsize="21600,21600">
              <v:path arrowok="t"/>
              <v:fill on="f" focussize="0,0"/>
              <v:stroke color="#000000" endarrow="block"/>
              <v:imagedata o:title=""/>
              <o:lock v:ext="edit" aspectratio="f"/>
            </v:shape>
            <v:shape id="自选图形 760" o:spid="_x0000_s2324" o:spt="32" type="#_x0000_t32" style="position:absolute;left:5848;top:1276;flip:y;height:330;width:0;" filled="f" stroked="t" coordsize="21600,21600">
              <v:path arrowok="t"/>
              <v:fill on="f" focussize="0,0"/>
              <v:stroke color="#000000" dashstyle="dash" endarrow="block"/>
              <v:imagedata o:title=""/>
              <o:lock v:ext="edit" aspectratio="f"/>
            </v:shape>
            <v:shape id="文本框 761" o:spid="_x0000_s2325" o:spt="202" type="#_x0000_t202" style="position:absolute;left:5345;top:912;height:462;width:1046;" filled="f" stroked="f" coordsize="21600,21600">
              <v:path/>
              <v:fill on="f" focussize="0,0"/>
              <v:stroke on="f"/>
              <v:imagedata o:title=""/>
              <o:lock v:ext="edit" aspectratio="f"/>
              <v:textbox>
                <w:txbxContent>
                  <w:p>
                    <w:pPr>
                      <w:jc w:val="center"/>
                      <w:rPr>
                        <w:szCs w:val="21"/>
                      </w:rPr>
                    </w:pPr>
                    <w:r>
                      <w:rPr>
                        <w:rFonts w:hint="eastAsia"/>
                        <w:szCs w:val="21"/>
                      </w:rPr>
                      <w:t>恶臭</w:t>
                    </w:r>
                  </w:p>
                </w:txbxContent>
              </v:textbox>
            </v:shape>
            <v:shape id="自选图形 764" o:spid="_x0000_s2326" o:spt="32" type="#_x0000_t32" style="position:absolute;left:9109;top:2019;height:836;width:1;" filled="f" stroked="t" coordsize="21600,21600">
              <v:path arrowok="t"/>
              <v:fill on="f" focussize="0,0"/>
              <v:stroke color="#000000" endarrow="block"/>
              <v:imagedata o:title=""/>
              <o:lock v:ext="edit" aspectratio="f"/>
            </v:shape>
            <v:rect id="矩形 771" o:spid="_x0000_s2327" o:spt="1" style="position:absolute;left:8241;top:2855;height:419;width:1612;" fillcolor="#FFFFFF" filled="t" stroked="t" coordsize="21600,21600">
              <v:path/>
              <v:fill on="t" color2="#FFFFFF" focussize="0,0"/>
              <v:stroke color="#000000" joinstyle="miter"/>
              <v:imagedata o:title=""/>
              <o:lock v:ext="edit" aspectratio="f"/>
              <v:textbox>
                <w:txbxContent>
                  <w:p>
                    <w:pPr>
                      <w:jc w:val="center"/>
                      <w:rPr>
                        <w:szCs w:val="21"/>
                      </w:rPr>
                    </w:pPr>
                    <w:r>
                      <w:rPr>
                        <w:rFonts w:hint="eastAsia"/>
                        <w:szCs w:val="21"/>
                      </w:rPr>
                      <w:t>袋装粪肥</w:t>
                    </w:r>
                  </w:p>
                </w:txbxContent>
              </v:textbox>
            </v:rect>
            <v:shape id="自选图形 760" o:spid="_x0000_s2328" o:spt="32" type="#_x0000_t32" style="position:absolute;left:3859;top:1284;flip:y;height:330;width:1;" filled="f" stroked="t" coordsize="21600,21600">
              <v:path arrowok="t"/>
              <v:fill on="f" focussize="0,0"/>
              <v:stroke color="#000000" dashstyle="dash" endarrow="block"/>
              <v:imagedata o:title=""/>
              <o:lock v:ext="edit" aspectratio="f"/>
            </v:shape>
            <v:shape id="文本框 761" o:spid="_x0000_s2329" o:spt="202" type="#_x0000_t202" style="position:absolute;left:3420;top:912;height:462;width:1046;" filled="f" stroked="f" coordsize="21600,21600">
              <v:path/>
              <v:fill on="f" focussize="0,0"/>
              <v:stroke on="f"/>
              <v:imagedata o:title=""/>
              <o:lock v:ext="edit" aspectratio="f"/>
              <v:textbox>
                <w:txbxContent>
                  <w:p>
                    <w:pPr>
                      <w:jc w:val="center"/>
                      <w:rPr>
                        <w:szCs w:val="21"/>
                      </w:rPr>
                    </w:pPr>
                    <w:r>
                      <w:rPr>
                        <w:rFonts w:hint="eastAsia"/>
                        <w:szCs w:val="21"/>
                      </w:rPr>
                      <w:t>噪声</w:t>
                    </w:r>
                  </w:p>
                </w:txbxContent>
              </v:textbox>
            </v:shape>
            <v:shape id="自选图形 759" o:spid="_x0000_s2330" o:spt="32" type="#_x0000_t32" style="position:absolute;left:8344;top:2019;height:1;width:765;" filled="f" stroked="t" coordsize="21600,21600">
              <v:path arrowok="t"/>
              <v:fill on="f" focussize="0,0"/>
              <v:stroke color="#000000"/>
              <v:imagedata o:title=""/>
              <o:lock v:ext="edit" aspectratio="f"/>
            </v:shape>
            <v:rect id="矩形 772" o:spid="_x0000_s2331" o:spt="1" style="position:absolute;left:3058;top:1650;height:739;width:6405;" filled="f" stroked="t" coordsize="21600,21600">
              <v:path/>
              <v:fill on="f" focussize="0,0"/>
              <v:stroke color="#000000" joinstyle="miter" dashstyle="dash"/>
              <v:imagedata o:title=""/>
              <o:lock v:ext="edit" aspectratio="f"/>
            </v:rect>
            <v:shape id="自选图形 764" o:spid="_x0000_s2332" o:spt="32" type="#_x0000_t32" style="position:absolute;left:9108;top:3274;height:836;width:1;" filled="f" stroked="t" coordsize="21600,21600">
              <v:path arrowok="t"/>
              <v:fill on="f" focussize="0,0"/>
              <v:stroke color="#000000" endarrow="block"/>
              <v:imagedata o:title=""/>
              <o:lock v:ext="edit" aspectratio="f"/>
            </v:shape>
            <v:rect id="矩形 771" o:spid="_x0000_s2333" o:spt="1" style="position:absolute;left:8291;top:4110;height:419;width:1476;" fillcolor="#FFFFFF" filled="t" stroked="f" coordsize="21600,21600">
              <v:path/>
              <v:fill on="t" color2="#FFFFFF" focussize="0,0"/>
              <v:stroke on="f"/>
              <v:imagedata o:title=""/>
              <o:lock v:ext="edit" aspectratio="f"/>
              <v:textbox>
                <w:txbxContent>
                  <w:p>
                    <w:pPr>
                      <w:jc w:val="center"/>
                      <w:rPr>
                        <w:szCs w:val="21"/>
                      </w:rPr>
                    </w:pPr>
                    <w:r>
                      <w:rPr>
                        <w:rFonts w:hint="eastAsia"/>
                        <w:szCs w:val="21"/>
                        <w:lang w:eastAsia="zh-CN"/>
                      </w:rPr>
                      <w:t>自用或</w:t>
                    </w:r>
                    <w:r>
                      <w:rPr>
                        <w:rFonts w:hint="eastAsia"/>
                        <w:szCs w:val="21"/>
                      </w:rPr>
                      <w:t>外卖</w:t>
                    </w:r>
                  </w:p>
                </w:txbxContent>
              </v:textbox>
            </v:rect>
            <w10:wrap type="topAndBottom"/>
          </v:group>
        </w:pict>
      </w:r>
      <w:r>
        <w:rPr>
          <w:rFonts w:hint="default" w:ascii="Times New Roman" w:hAnsi="Times New Roman" w:cs="Times New Roman"/>
          <w:b w:val="0"/>
          <w:bCs w:val="0"/>
          <w:color w:val="auto"/>
          <w:sz w:val="24"/>
          <w:szCs w:val="24"/>
        </w:rPr>
        <w:t>堆肥工艺流程如图3</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rPr>
        <w:t>-</w:t>
      </w:r>
      <w:r>
        <w:rPr>
          <w:rFonts w:hint="eastAsia" w:ascii="Times New Roman" w:hAnsi="Times New Roman" w:cs="Times New Roman"/>
          <w:b w:val="0"/>
          <w:bCs w:val="0"/>
          <w:color w:val="auto"/>
          <w:sz w:val="24"/>
          <w:szCs w:val="24"/>
          <w:lang w:val="en-US" w:eastAsia="zh-CN"/>
        </w:rPr>
        <w:t>9</w:t>
      </w:r>
      <w:r>
        <w:rPr>
          <w:rFonts w:hint="default" w:ascii="Times New Roman" w:hAnsi="Times New Roman" w:cs="Times New Roman"/>
          <w:b w:val="0"/>
          <w:bCs w:val="0"/>
          <w:color w:val="auto"/>
          <w:sz w:val="24"/>
          <w:szCs w:val="24"/>
        </w:rPr>
        <w:t>所示。</w:t>
      </w:r>
    </w:p>
    <w:p>
      <w:pPr>
        <w:spacing w:line="360" w:lineRule="auto"/>
        <w:jc w:val="center"/>
        <w:rPr>
          <w:rFonts w:hint="default" w:ascii="Times New Roman" w:hAnsi="Times New Roman" w:eastAsia="黑体" w:cs="Times New Roman"/>
          <w:b w:val="0"/>
          <w:bCs w:val="0"/>
          <w:color w:val="auto"/>
          <w:sz w:val="24"/>
          <w:szCs w:val="24"/>
        </w:rPr>
      </w:pPr>
      <w:r>
        <w:rPr>
          <w:rFonts w:hint="default" w:ascii="Times New Roman" w:hAnsi="Times New Roman" w:eastAsia="黑体" w:cs="Times New Roman"/>
          <w:b w:val="0"/>
          <w:bCs w:val="0"/>
          <w:color w:val="auto"/>
          <w:sz w:val="24"/>
          <w:szCs w:val="24"/>
        </w:rPr>
        <w:t>图</w:t>
      </w:r>
      <w:r>
        <w:rPr>
          <w:rFonts w:hint="default" w:ascii="Times New Roman" w:hAnsi="Times New Roman" w:eastAsia="黑体" w:cs="Times New Roman"/>
          <w:b w:val="0"/>
          <w:bCs w:val="0"/>
          <w:color w:val="auto"/>
          <w:sz w:val="24"/>
          <w:szCs w:val="24"/>
          <w:lang w:val="en-US" w:eastAsia="zh-CN"/>
        </w:rPr>
        <w:t>3.</w:t>
      </w:r>
      <w:r>
        <w:rPr>
          <w:rFonts w:hint="default" w:ascii="Times New Roman" w:hAnsi="Times New Roman" w:eastAsia="黑体" w:cs="Times New Roman"/>
          <w:b w:val="0"/>
          <w:bCs w:val="0"/>
          <w:color w:val="auto"/>
          <w:sz w:val="24"/>
          <w:szCs w:val="24"/>
        </w:rPr>
        <w:t>3-</w:t>
      </w:r>
      <w:r>
        <w:rPr>
          <w:rFonts w:hint="eastAsia" w:ascii="Times New Roman" w:hAnsi="Times New Roman" w:eastAsia="黑体" w:cs="Times New Roman"/>
          <w:b w:val="0"/>
          <w:bCs w:val="0"/>
          <w:color w:val="auto"/>
          <w:sz w:val="24"/>
          <w:szCs w:val="24"/>
          <w:lang w:val="en-US" w:eastAsia="zh-CN"/>
        </w:rPr>
        <w:t>9</w:t>
      </w:r>
      <w:r>
        <w:rPr>
          <w:rFonts w:hint="default" w:ascii="Times New Roman" w:hAnsi="Times New Roman" w:eastAsia="黑体" w:cs="Times New Roman"/>
          <w:b w:val="0"/>
          <w:bCs w:val="0"/>
          <w:color w:val="auto"/>
          <w:sz w:val="24"/>
          <w:szCs w:val="24"/>
        </w:rPr>
        <w:t xml:space="preserve">  堆肥工艺流程及产污环节图</w:t>
      </w:r>
    </w:p>
    <w:p>
      <w:pPr>
        <w:spacing w:line="360" w:lineRule="auto"/>
        <w:ind w:firstLine="482" w:firstLineChars="200"/>
        <w:rPr>
          <w:rFonts w:hint="default" w:ascii="Times New Roman" w:hAnsi="Times New Roman" w:eastAsia="宋体" w:cs="Times New Roman"/>
          <w:b/>
          <w:bCs/>
          <w:i w:val="0"/>
          <w:iCs w:val="0"/>
          <w:sz w:val="24"/>
          <w:szCs w:val="24"/>
          <w:lang w:eastAsia="zh-CN"/>
        </w:rPr>
      </w:pPr>
      <w:r>
        <w:rPr>
          <w:rFonts w:hint="default" w:ascii="Times New Roman" w:hAnsi="Times New Roman" w:cs="Times New Roman"/>
          <w:b/>
          <w:bCs/>
          <w:i w:val="0"/>
          <w:iCs w:val="0"/>
          <w:sz w:val="24"/>
          <w:szCs w:val="24"/>
          <w:lang w:eastAsia="zh-CN"/>
        </w:rPr>
        <w:t>项目产生的猪粪经</w:t>
      </w:r>
      <w:r>
        <w:rPr>
          <w:rFonts w:hint="default" w:ascii="Times New Roman" w:hAnsi="Times New Roman" w:cs="Times New Roman"/>
          <w:b/>
          <w:bCs/>
          <w:i w:val="0"/>
          <w:iCs w:val="0"/>
          <w:color w:val="auto"/>
          <w:sz w:val="24"/>
          <w:szCs w:val="24"/>
        </w:rPr>
        <w:t>夹江县果香四季家庭农场</w:t>
      </w:r>
      <w:r>
        <w:rPr>
          <w:rFonts w:hint="default" w:ascii="Times New Roman" w:hAnsi="Times New Roman" w:cs="Times New Roman"/>
          <w:b/>
          <w:bCs/>
          <w:i w:val="0"/>
          <w:iCs w:val="0"/>
          <w:color w:val="auto"/>
          <w:sz w:val="24"/>
          <w:szCs w:val="24"/>
          <w:lang w:eastAsia="zh-CN"/>
        </w:rPr>
        <w:t>堆肥生产有机肥，处置方式可行。</w:t>
      </w:r>
    </w:p>
    <w:p>
      <w:pPr>
        <w:spacing w:line="360" w:lineRule="auto"/>
        <w:ind w:firstLine="482" w:firstLineChars="200"/>
        <w:rPr>
          <w:rFonts w:hint="default" w:ascii="Times New Roman" w:hAnsi="Times New Roman" w:cs="Times New Roman"/>
          <w:bCs/>
          <w:sz w:val="24"/>
          <w:szCs w:val="24"/>
        </w:rPr>
      </w:pPr>
      <w:r>
        <w:rPr>
          <w:rFonts w:hint="default" w:ascii="Times New Roman" w:hAnsi="Times New Roman" w:cs="Times New Roman"/>
          <w:b/>
          <w:bCs/>
          <w:sz w:val="24"/>
          <w:szCs w:val="24"/>
        </w:rPr>
        <w:t>环评要求</w:t>
      </w:r>
      <w:r>
        <w:rPr>
          <w:rFonts w:hint="default" w:ascii="Times New Roman" w:hAnsi="Times New Roman" w:cs="Times New Roman"/>
          <w:bCs/>
          <w:sz w:val="24"/>
          <w:szCs w:val="24"/>
        </w:rPr>
        <w:t>：</w:t>
      </w:r>
      <w:r>
        <w:rPr>
          <w:rFonts w:hint="default" w:ascii="Times New Roman" w:hAnsi="Times New Roman" w:cs="Times New Roman"/>
          <w:sz w:val="24"/>
          <w:szCs w:val="24"/>
        </w:rPr>
        <w:t>为便于环境管理，提高养殖场环保水平，环评要求项目处理必须建立粪污入池单、出库记录及输送档案（或台账）。粪便运输车辆必须有封闭车厢，密闭罐车、密闭容器包装运输。加强厂区内的管理，在运输干粪的途中发现有洒落的情况时，及时清扫，避免洒落的干粪被雨水冲刷污染土壤和地下水。</w:t>
      </w:r>
    </w:p>
    <w:p>
      <w:pPr>
        <w:spacing w:line="360" w:lineRule="auto"/>
        <w:ind w:firstLine="361" w:firstLineChars="150"/>
        <w:rPr>
          <w:rFonts w:hint="default" w:ascii="Times New Roman" w:hAnsi="Times New Roman" w:cs="Times New Roman"/>
          <w:b/>
          <w:bCs/>
          <w:sz w:val="24"/>
          <w:szCs w:val="24"/>
        </w:rPr>
      </w:pPr>
      <w:r>
        <w:rPr>
          <w:rFonts w:hint="default" w:ascii="Times New Roman" w:hAnsi="Times New Roman" w:cs="Times New Roman"/>
          <w:b/>
          <w:bCs/>
          <w:sz w:val="24"/>
          <w:szCs w:val="24"/>
        </w:rPr>
        <w:t>（3）病死猪</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kern w:val="0"/>
          <w:sz w:val="24"/>
          <w:szCs w:val="24"/>
        </w:rPr>
        <w:t>猪只在饲养过程中将会因生病产生死亡情况，根据同类企业类比调查和有关资料统计，育肥猪只的死亡率一般占出栏量的1％左右，则本项目病死猪产生量约140头/年，猪只重量平均50kg，则产生病死猪7t/a。</w:t>
      </w:r>
      <w:r>
        <w:rPr>
          <w:rFonts w:hint="default" w:ascii="Times New Roman" w:hAnsi="Times New Roman" w:cs="Times New Roman"/>
          <w:sz w:val="24"/>
          <w:szCs w:val="24"/>
        </w:rPr>
        <w:t>病死猪的处置问题应根据我国</w:t>
      </w:r>
      <w:r>
        <w:rPr>
          <w:rFonts w:hint="default" w:ascii="Times New Roman" w:hAnsi="Times New Roman" w:cs="Times New Roman"/>
          <w:kern w:val="0"/>
          <w:sz w:val="24"/>
          <w:szCs w:val="24"/>
        </w:rPr>
        <w:t>《畜禽养殖业污染防治工程技术规范》（HJ497-2009）</w:t>
      </w:r>
      <w:r>
        <w:rPr>
          <w:rFonts w:hint="default" w:ascii="Times New Roman" w:hAnsi="Times New Roman" w:cs="Times New Roman"/>
          <w:sz w:val="24"/>
          <w:szCs w:val="24"/>
        </w:rPr>
        <w:t>中的要求进行无害化处理。</w:t>
      </w:r>
    </w:p>
    <w:p>
      <w:pPr>
        <w:pStyle w:val="26"/>
        <w:shd w:val="clear" w:color="auto" w:fill="FFFFFF"/>
        <w:spacing w:line="360" w:lineRule="auto"/>
        <w:ind w:firstLine="482" w:firstLineChars="200"/>
        <w:jc w:val="both"/>
        <w:rPr>
          <w:rFonts w:hint="default" w:ascii="Times New Roman" w:hAnsi="Times New Roman" w:cs="Times New Roman"/>
          <w:bCs/>
          <w:sz w:val="24"/>
          <w:szCs w:val="24"/>
        </w:rPr>
      </w:pPr>
      <w:r>
        <w:rPr>
          <w:rFonts w:hint="default" w:ascii="Times New Roman" w:hAnsi="Times New Roman" w:cs="Times New Roman"/>
          <w:b/>
          <w:sz w:val="24"/>
          <w:szCs w:val="24"/>
        </w:rPr>
        <w:t>拟采取治理措施：</w:t>
      </w:r>
      <w:r>
        <w:rPr>
          <w:rFonts w:hint="default" w:ascii="Times New Roman" w:hAnsi="Times New Roman" w:cs="Times New Roman"/>
          <w:bCs/>
          <w:sz w:val="24"/>
          <w:szCs w:val="24"/>
        </w:rPr>
        <w:t>根据《乐山市农业局关于病死动物无害化处理实施意见》（乐市农函【2017】111号）要求，在乐山市全市集中无害化处理场建设完成之前，委托成都科农动物无害化处置有限公司对全市病死畜禽进行统一收集处理。</w:t>
      </w:r>
    </w:p>
    <w:p>
      <w:pPr>
        <w:pStyle w:val="26"/>
        <w:shd w:val="clear" w:color="auto" w:fill="FFFFFF"/>
        <w:spacing w:line="360" w:lineRule="auto"/>
        <w:ind w:firstLine="480" w:firstLineChars="200"/>
        <w:jc w:val="both"/>
        <w:rPr>
          <w:rFonts w:hint="default" w:ascii="Times New Roman" w:hAnsi="Times New Roman" w:cs="Times New Roman"/>
          <w:bCs/>
          <w:sz w:val="24"/>
          <w:szCs w:val="24"/>
        </w:rPr>
      </w:pPr>
      <w:r>
        <w:rPr>
          <w:rFonts w:hint="default" w:ascii="Times New Roman" w:hAnsi="Times New Roman" w:cs="Times New Roman"/>
          <w:bCs/>
          <w:sz w:val="24"/>
          <w:szCs w:val="24"/>
        </w:rPr>
        <w:t>成都市科农动物无害化处置有限公司成立于2008年9月，位于</w:t>
      </w:r>
      <w:r>
        <w:rPr>
          <w:rFonts w:hint="default" w:ascii="Times New Roman" w:hAnsi="Times New Roman" w:cs="Times New Roman"/>
          <w:sz w:val="24"/>
          <w:szCs w:val="24"/>
          <w:shd w:val="clear" w:color="auto" w:fill="FFFFFF"/>
        </w:rPr>
        <w:t>成都市邛崃水口镇钟山村3组，</w:t>
      </w:r>
      <w:r>
        <w:rPr>
          <w:rFonts w:hint="default" w:ascii="Times New Roman" w:hAnsi="Times New Roman" w:cs="Times New Roman"/>
          <w:bCs/>
          <w:sz w:val="24"/>
          <w:szCs w:val="24"/>
        </w:rPr>
        <w:t>公司占地40余亩，是全国家民营动物无害化处置公司。年处置能力7.4万余吨。</w:t>
      </w:r>
    </w:p>
    <w:p>
      <w:pPr>
        <w:pStyle w:val="26"/>
        <w:shd w:val="clear" w:color="auto" w:fill="FFFFFF"/>
        <w:spacing w:line="360" w:lineRule="auto"/>
        <w:ind w:firstLine="480" w:firstLineChars="200"/>
        <w:jc w:val="both"/>
        <w:rPr>
          <w:rFonts w:hint="default" w:ascii="Times New Roman" w:hAnsi="Times New Roman" w:cs="Times New Roman"/>
          <w:bCs/>
          <w:sz w:val="24"/>
          <w:szCs w:val="24"/>
        </w:rPr>
      </w:pPr>
      <w:r>
        <w:rPr>
          <w:rFonts w:hint="default" w:ascii="Times New Roman" w:hAnsi="Times New Roman" w:cs="Times New Roman"/>
          <w:sz w:val="24"/>
          <w:szCs w:val="24"/>
        </w:rPr>
        <w:t>该企业将病死猪进行分切、绞碎、高温灭菌后再加入生物菌（耐高温复合益生菌）发酵后制作为有机肥料。</w:t>
      </w:r>
    </w:p>
    <w:p>
      <w:pPr>
        <w:pStyle w:val="2"/>
        <w:spacing w:line="360" w:lineRule="auto"/>
        <w:ind w:firstLine="465"/>
        <w:rPr>
          <w:rFonts w:hint="default" w:ascii="Times New Roman" w:hAnsi="Times New Roman" w:cs="Times New Roman"/>
          <w:b/>
        </w:rPr>
      </w:pPr>
      <w:r>
        <w:rPr>
          <w:rFonts w:hint="default" w:ascii="Times New Roman" w:hAnsi="Times New Roman" w:cs="Times New Roman"/>
          <w:b/>
        </w:rPr>
        <w:t>评价要求，病死猪的处理在场内技术人员的监督下，有操作人员对病死猪进行称重、拍照存档、耳号登记造册，处理数量每月汇总，记录档案保存不少于两年。</w:t>
      </w:r>
    </w:p>
    <w:p>
      <w:pPr>
        <w:spacing w:line="360" w:lineRule="auto"/>
        <w:ind w:firstLine="361" w:firstLineChars="150"/>
        <w:rPr>
          <w:rFonts w:hint="default" w:ascii="Times New Roman" w:hAnsi="Times New Roman" w:cs="Times New Roman"/>
          <w:b/>
          <w:bCs/>
          <w:sz w:val="24"/>
          <w:szCs w:val="24"/>
        </w:rPr>
      </w:pPr>
      <w:r>
        <w:rPr>
          <w:rFonts w:hint="default" w:ascii="Times New Roman" w:hAnsi="Times New Roman" w:cs="Times New Roman"/>
          <w:b/>
          <w:bCs/>
          <w:sz w:val="24"/>
          <w:szCs w:val="24"/>
        </w:rPr>
        <w:t>（4）废饲料袋</w:t>
      </w:r>
    </w:p>
    <w:p>
      <w:pPr>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项目主要外购新希望集团生产的饲料，袋装后运输至厂区，将产生一定的废包装袋，根据估算产生量约为2t/a。</w:t>
      </w:r>
    </w:p>
    <w:p>
      <w:pPr>
        <w:spacing w:line="360" w:lineRule="auto"/>
        <w:ind w:firstLine="482" w:firstLineChars="200"/>
        <w:rPr>
          <w:rFonts w:hint="default" w:ascii="Times New Roman" w:hAnsi="Times New Roman" w:cs="Times New Roman"/>
          <w:kern w:val="0"/>
          <w:sz w:val="24"/>
          <w:szCs w:val="24"/>
        </w:rPr>
      </w:pPr>
      <w:r>
        <w:rPr>
          <w:rFonts w:hint="default" w:ascii="Times New Roman" w:hAnsi="Times New Roman" w:cs="Times New Roman"/>
          <w:b/>
          <w:sz w:val="24"/>
          <w:szCs w:val="24"/>
        </w:rPr>
        <w:t>拟采取治理措施：</w:t>
      </w:r>
      <w:r>
        <w:rPr>
          <w:rFonts w:hint="default" w:ascii="Times New Roman" w:hAnsi="Times New Roman" w:cs="Times New Roman"/>
          <w:kern w:val="0"/>
          <w:sz w:val="24"/>
          <w:szCs w:val="24"/>
        </w:rPr>
        <w:t>收集后用于本项目项目粪污处理装袋，若有剩余则由饲料提供商回收利用。</w:t>
      </w:r>
    </w:p>
    <w:p>
      <w:pPr>
        <w:pStyle w:val="2"/>
        <w:spacing w:line="360" w:lineRule="auto"/>
        <w:rPr>
          <w:rFonts w:hint="default" w:ascii="Times New Roman" w:hAnsi="Times New Roman" w:cs="Times New Roman"/>
          <w:b/>
        </w:rPr>
      </w:pPr>
      <w:r>
        <w:rPr>
          <w:rFonts w:hint="default" w:ascii="Times New Roman" w:hAnsi="Times New Roman" w:cs="Times New Roman"/>
        </w:rPr>
        <w:t xml:space="preserve">  </w:t>
      </w:r>
      <w:r>
        <w:rPr>
          <w:rFonts w:hint="default" w:ascii="Times New Roman" w:hAnsi="Times New Roman" w:cs="Times New Roman"/>
          <w:b/>
        </w:rPr>
        <w:t xml:space="preserve"> （5）医疗废物（危废，HW01）</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本项目营运期间需对场区进行卫生防疫，同时对病猪进行基本治疗。根据建设单位提供的资料，场区</w:t>
      </w:r>
      <w:r>
        <w:rPr>
          <w:rFonts w:hint="default" w:ascii="Times New Roman" w:hAnsi="Times New Roman" w:cs="Times New Roman"/>
          <w:bCs/>
          <w:sz w:val="24"/>
          <w:szCs w:val="24"/>
        </w:rPr>
        <w:t>医疗废物</w:t>
      </w:r>
      <w:r>
        <w:rPr>
          <w:rFonts w:hint="default" w:ascii="Times New Roman" w:hAnsi="Times New Roman" w:cs="Times New Roman"/>
          <w:sz w:val="24"/>
          <w:szCs w:val="24"/>
        </w:rPr>
        <w:t>产生量约为0.25t/a，包含注射针头以及废药品等，均属于医疗废物，根据《国家危险废物名录》，此类废物属于危险废物，废物类别为HW01医疗废物。</w:t>
      </w:r>
    </w:p>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sz w:val="24"/>
          <w:szCs w:val="24"/>
        </w:rPr>
        <w:t>拟采取治理措施：</w:t>
      </w:r>
      <w:r>
        <w:rPr>
          <w:rFonts w:hint="default" w:ascii="Times New Roman" w:hAnsi="Times New Roman" w:cs="Times New Roman"/>
          <w:bCs/>
          <w:color w:val="000000"/>
          <w:sz w:val="24"/>
          <w:szCs w:val="24"/>
        </w:rPr>
        <w:t>环评要求在办公区内建设1座</w:t>
      </w:r>
      <w:r>
        <w:rPr>
          <w:rFonts w:hint="default" w:ascii="Times New Roman" w:hAnsi="Times New Roman" w:cs="Times New Roman"/>
          <w:bCs/>
          <w:sz w:val="24"/>
          <w:szCs w:val="24"/>
        </w:rPr>
        <w:t>具备“三防”措施的医疗废物暂存间（规格为5m</w:t>
      </w:r>
      <w:r>
        <w:rPr>
          <w:rFonts w:hint="default" w:ascii="Times New Roman" w:hAnsi="Times New Roman" w:cs="Times New Roman"/>
          <w:bCs/>
          <w:sz w:val="24"/>
          <w:szCs w:val="24"/>
          <w:vertAlign w:val="superscript"/>
        </w:rPr>
        <w:t>2</w:t>
      </w:r>
      <w:r>
        <w:rPr>
          <w:rFonts w:hint="default" w:ascii="Times New Roman" w:hAnsi="Times New Roman" w:cs="Times New Roman"/>
          <w:bCs/>
          <w:sz w:val="24"/>
          <w:szCs w:val="24"/>
        </w:rPr>
        <w:t>），医疗废物暂存间严格按照《危险废物贮存污染控制标准》（GB18597-2001）的相关要求设置，医疗废物在场区暂存后定期交由有资质单位处置。</w:t>
      </w:r>
      <w:r>
        <w:rPr>
          <w:rFonts w:hint="default" w:ascii="Times New Roman" w:hAnsi="Times New Roman" w:cs="Times New Roman"/>
          <w:sz w:val="24"/>
          <w:szCs w:val="24"/>
        </w:rPr>
        <w:t>建设单位还应严格按照《环境保护图形标志—固体废物贮存（处置）场》（GB15562.2-1995）设置警示标识；危险废物转运时必须安全转移，防止撒漏，且由具处理资质的单位接手。危险废物的处置需严格按照《危险废物转移联单管理办法》规定办理危险废物转移手续，并严格执行《危险废物转移联单管理办法》规定，防止二次污染。</w:t>
      </w:r>
    </w:p>
    <w:p>
      <w:pPr>
        <w:spacing w:line="360" w:lineRule="auto"/>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（6）废脱硫剂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本项目沼气脱硫装置中失去活性的废脱硫剂由年产生量约为0.01t。</w:t>
      </w:r>
    </w:p>
    <w:p>
      <w:pPr>
        <w:spacing w:line="360" w:lineRule="auto"/>
        <w:ind w:firstLine="482" w:firstLineChars="200"/>
        <w:rPr>
          <w:rFonts w:hint="default" w:ascii="Times New Roman" w:hAnsi="Times New Roman" w:cs="Times New Roman"/>
          <w:b/>
          <w:bCs/>
          <w:sz w:val="24"/>
          <w:szCs w:val="24"/>
        </w:rPr>
      </w:pPr>
      <w:r>
        <w:rPr>
          <w:rFonts w:hint="default" w:ascii="Times New Roman" w:hAnsi="Times New Roman" w:cs="Times New Roman"/>
          <w:b/>
          <w:sz w:val="24"/>
          <w:szCs w:val="24"/>
        </w:rPr>
        <w:t>拟采取治理措施：</w:t>
      </w:r>
      <w:r>
        <w:rPr>
          <w:rFonts w:hint="default" w:ascii="Times New Roman" w:hAnsi="Times New Roman" w:cs="Times New Roman"/>
          <w:sz w:val="24"/>
          <w:szCs w:val="24"/>
        </w:rPr>
        <w:t>沼气脱硫装置中失去活性的废脱硫剂由生产厂家统一回收处置。</w:t>
      </w:r>
    </w:p>
    <w:p>
      <w:pPr>
        <w:spacing w:line="360" w:lineRule="auto"/>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（7）污水处理站栅渣和污泥</w:t>
      </w:r>
    </w:p>
    <w:p>
      <w:pPr>
        <w:adjustRightInd w:val="0"/>
        <w:snapToGrid w:val="0"/>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本项目污水处理站将产生栅渣和污泥，产生量为50t/a。</w:t>
      </w:r>
    </w:p>
    <w:p>
      <w:pPr>
        <w:adjustRightInd w:val="0"/>
        <w:snapToGrid w:val="0"/>
        <w:spacing w:line="360" w:lineRule="auto"/>
        <w:ind w:firstLine="480"/>
        <w:rPr>
          <w:rFonts w:hint="default" w:ascii="Times New Roman" w:hAnsi="Times New Roman" w:cs="Times New Roman"/>
          <w:sz w:val="24"/>
          <w:szCs w:val="24"/>
        </w:rPr>
      </w:pPr>
      <w:r>
        <w:rPr>
          <w:rFonts w:hint="default" w:ascii="Times New Roman" w:hAnsi="Times New Roman" w:cs="Times New Roman"/>
          <w:b/>
          <w:sz w:val="24"/>
          <w:szCs w:val="24"/>
        </w:rPr>
        <w:t>拟采取治理措施：</w:t>
      </w:r>
      <w:r>
        <w:rPr>
          <w:rFonts w:hint="default" w:ascii="Times New Roman" w:hAnsi="Times New Roman" w:cs="Times New Roman"/>
          <w:sz w:val="24"/>
          <w:szCs w:val="24"/>
        </w:rPr>
        <w:t>这部分栅渣和污泥收集后和猪粪一起</w:t>
      </w:r>
      <w:r>
        <w:rPr>
          <w:rFonts w:hint="default" w:ascii="Times New Roman" w:hAnsi="Times New Roman" w:cs="Times New Roman"/>
          <w:bCs/>
          <w:sz w:val="24"/>
          <w:szCs w:val="24"/>
        </w:rPr>
        <w:t>外售给夹江县果香四季家庭农场制作有机肥</w:t>
      </w:r>
      <w:r>
        <w:rPr>
          <w:rFonts w:hint="default" w:ascii="Times New Roman" w:hAnsi="Times New Roman" w:cs="Times New Roman"/>
          <w:sz w:val="24"/>
          <w:szCs w:val="24"/>
        </w:rPr>
        <w:t>。</w:t>
      </w:r>
    </w:p>
    <w:p>
      <w:pPr>
        <w:spacing w:line="360" w:lineRule="auto"/>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w:t>
      </w:r>
      <w:r>
        <w:rPr>
          <w:rFonts w:hint="eastAsia" w:ascii="Times New Roman" w:hAnsi="Times New Roman" w:cs="Times New Roman"/>
          <w:b/>
          <w:bCs/>
          <w:sz w:val="24"/>
          <w:szCs w:val="24"/>
          <w:lang w:val="en-US" w:eastAsia="zh-CN"/>
        </w:rPr>
        <w:t>8</w:t>
      </w:r>
      <w:r>
        <w:rPr>
          <w:rFonts w:hint="default" w:ascii="Times New Roman" w:hAnsi="Times New Roman" w:cs="Times New Roman"/>
          <w:b/>
          <w:bCs/>
          <w:sz w:val="24"/>
          <w:szCs w:val="24"/>
        </w:rPr>
        <w:t>）臭气治理系统废弃生物填料</w:t>
      </w:r>
    </w:p>
    <w:p>
      <w:pPr>
        <w:adjustRightInd w:val="0"/>
        <w:snapToGrid w:val="0"/>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本项目</w:t>
      </w:r>
      <w:r>
        <w:rPr>
          <w:rFonts w:hint="eastAsia" w:ascii="Times New Roman" w:hAnsi="Times New Roman" w:cs="Times New Roman"/>
          <w:sz w:val="24"/>
          <w:szCs w:val="24"/>
          <w:lang w:eastAsia="zh-CN"/>
        </w:rPr>
        <w:t>生物除臭系统将产生废弃生物填料，</w:t>
      </w:r>
      <w:r>
        <w:rPr>
          <w:rFonts w:hint="default" w:ascii="Times New Roman" w:hAnsi="Times New Roman" w:cs="Times New Roman"/>
          <w:sz w:val="24"/>
          <w:szCs w:val="24"/>
        </w:rPr>
        <w:t>产生量</w:t>
      </w:r>
      <w:r>
        <w:rPr>
          <w:rFonts w:hint="eastAsia" w:ascii="Times New Roman" w:hAnsi="Times New Roman" w:cs="Times New Roman"/>
          <w:sz w:val="24"/>
          <w:szCs w:val="24"/>
          <w:lang w:eastAsia="zh-CN"/>
        </w:rPr>
        <w:t>约</w:t>
      </w:r>
      <w:r>
        <w:rPr>
          <w:rFonts w:hint="default" w:ascii="Times New Roman" w:hAnsi="Times New Roman" w:cs="Times New Roman"/>
          <w:sz w:val="24"/>
          <w:szCs w:val="24"/>
        </w:rPr>
        <w:t>为</w:t>
      </w:r>
      <w:r>
        <w:rPr>
          <w:rFonts w:hint="eastAsia" w:ascii="Times New Roman" w:hAnsi="Times New Roman" w:cs="Times New Roman"/>
          <w:sz w:val="24"/>
          <w:szCs w:val="24"/>
          <w:lang w:val="en-US" w:eastAsia="zh-CN"/>
        </w:rPr>
        <w:t>0.5</w:t>
      </w:r>
      <w:r>
        <w:rPr>
          <w:rFonts w:hint="default" w:ascii="Times New Roman" w:hAnsi="Times New Roman" w:cs="Times New Roman"/>
          <w:sz w:val="24"/>
          <w:szCs w:val="24"/>
        </w:rPr>
        <w:t>t/a。</w:t>
      </w:r>
    </w:p>
    <w:p>
      <w:pPr>
        <w:adjustRightInd w:val="0"/>
        <w:snapToGrid w:val="0"/>
        <w:spacing w:line="360" w:lineRule="auto"/>
        <w:ind w:firstLine="480"/>
        <w:rPr>
          <w:rFonts w:hint="default" w:ascii="Times New Roman" w:hAnsi="Times New Roman" w:cs="Times New Roman"/>
          <w:sz w:val="24"/>
          <w:szCs w:val="24"/>
        </w:rPr>
      </w:pPr>
      <w:r>
        <w:rPr>
          <w:rFonts w:hint="default" w:ascii="Times New Roman" w:hAnsi="Times New Roman" w:cs="Times New Roman"/>
          <w:b/>
          <w:sz w:val="24"/>
          <w:szCs w:val="24"/>
        </w:rPr>
        <w:t>拟采取治理措施：</w:t>
      </w:r>
      <w:r>
        <w:rPr>
          <w:rFonts w:hint="default" w:ascii="Times New Roman" w:hAnsi="Times New Roman" w:cs="Times New Roman"/>
          <w:b w:val="0"/>
          <w:bCs/>
          <w:sz w:val="24"/>
          <w:szCs w:val="24"/>
        </w:rPr>
        <w:t>脱水后经填料生产厂家统一回收</w:t>
      </w:r>
      <w:r>
        <w:rPr>
          <w:rFonts w:hint="default" w:ascii="Times New Roman" w:hAnsi="Times New Roman" w:cs="Times New Roman"/>
          <w:sz w:val="24"/>
          <w:szCs w:val="24"/>
        </w:rPr>
        <w:t>。</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表3.3-10   一般固体废物产排情况及处置措施一览表</w:t>
      </w:r>
    </w:p>
    <w:tbl>
      <w:tblPr>
        <w:tblStyle w:val="33"/>
        <w:tblW w:w="97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595"/>
        <w:gridCol w:w="1518"/>
        <w:gridCol w:w="1561"/>
        <w:gridCol w:w="3313"/>
        <w:gridCol w:w="11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0" w:type="dxa"/>
            <w:tcBorders>
              <w:bottom w:val="single" w:color="auto" w:sz="2" w:space="0"/>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1595"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产生环节</w:t>
            </w:r>
          </w:p>
        </w:tc>
        <w:tc>
          <w:tcPr>
            <w:tcW w:w="1518"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名称</w:t>
            </w:r>
          </w:p>
        </w:tc>
        <w:tc>
          <w:tcPr>
            <w:tcW w:w="1561"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产生量（t/a）</w:t>
            </w:r>
          </w:p>
        </w:tc>
        <w:tc>
          <w:tcPr>
            <w:tcW w:w="3313"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处置措施</w:t>
            </w:r>
          </w:p>
        </w:tc>
        <w:tc>
          <w:tcPr>
            <w:tcW w:w="1156"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570" w:type="dxa"/>
            <w:tcBorders>
              <w:top w:val="single" w:color="auto" w:sz="2" w:space="0"/>
              <w:bottom w:val="single" w:color="auto" w:sz="2" w:space="0"/>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w:t>
            </w:r>
          </w:p>
        </w:tc>
        <w:tc>
          <w:tcPr>
            <w:tcW w:w="1595"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收集清除猪粪</w:t>
            </w:r>
          </w:p>
        </w:tc>
        <w:tc>
          <w:tcPr>
            <w:tcW w:w="15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猪粪固</w:t>
            </w:r>
          </w:p>
          <w:p>
            <w:pPr>
              <w:jc w:val="center"/>
              <w:rPr>
                <w:rFonts w:hint="default" w:ascii="Times New Roman" w:hAnsi="Times New Roman" w:cs="Times New Roman"/>
                <w:bCs/>
                <w:szCs w:val="21"/>
              </w:rPr>
            </w:pPr>
            <w:r>
              <w:rPr>
                <w:rFonts w:hint="default" w:ascii="Times New Roman" w:hAnsi="Times New Roman" w:cs="Times New Roman"/>
                <w:szCs w:val="21"/>
              </w:rPr>
              <w:t>形物</w:t>
            </w:r>
          </w:p>
        </w:tc>
        <w:tc>
          <w:tcPr>
            <w:tcW w:w="1561" w:type="dxa"/>
            <w:tcBorders>
              <w:bottom w:val="single" w:color="auto" w:sz="2" w:space="0"/>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5110</w:t>
            </w:r>
          </w:p>
        </w:tc>
        <w:tc>
          <w:tcPr>
            <w:tcW w:w="3313" w:type="dxa"/>
            <w:tcBorders>
              <w:bottom w:val="single" w:color="auto" w:sz="2" w:space="0"/>
            </w:tcBorders>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收集后外售给夹江县果香四季家庭农场制作有机肥</w:t>
            </w:r>
          </w:p>
        </w:tc>
        <w:tc>
          <w:tcPr>
            <w:tcW w:w="115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资源化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2</w:t>
            </w:r>
          </w:p>
        </w:tc>
        <w:tc>
          <w:tcPr>
            <w:tcW w:w="15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养殖过程</w:t>
            </w:r>
          </w:p>
        </w:tc>
        <w:tc>
          <w:tcPr>
            <w:tcW w:w="15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病死猪尸</w:t>
            </w:r>
          </w:p>
        </w:tc>
        <w:tc>
          <w:tcPr>
            <w:tcW w:w="156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140头（4380t/a）</w:t>
            </w:r>
          </w:p>
        </w:tc>
        <w:tc>
          <w:tcPr>
            <w:tcW w:w="3313" w:type="dxa"/>
            <w:tcBorders>
              <w:bottom w:val="single" w:color="auto" w:sz="2"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委托成都科农动物无害化处置有限公司对全市病死畜禽进行统一收集处理</w:t>
            </w:r>
          </w:p>
        </w:tc>
        <w:tc>
          <w:tcPr>
            <w:tcW w:w="115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无害化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3</w:t>
            </w:r>
          </w:p>
        </w:tc>
        <w:tc>
          <w:tcPr>
            <w:tcW w:w="1595" w:type="dxa"/>
            <w:vAlign w:val="center"/>
          </w:tcPr>
          <w:p>
            <w:pPr>
              <w:tabs>
                <w:tab w:val="right" w:leader="dot" w:pos="8647"/>
              </w:tabs>
              <w:jc w:val="center"/>
              <w:rPr>
                <w:rFonts w:hint="default" w:ascii="Times New Roman" w:hAnsi="Times New Roman" w:cs="Times New Roman"/>
                <w:szCs w:val="21"/>
              </w:rPr>
            </w:pPr>
            <w:r>
              <w:rPr>
                <w:rFonts w:hint="default" w:ascii="Times New Roman" w:hAnsi="Times New Roman" w:cs="Times New Roman"/>
                <w:szCs w:val="21"/>
              </w:rPr>
              <w:t>饲料</w:t>
            </w:r>
          </w:p>
        </w:tc>
        <w:tc>
          <w:tcPr>
            <w:tcW w:w="1518" w:type="dxa"/>
            <w:vAlign w:val="center"/>
          </w:tcPr>
          <w:p>
            <w:pPr>
              <w:tabs>
                <w:tab w:val="right" w:leader="dot" w:pos="8647"/>
              </w:tabs>
              <w:jc w:val="center"/>
              <w:rPr>
                <w:rFonts w:hint="default" w:ascii="Times New Roman" w:hAnsi="Times New Roman" w:cs="Times New Roman"/>
                <w:szCs w:val="21"/>
              </w:rPr>
            </w:pPr>
            <w:r>
              <w:rPr>
                <w:rFonts w:hint="default" w:ascii="Times New Roman" w:hAnsi="Times New Roman" w:cs="Times New Roman"/>
                <w:szCs w:val="21"/>
              </w:rPr>
              <w:t>废饲料袋</w:t>
            </w:r>
          </w:p>
        </w:tc>
        <w:tc>
          <w:tcPr>
            <w:tcW w:w="1561" w:type="dxa"/>
            <w:vAlign w:val="center"/>
          </w:tcPr>
          <w:p>
            <w:pPr>
              <w:tabs>
                <w:tab w:val="right" w:leader="dot" w:pos="8647"/>
              </w:tabs>
              <w:jc w:val="center"/>
              <w:rPr>
                <w:rFonts w:hint="default" w:ascii="Times New Roman" w:hAnsi="Times New Roman" w:cs="Times New Roman"/>
                <w:szCs w:val="21"/>
              </w:rPr>
            </w:pPr>
            <w:r>
              <w:rPr>
                <w:rFonts w:hint="default" w:ascii="Times New Roman" w:hAnsi="Times New Roman" w:cs="Times New Roman"/>
                <w:szCs w:val="21"/>
              </w:rPr>
              <w:t>2</w:t>
            </w:r>
          </w:p>
        </w:tc>
        <w:tc>
          <w:tcPr>
            <w:tcW w:w="3313" w:type="dxa"/>
            <w:tcBorders>
              <w:top w:val="single" w:color="auto" w:sz="2" w:space="0"/>
            </w:tcBorders>
            <w:vAlign w:val="center"/>
          </w:tcPr>
          <w:p>
            <w:pPr>
              <w:jc w:val="center"/>
              <w:rPr>
                <w:rFonts w:hint="default" w:ascii="Times New Roman" w:hAnsi="Times New Roman" w:cs="Times New Roman"/>
                <w:szCs w:val="21"/>
              </w:rPr>
            </w:pPr>
            <w:r>
              <w:rPr>
                <w:rFonts w:hint="default" w:ascii="Times New Roman" w:hAnsi="Times New Roman" w:cs="Times New Roman"/>
                <w:bCs/>
                <w:kern w:val="0"/>
                <w:szCs w:val="21"/>
              </w:rPr>
              <w:t>用于本项目猪粪装袋，若有剩余则由新希望集团回收利用。</w:t>
            </w:r>
          </w:p>
        </w:tc>
        <w:tc>
          <w:tcPr>
            <w:tcW w:w="115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资源化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4</w:t>
            </w:r>
          </w:p>
        </w:tc>
        <w:tc>
          <w:tcPr>
            <w:tcW w:w="15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员工办公生活</w:t>
            </w:r>
          </w:p>
        </w:tc>
        <w:tc>
          <w:tcPr>
            <w:tcW w:w="15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生活垃圾</w:t>
            </w:r>
          </w:p>
        </w:tc>
        <w:tc>
          <w:tcPr>
            <w:tcW w:w="156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5.475</w:t>
            </w:r>
          </w:p>
        </w:tc>
        <w:tc>
          <w:tcPr>
            <w:tcW w:w="3313" w:type="dxa"/>
            <w:vAlign w:val="center"/>
          </w:tcPr>
          <w:p>
            <w:pPr>
              <w:jc w:val="center"/>
              <w:rPr>
                <w:rFonts w:hint="default" w:ascii="Times New Roman" w:hAnsi="Times New Roman" w:cs="Times New Roman"/>
                <w:szCs w:val="21"/>
              </w:rPr>
            </w:pPr>
            <w:r>
              <w:rPr>
                <w:rFonts w:hint="default" w:ascii="Times New Roman" w:hAnsi="Times New Roman" w:cs="Times New Roman"/>
                <w:kern w:val="0"/>
                <w:szCs w:val="21"/>
              </w:rPr>
              <w:t>收集后，送至场镇指定地点由环卫部门清运</w:t>
            </w:r>
          </w:p>
        </w:tc>
        <w:tc>
          <w:tcPr>
            <w:tcW w:w="115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无害化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5</w:t>
            </w:r>
          </w:p>
        </w:tc>
        <w:tc>
          <w:tcPr>
            <w:tcW w:w="15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沼气燃烧</w:t>
            </w:r>
          </w:p>
        </w:tc>
        <w:tc>
          <w:tcPr>
            <w:tcW w:w="15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废脱硫剂</w:t>
            </w:r>
          </w:p>
        </w:tc>
        <w:tc>
          <w:tcPr>
            <w:tcW w:w="156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0.01</w:t>
            </w:r>
          </w:p>
        </w:tc>
        <w:tc>
          <w:tcPr>
            <w:tcW w:w="3313"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由生产厂家统一回收处置</w:t>
            </w:r>
          </w:p>
        </w:tc>
        <w:tc>
          <w:tcPr>
            <w:tcW w:w="115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资源化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0" w:type="dxa"/>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6</w:t>
            </w:r>
          </w:p>
        </w:tc>
        <w:tc>
          <w:tcPr>
            <w:tcW w:w="15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污水处理站</w:t>
            </w:r>
          </w:p>
        </w:tc>
        <w:tc>
          <w:tcPr>
            <w:tcW w:w="151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栅渣和污泥</w:t>
            </w:r>
          </w:p>
        </w:tc>
        <w:tc>
          <w:tcPr>
            <w:tcW w:w="156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50</w:t>
            </w:r>
          </w:p>
        </w:tc>
        <w:tc>
          <w:tcPr>
            <w:tcW w:w="3313" w:type="dxa"/>
            <w:vAlign w:val="center"/>
          </w:tcPr>
          <w:p>
            <w:pPr>
              <w:jc w:val="center"/>
              <w:rPr>
                <w:rFonts w:hint="default" w:ascii="Times New Roman" w:hAnsi="Times New Roman" w:cs="Times New Roman"/>
                <w:kern w:val="0"/>
                <w:szCs w:val="21"/>
              </w:rPr>
            </w:pPr>
            <w:r>
              <w:rPr>
                <w:rFonts w:hint="default" w:ascii="Times New Roman" w:hAnsi="Times New Roman" w:cs="Times New Roman"/>
                <w:bCs/>
                <w:szCs w:val="21"/>
              </w:rPr>
              <w:t>收集后外售给夹江县果香四季家庭农场制作有机肥</w:t>
            </w:r>
          </w:p>
        </w:tc>
        <w:tc>
          <w:tcPr>
            <w:tcW w:w="115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资源化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0" w:type="dxa"/>
            <w:vAlign w:val="center"/>
          </w:tcPr>
          <w:p>
            <w:pPr>
              <w:jc w:val="center"/>
              <w:rPr>
                <w:rFonts w:hint="eastAsia"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7</w:t>
            </w:r>
          </w:p>
        </w:tc>
        <w:tc>
          <w:tcPr>
            <w:tcW w:w="1595" w:type="dxa"/>
            <w:vAlign w:val="center"/>
          </w:tcPr>
          <w:p>
            <w:pPr>
              <w:spacing w:line="340" w:lineRule="exact"/>
              <w:jc w:val="center"/>
              <w:rPr>
                <w:rFonts w:hint="default" w:ascii="Times New Roman" w:hAnsi="Times New Roman" w:cs="Times New Roman"/>
                <w:szCs w:val="21"/>
              </w:rPr>
            </w:pPr>
            <w:r>
              <w:rPr>
                <w:rFonts w:hint="eastAsia"/>
                <w:color w:val="auto"/>
                <w:sz w:val="21"/>
                <w:szCs w:val="21"/>
                <w:lang w:eastAsia="zh-CN"/>
              </w:rPr>
              <w:t>生物除臭系统</w:t>
            </w:r>
          </w:p>
        </w:tc>
        <w:tc>
          <w:tcPr>
            <w:tcW w:w="1518" w:type="dxa"/>
            <w:vAlign w:val="center"/>
          </w:tcPr>
          <w:p>
            <w:pPr>
              <w:spacing w:line="340" w:lineRule="exact"/>
              <w:jc w:val="center"/>
              <w:rPr>
                <w:rFonts w:hint="default" w:ascii="Times New Roman" w:hAnsi="Times New Roman" w:cs="Times New Roman"/>
                <w:szCs w:val="21"/>
              </w:rPr>
            </w:pPr>
            <w:r>
              <w:rPr>
                <w:rFonts w:ascii="Times New Roman" w:hAnsi="Times New Roman"/>
                <w:sz w:val="21"/>
                <w:szCs w:val="21"/>
              </w:rPr>
              <w:t>臭气治理系统废弃生物填料</w:t>
            </w:r>
          </w:p>
        </w:tc>
        <w:tc>
          <w:tcPr>
            <w:tcW w:w="1561"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0.5</w:t>
            </w:r>
          </w:p>
        </w:tc>
        <w:tc>
          <w:tcPr>
            <w:tcW w:w="3313" w:type="dxa"/>
            <w:vAlign w:val="center"/>
          </w:tcPr>
          <w:p>
            <w:pPr>
              <w:jc w:val="center"/>
              <w:rPr>
                <w:rFonts w:hint="default" w:ascii="Times New Roman" w:hAnsi="Times New Roman" w:cs="Times New Roman"/>
                <w:bCs/>
                <w:szCs w:val="21"/>
              </w:rPr>
            </w:pPr>
            <w:r>
              <w:rPr>
                <w:rFonts w:ascii="Times New Roman" w:hAnsi="Times New Roman"/>
                <w:kern w:val="0"/>
                <w:sz w:val="21"/>
                <w:szCs w:val="21"/>
              </w:rPr>
              <w:t>脱水后经填料生产厂家统一回收</w:t>
            </w:r>
          </w:p>
        </w:tc>
        <w:tc>
          <w:tcPr>
            <w:tcW w:w="115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无害化</w:t>
            </w:r>
          </w:p>
        </w:tc>
      </w:tr>
    </w:tbl>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表3.3-11    危险废物的产生及治理措施</w:t>
      </w:r>
    </w:p>
    <w:tbl>
      <w:tblPr>
        <w:tblStyle w:val="33"/>
        <w:tblW w:w="982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63"/>
        <w:gridCol w:w="824"/>
        <w:gridCol w:w="843"/>
        <w:gridCol w:w="1299"/>
        <w:gridCol w:w="770"/>
        <w:gridCol w:w="900"/>
        <w:gridCol w:w="458"/>
        <w:gridCol w:w="670"/>
        <w:gridCol w:w="809"/>
        <w:gridCol w:w="719"/>
        <w:gridCol w:w="738"/>
        <w:gridCol w:w="13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68" w:hRule="atLeast"/>
          <w:jc w:val="center"/>
        </w:trPr>
        <w:tc>
          <w:tcPr>
            <w:tcW w:w="463"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序号</w:t>
            </w:r>
          </w:p>
        </w:tc>
        <w:tc>
          <w:tcPr>
            <w:tcW w:w="824"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危险废物名称</w:t>
            </w:r>
          </w:p>
        </w:tc>
        <w:tc>
          <w:tcPr>
            <w:tcW w:w="843"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危险废物类别</w:t>
            </w:r>
          </w:p>
        </w:tc>
        <w:tc>
          <w:tcPr>
            <w:tcW w:w="1299"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危险废物代码</w:t>
            </w:r>
          </w:p>
        </w:tc>
        <w:tc>
          <w:tcPr>
            <w:tcW w:w="770"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产生量</w:t>
            </w:r>
          </w:p>
        </w:tc>
        <w:tc>
          <w:tcPr>
            <w:tcW w:w="900"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产生工序及装置</w:t>
            </w:r>
          </w:p>
        </w:tc>
        <w:tc>
          <w:tcPr>
            <w:tcW w:w="458"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形态</w:t>
            </w:r>
          </w:p>
        </w:tc>
        <w:tc>
          <w:tcPr>
            <w:tcW w:w="670"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主要成分</w:t>
            </w:r>
          </w:p>
        </w:tc>
        <w:tc>
          <w:tcPr>
            <w:tcW w:w="809"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有害成分</w:t>
            </w:r>
          </w:p>
        </w:tc>
        <w:tc>
          <w:tcPr>
            <w:tcW w:w="719"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产废周期</w:t>
            </w:r>
          </w:p>
        </w:tc>
        <w:tc>
          <w:tcPr>
            <w:tcW w:w="738"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w:t>
            </w:r>
          </w:p>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特性</w:t>
            </w:r>
          </w:p>
        </w:tc>
        <w:tc>
          <w:tcPr>
            <w:tcW w:w="1336"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污染防治措施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76" w:hRule="atLeast"/>
          <w:jc w:val="center"/>
        </w:trPr>
        <w:tc>
          <w:tcPr>
            <w:tcW w:w="463" w:type="dxa"/>
            <w:vMerge w:val="restart"/>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824" w:type="dxa"/>
            <w:vMerge w:val="restart"/>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szCs w:val="21"/>
              </w:rPr>
              <w:t>医疗废物</w:t>
            </w:r>
          </w:p>
        </w:tc>
        <w:tc>
          <w:tcPr>
            <w:tcW w:w="843" w:type="dxa"/>
            <w:vMerge w:val="restart"/>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HW01医疗废物 </w:t>
            </w:r>
          </w:p>
        </w:tc>
        <w:tc>
          <w:tcPr>
            <w:tcW w:w="1299"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831-002-01</w:t>
            </w:r>
          </w:p>
        </w:tc>
        <w:tc>
          <w:tcPr>
            <w:tcW w:w="770"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0.25t/a</w:t>
            </w:r>
          </w:p>
        </w:tc>
        <w:tc>
          <w:tcPr>
            <w:tcW w:w="900" w:type="dxa"/>
            <w:vMerge w:val="restart"/>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防疫</w:t>
            </w:r>
          </w:p>
        </w:tc>
        <w:tc>
          <w:tcPr>
            <w:tcW w:w="458" w:type="dxa"/>
            <w:vMerge w:val="restart"/>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固态</w:t>
            </w:r>
          </w:p>
        </w:tc>
        <w:tc>
          <w:tcPr>
            <w:tcW w:w="670"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医疗锐器</w:t>
            </w:r>
          </w:p>
        </w:tc>
        <w:tc>
          <w:tcPr>
            <w:tcW w:w="809" w:type="dxa"/>
            <w:vAlign w:val="center"/>
          </w:tcPr>
          <w:p>
            <w:pPr>
              <w:topLinePunct/>
              <w:adjustRightInd w:val="0"/>
              <w:snapToGrid w:val="0"/>
              <w:rPr>
                <w:rFonts w:hint="default" w:ascii="Times New Roman" w:hAnsi="Times New Roman" w:cs="Times New Roman"/>
                <w:kern w:val="0"/>
                <w:szCs w:val="21"/>
              </w:rPr>
            </w:pPr>
            <w:r>
              <w:rPr>
                <w:rFonts w:hint="default" w:ascii="Times New Roman" w:hAnsi="Times New Roman" w:cs="Times New Roman"/>
                <w:kern w:val="0"/>
                <w:szCs w:val="21"/>
              </w:rPr>
              <w:t>细菌、病毒</w:t>
            </w:r>
          </w:p>
        </w:tc>
        <w:tc>
          <w:tcPr>
            <w:tcW w:w="719"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间歇</w:t>
            </w:r>
          </w:p>
        </w:tc>
        <w:tc>
          <w:tcPr>
            <w:tcW w:w="738"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In</w:t>
            </w:r>
          </w:p>
        </w:tc>
        <w:tc>
          <w:tcPr>
            <w:tcW w:w="1336" w:type="dxa"/>
            <w:vMerge w:val="restart"/>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医疗废物暂存间暂存，交由资质单位处理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28" w:hRule="atLeast"/>
          <w:jc w:val="center"/>
        </w:trPr>
        <w:tc>
          <w:tcPr>
            <w:tcW w:w="463" w:type="dxa"/>
            <w:vMerge w:val="continue"/>
            <w:vAlign w:val="center"/>
          </w:tcPr>
          <w:p>
            <w:pPr>
              <w:topLinePunct/>
              <w:adjustRightInd w:val="0"/>
              <w:snapToGrid w:val="0"/>
              <w:jc w:val="center"/>
              <w:rPr>
                <w:rFonts w:hint="default" w:ascii="Times New Roman" w:hAnsi="Times New Roman" w:cs="Times New Roman"/>
                <w:kern w:val="0"/>
                <w:szCs w:val="21"/>
              </w:rPr>
            </w:pPr>
          </w:p>
        </w:tc>
        <w:tc>
          <w:tcPr>
            <w:tcW w:w="824" w:type="dxa"/>
            <w:vMerge w:val="continue"/>
            <w:vAlign w:val="center"/>
          </w:tcPr>
          <w:p>
            <w:pPr>
              <w:topLinePunct/>
              <w:adjustRightInd w:val="0"/>
              <w:snapToGrid w:val="0"/>
              <w:jc w:val="center"/>
              <w:rPr>
                <w:rFonts w:hint="default" w:ascii="Times New Roman" w:hAnsi="Times New Roman" w:cs="Times New Roman"/>
                <w:szCs w:val="21"/>
              </w:rPr>
            </w:pPr>
          </w:p>
        </w:tc>
        <w:tc>
          <w:tcPr>
            <w:tcW w:w="843" w:type="dxa"/>
            <w:vMerge w:val="continue"/>
            <w:vAlign w:val="center"/>
          </w:tcPr>
          <w:p>
            <w:pPr>
              <w:topLinePunct/>
              <w:adjustRightInd w:val="0"/>
              <w:snapToGrid w:val="0"/>
              <w:jc w:val="center"/>
              <w:rPr>
                <w:rFonts w:hint="default" w:ascii="Times New Roman" w:hAnsi="Times New Roman" w:cs="Times New Roman"/>
                <w:kern w:val="0"/>
                <w:szCs w:val="21"/>
              </w:rPr>
            </w:pPr>
          </w:p>
        </w:tc>
        <w:tc>
          <w:tcPr>
            <w:tcW w:w="1299"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831-004-01</w:t>
            </w:r>
          </w:p>
        </w:tc>
        <w:tc>
          <w:tcPr>
            <w:tcW w:w="770" w:type="dxa"/>
            <w:vMerge w:val="continue"/>
            <w:vAlign w:val="center"/>
          </w:tcPr>
          <w:p>
            <w:pPr>
              <w:jc w:val="center"/>
              <w:rPr>
                <w:rFonts w:hint="default" w:ascii="Times New Roman" w:hAnsi="Times New Roman" w:cs="Times New Roman"/>
                <w:szCs w:val="21"/>
              </w:rPr>
            </w:pPr>
          </w:p>
        </w:tc>
        <w:tc>
          <w:tcPr>
            <w:tcW w:w="900" w:type="dxa"/>
            <w:vMerge w:val="continue"/>
            <w:vAlign w:val="center"/>
          </w:tcPr>
          <w:p>
            <w:pPr>
              <w:topLinePunct/>
              <w:adjustRightInd w:val="0"/>
              <w:snapToGrid w:val="0"/>
              <w:jc w:val="center"/>
              <w:rPr>
                <w:rFonts w:hint="default" w:ascii="Times New Roman" w:hAnsi="Times New Roman" w:cs="Times New Roman"/>
                <w:kern w:val="0"/>
                <w:szCs w:val="21"/>
              </w:rPr>
            </w:pPr>
          </w:p>
        </w:tc>
        <w:tc>
          <w:tcPr>
            <w:tcW w:w="458" w:type="dxa"/>
            <w:vMerge w:val="continue"/>
            <w:vAlign w:val="center"/>
          </w:tcPr>
          <w:p>
            <w:pPr>
              <w:topLinePunct/>
              <w:adjustRightInd w:val="0"/>
              <w:snapToGrid w:val="0"/>
              <w:jc w:val="center"/>
              <w:rPr>
                <w:rFonts w:hint="default" w:ascii="Times New Roman" w:hAnsi="Times New Roman" w:cs="Times New Roman"/>
                <w:kern w:val="0"/>
                <w:szCs w:val="21"/>
              </w:rPr>
            </w:pPr>
          </w:p>
        </w:tc>
        <w:tc>
          <w:tcPr>
            <w:tcW w:w="670"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药品</w:t>
            </w:r>
          </w:p>
        </w:tc>
        <w:tc>
          <w:tcPr>
            <w:tcW w:w="809"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719"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1个月</w:t>
            </w:r>
          </w:p>
        </w:tc>
        <w:tc>
          <w:tcPr>
            <w:tcW w:w="738"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T</w:t>
            </w:r>
          </w:p>
        </w:tc>
        <w:tc>
          <w:tcPr>
            <w:tcW w:w="1336" w:type="dxa"/>
            <w:vMerge w:val="continue"/>
            <w:vAlign w:val="center"/>
          </w:tcPr>
          <w:p>
            <w:pPr>
              <w:topLinePunct/>
              <w:adjustRightInd w:val="0"/>
              <w:snapToGrid w:val="0"/>
              <w:jc w:val="center"/>
              <w:rPr>
                <w:rFonts w:hint="default" w:ascii="Times New Roman" w:hAnsi="Times New Roman" w:cs="Times New Roman"/>
                <w:kern w:val="0"/>
                <w:szCs w:val="21"/>
              </w:rPr>
            </w:pPr>
          </w:p>
        </w:tc>
      </w:tr>
    </w:tbl>
    <w:p>
      <w:pPr>
        <w:keepNext/>
        <w:keepLines/>
        <w:spacing w:line="360" w:lineRule="auto"/>
        <w:ind w:firstLine="480" w:firstLineChars="200"/>
        <w:rPr>
          <w:rFonts w:hint="default" w:ascii="Times New Roman" w:hAnsi="Times New Roman" w:cs="Times New Roman"/>
          <w:sz w:val="24"/>
          <w:szCs w:val="24"/>
        </w:rPr>
      </w:pPr>
      <w:bookmarkStart w:id="193" w:name="_Toc5023522"/>
      <w:bookmarkStart w:id="194" w:name="_Toc32251"/>
      <w:r>
        <w:rPr>
          <w:rFonts w:hint="default" w:ascii="Times New Roman" w:hAnsi="Times New Roman" w:cs="Times New Roman"/>
          <w:sz w:val="24"/>
          <w:szCs w:val="24"/>
          <w:lang w:val="zh-CN"/>
        </w:rPr>
        <w:t>营运期项目污染物排放见表</w:t>
      </w:r>
      <w:r>
        <w:rPr>
          <w:rFonts w:hint="default" w:ascii="Times New Roman" w:hAnsi="Times New Roman" w:cs="Times New Roman"/>
          <w:sz w:val="24"/>
          <w:szCs w:val="24"/>
        </w:rPr>
        <w:t>3.3-12</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en-US" w:eastAsia="zh-CN"/>
        </w:rPr>
        <w:t>3.3.4.6</w:t>
      </w:r>
      <w:r>
        <w:rPr>
          <w:rFonts w:hint="default" w:ascii="Times New Roman" w:hAnsi="Times New Roman" w:cs="Times New Roman"/>
          <w:b/>
          <w:bCs/>
          <w:sz w:val="24"/>
          <w:szCs w:val="24"/>
          <w:lang w:val="zh-CN"/>
        </w:rPr>
        <w:t>、土壤</w:t>
      </w:r>
    </w:p>
    <w:p>
      <w:pPr>
        <w:pStyle w:val="2"/>
        <w:spacing w:line="360" w:lineRule="auto"/>
        <w:rPr>
          <w:rFonts w:hint="default" w:ascii="Times New Roman" w:hAnsi="Times New Roman" w:cs="Times New Roman"/>
        </w:rPr>
      </w:pPr>
      <w:r>
        <w:rPr>
          <w:rFonts w:hint="default" w:ascii="Times New Roman" w:hAnsi="Times New Roman" w:cs="Times New Roman"/>
        </w:rPr>
        <w:t xml:space="preserve">   由前面1.5.</w:t>
      </w:r>
      <w:r>
        <w:rPr>
          <w:rFonts w:hint="default" w:ascii="Times New Roman" w:hAnsi="Times New Roman" w:cs="Times New Roman"/>
          <w:lang w:val="en-US" w:eastAsia="zh-CN"/>
        </w:rPr>
        <w:t>7</w:t>
      </w:r>
      <w:r>
        <w:rPr>
          <w:rFonts w:hint="default" w:ascii="Times New Roman" w:hAnsi="Times New Roman" w:cs="Times New Roman"/>
        </w:rPr>
        <w:t>土壤环境评价等级可知，本项目土壤评价等级为三级。根据《环境影响评价技术导则-土壤环境》（HJ964-2018）8.7.4，本项目采用定性描述。</w:t>
      </w:r>
    </w:p>
    <w:p>
      <w:pPr>
        <w:pStyle w:val="2"/>
        <w:spacing w:line="360" w:lineRule="auto"/>
        <w:ind w:firstLine="465"/>
        <w:rPr>
          <w:rFonts w:hint="default" w:ascii="Times New Roman" w:hAnsi="Times New Roman" w:cs="Times New Roman"/>
        </w:rPr>
      </w:pPr>
      <w:r>
        <w:rPr>
          <w:rFonts w:hint="default" w:ascii="Times New Roman" w:hAnsi="Times New Roman" w:cs="Times New Roman"/>
        </w:rPr>
        <w:t>养殖场对土壤的影响主要分为两部分，一是养殖场内部高浓度养殖废水、粪便等收集、处理不当发生渗漏泄露进入土壤对土壤造成影响；二是处理后的废水耕地灌溉不当造成土壤造成影响。根据《施用猪场粪污沼液对土壤理化性质的影响》（吉林省农业科学院农村能源与生态研究所）的科研文献可知，随着沼液施用量增加土壤pH将增加，说明使用猪场粪污沼液的土壤碱性有增强的趋势。本项目废水经一套“</w:t>
      </w:r>
      <w:r>
        <w:rPr>
          <w:rFonts w:hint="default" w:ascii="Times New Roman" w:hAnsi="Times New Roman" w:cs="Times New Roman"/>
          <w:sz w:val="24"/>
          <w:szCs w:val="24"/>
        </w:rPr>
        <w:t>粪污收集池+集水池+固液分离+调节酸化池+沼气池+好氧池+沉淀池+消毒+沼液暂存池</w:t>
      </w:r>
      <w:r>
        <w:rPr>
          <w:rFonts w:hint="default" w:ascii="Times New Roman" w:hAnsi="Times New Roman" w:cs="Times New Roman"/>
        </w:rPr>
        <w:t>”处理后，项目废水中污染物浓度较低COD：</w:t>
      </w:r>
      <w:r>
        <w:rPr>
          <w:rFonts w:hint="default" w:ascii="Times New Roman" w:hAnsi="Times New Roman" w:cs="Times New Roman"/>
          <w:lang w:val="en-US" w:eastAsia="zh-CN"/>
        </w:rPr>
        <w:t>100.41</w:t>
      </w:r>
      <w:r>
        <w:rPr>
          <w:rFonts w:hint="default" w:ascii="Times New Roman" w:hAnsi="Times New Roman" w:cs="Times New Roman"/>
        </w:rPr>
        <w:t>mg/L，BOD</w:t>
      </w:r>
      <w:r>
        <w:rPr>
          <w:rFonts w:hint="default" w:ascii="Times New Roman" w:hAnsi="Times New Roman" w:cs="Times New Roman"/>
          <w:vertAlign w:val="subscript"/>
        </w:rPr>
        <w:t>5</w:t>
      </w:r>
      <w:r>
        <w:rPr>
          <w:rFonts w:hint="default" w:ascii="Times New Roman" w:hAnsi="Times New Roman" w:cs="Times New Roman"/>
        </w:rPr>
        <w:t>：</w:t>
      </w:r>
      <w:r>
        <w:rPr>
          <w:rFonts w:hint="default" w:ascii="Times New Roman" w:hAnsi="Times New Roman" w:cs="Times New Roman"/>
          <w:lang w:val="en-US" w:eastAsia="zh-CN"/>
        </w:rPr>
        <w:t>51.34</w:t>
      </w:r>
      <w:r>
        <w:rPr>
          <w:rFonts w:hint="default" w:ascii="Times New Roman" w:hAnsi="Times New Roman" w:cs="Times New Roman"/>
        </w:rPr>
        <w:t>mg/L，SS：</w:t>
      </w:r>
      <w:r>
        <w:rPr>
          <w:rFonts w:hint="default" w:ascii="Times New Roman" w:hAnsi="Times New Roman" w:cs="Times New Roman"/>
          <w:lang w:val="en-US" w:eastAsia="zh-CN"/>
        </w:rPr>
        <w:t>55.13</w:t>
      </w:r>
      <w:r>
        <w:rPr>
          <w:rFonts w:hint="default" w:ascii="Times New Roman" w:hAnsi="Times New Roman" w:cs="Times New Roman"/>
        </w:rPr>
        <w:t>mg/L，NH</w:t>
      </w:r>
      <w:r>
        <w:rPr>
          <w:rFonts w:hint="default" w:ascii="Times New Roman" w:hAnsi="Times New Roman" w:cs="Times New Roman"/>
          <w:vertAlign w:val="subscript"/>
        </w:rPr>
        <w:t>3</w:t>
      </w:r>
      <w:r>
        <w:rPr>
          <w:rFonts w:hint="default" w:ascii="Times New Roman" w:hAnsi="Times New Roman" w:cs="Times New Roman"/>
        </w:rPr>
        <w:t>-N：</w:t>
      </w:r>
      <w:r>
        <w:rPr>
          <w:rFonts w:hint="default" w:ascii="Times New Roman" w:hAnsi="Times New Roman" w:cs="Times New Roman"/>
          <w:lang w:val="en-US" w:eastAsia="zh-CN"/>
        </w:rPr>
        <w:t>51.04</w:t>
      </w:r>
      <w:r>
        <w:rPr>
          <w:rFonts w:hint="default" w:ascii="Times New Roman" w:hAnsi="Times New Roman" w:cs="Times New Roman"/>
        </w:rPr>
        <w:t>mg/L，</w:t>
      </w:r>
      <w:r>
        <w:rPr>
          <w:rFonts w:hint="default" w:ascii="Times New Roman" w:hAnsi="Times New Roman" w:cs="Times New Roman"/>
          <w:lang w:val="en-US" w:eastAsia="zh-CN"/>
        </w:rPr>
        <w:t>TP8.53</w:t>
      </w:r>
      <w:r>
        <w:rPr>
          <w:rFonts w:hint="default" w:ascii="Times New Roman" w:hAnsi="Times New Roman" w:cs="Times New Roman"/>
        </w:rPr>
        <w:t>mg/L，能够满足《农田灌溉水质标准》（GB5084-2005）旱作标准，用于耕地正常灌溉不会造成土壤酸碱化。厂区内如若养殖场内高浓度废水大量渗漏至土壤可能造成土壤碱化；如若养殖场粪污长期大量施用于同一块土地可能造成土壤碱化。</w:t>
      </w:r>
    </w:p>
    <w:p>
      <w:pPr>
        <w:pStyle w:val="2"/>
        <w:spacing w:line="360" w:lineRule="auto"/>
        <w:ind w:firstLine="465"/>
        <w:rPr>
          <w:rFonts w:hint="default" w:ascii="Times New Roman" w:hAnsi="Times New Roman" w:cs="Times New Roman"/>
          <w:color w:val="auto"/>
          <w:lang w:val="zh-CN"/>
        </w:rPr>
      </w:pPr>
      <w:r>
        <w:rPr>
          <w:rFonts w:hint="default" w:ascii="Times New Roman" w:hAnsi="Times New Roman" w:cs="Times New Roman"/>
        </w:rPr>
        <w:t>因此评价要求，厂区内地面进行硬化，做好粪污收集池、管网、污水处理站、</w:t>
      </w:r>
      <w:r>
        <w:rPr>
          <w:rFonts w:hint="default" w:ascii="Times New Roman" w:hAnsi="Times New Roman" w:cs="Times New Roman"/>
          <w:lang w:eastAsia="zh-CN"/>
        </w:rPr>
        <w:t>沼液</w:t>
      </w:r>
      <w:r>
        <w:rPr>
          <w:rFonts w:hint="default" w:ascii="Times New Roman" w:hAnsi="Times New Roman" w:cs="Times New Roman"/>
        </w:rPr>
        <w:t>暂存池等的防渗工作，并定期进行维护保养，专人负责管理，设置应急池，防止养殖场内粪污渗漏至土壤内，对土壤造成影响。粪污土地消纳时，应参照《农田面源污染防治技术指南》（环办[2014]111号），要求进行科学施肥，采用分次施肥，忌一次大量施肥。禁忌同一块土地长期大量施肥。</w:t>
      </w:r>
      <w:r>
        <w:rPr>
          <w:rFonts w:hint="default" w:ascii="Times New Roman" w:hAnsi="Times New Roman" w:cs="Times New Roman"/>
          <w:lang w:val="zh-CN"/>
        </w:rPr>
        <w:t>根据</w:t>
      </w:r>
      <w:r>
        <w:rPr>
          <w:rFonts w:hint="default" w:ascii="Times New Roman" w:hAnsi="Times New Roman" w:cs="Times New Roman"/>
          <w:color w:val="auto"/>
          <w:lang w:val="zh-CN"/>
        </w:rPr>
        <w:t>《</w:t>
      </w:r>
      <w:r>
        <w:rPr>
          <w:rFonts w:hint="default" w:ascii="Times New Roman" w:hAnsi="Times New Roman" w:cs="Times New Roman"/>
          <w:color w:val="auto"/>
        </w:rPr>
        <w:t>关于开展规模化畜禽养殖粪污综合利用试点示范工作的通知》</w:t>
      </w:r>
      <w:r>
        <w:rPr>
          <w:rFonts w:hint="default" w:ascii="Times New Roman" w:hAnsi="Times New Roman" w:cs="Times New Roman"/>
          <w:color w:val="auto"/>
          <w:lang w:val="zh-CN"/>
        </w:rPr>
        <w:t>川环发﹝201</w:t>
      </w:r>
      <w:r>
        <w:rPr>
          <w:rFonts w:hint="default" w:ascii="Times New Roman" w:hAnsi="Times New Roman" w:cs="Times New Roman"/>
          <w:color w:val="auto"/>
        </w:rPr>
        <w:t>2</w:t>
      </w:r>
      <w:r>
        <w:rPr>
          <w:rFonts w:hint="default" w:ascii="Times New Roman" w:hAnsi="Times New Roman" w:cs="Times New Roman"/>
          <w:color w:val="auto"/>
          <w:lang w:val="zh-CN"/>
        </w:rPr>
        <w:t>﹞</w:t>
      </w:r>
      <w:r>
        <w:rPr>
          <w:rFonts w:hint="default" w:ascii="Times New Roman" w:hAnsi="Times New Roman" w:cs="Times New Roman"/>
          <w:color w:val="auto"/>
        </w:rPr>
        <w:t>16</w:t>
      </w:r>
      <w:r>
        <w:rPr>
          <w:rFonts w:hint="default" w:ascii="Times New Roman" w:hAnsi="Times New Roman" w:cs="Times New Roman"/>
          <w:color w:val="auto"/>
          <w:lang w:val="zh-CN"/>
        </w:rPr>
        <w:t>号，项目粪便消纳土地需</w:t>
      </w:r>
      <w:r>
        <w:rPr>
          <w:rFonts w:hint="default" w:ascii="Times New Roman" w:hAnsi="Times New Roman" w:cs="Times New Roman"/>
          <w:color w:val="auto"/>
          <w:lang w:val="en-US" w:eastAsia="zh-CN"/>
        </w:rPr>
        <w:t>1535</w:t>
      </w:r>
      <w:r>
        <w:rPr>
          <w:rFonts w:hint="default" w:ascii="Times New Roman" w:hAnsi="Times New Roman" w:cs="Times New Roman"/>
          <w:color w:val="auto"/>
          <w:lang w:val="zh-CN"/>
        </w:rPr>
        <w:t>亩。</w:t>
      </w:r>
    </w:p>
    <w:p>
      <w:pPr>
        <w:pStyle w:val="2"/>
        <w:spacing w:line="360" w:lineRule="auto"/>
        <w:rPr>
          <w:rFonts w:hint="default" w:ascii="Times New Roman" w:hAnsi="Times New Roman" w:cs="Times New Roman"/>
        </w:rPr>
      </w:pPr>
      <w:r>
        <w:rPr>
          <w:rFonts w:hint="default" w:ascii="Times New Roman" w:hAnsi="Times New Roman" w:cs="Times New Roman"/>
          <w:b/>
        </w:rPr>
        <w:t xml:space="preserve">    </w:t>
      </w:r>
      <w:r>
        <w:rPr>
          <w:rFonts w:hint="default" w:ascii="Times New Roman" w:hAnsi="Times New Roman" w:cs="Times New Roman"/>
        </w:rPr>
        <w:t>采取上述方式可有效防止本项目运营对土壤的影响，本项目的运营不会造成土壤酸碱化或盐化。</w:t>
      </w:r>
    </w:p>
    <w:p>
      <w:pPr>
        <w:pStyle w:val="68"/>
        <w:keepNext w:val="0"/>
        <w:keepLines/>
        <w:pageBreakBefore w:val="0"/>
        <w:widowControl w:val="0"/>
        <w:kinsoku/>
        <w:wordWrap/>
        <w:overflowPunct w:val="0"/>
        <w:topLinePunct w:val="0"/>
        <w:autoSpaceDE/>
        <w:autoSpaceDN/>
        <w:bidi w:val="0"/>
        <w:adjustRightInd/>
        <w:snapToGrid/>
        <w:spacing w:line="360" w:lineRule="auto"/>
        <w:textAlignment w:val="auto"/>
        <w:outlineLvl w:val="1"/>
        <w:rPr>
          <w:rFonts w:hint="default" w:ascii="Times New Roman" w:hAnsi="Times New Roman" w:eastAsia="宋体" w:cs="Times New Roman"/>
          <w:color w:val="000000"/>
          <w:sz w:val="28"/>
          <w:szCs w:val="28"/>
          <w:lang w:val="zh-CN"/>
        </w:rPr>
      </w:pPr>
      <w:bookmarkStart w:id="195" w:name="_Toc3556"/>
      <w:r>
        <w:rPr>
          <w:rFonts w:hint="default" w:ascii="Times New Roman" w:hAnsi="Times New Roman" w:eastAsia="宋体" w:cs="Times New Roman"/>
          <w:color w:val="000000"/>
          <w:sz w:val="28"/>
          <w:szCs w:val="28"/>
          <w:lang w:val="zh-CN"/>
        </w:rPr>
        <w:t>3.</w:t>
      </w:r>
      <w:r>
        <w:rPr>
          <w:rFonts w:hint="default" w:ascii="Times New Roman" w:hAnsi="Times New Roman" w:eastAsia="宋体" w:cs="Times New Roman"/>
          <w:color w:val="000000"/>
          <w:sz w:val="28"/>
          <w:szCs w:val="28"/>
        </w:rPr>
        <w:t>4</w:t>
      </w:r>
      <w:r>
        <w:rPr>
          <w:rFonts w:hint="default" w:ascii="Times New Roman" w:hAnsi="Times New Roman" w:eastAsia="宋体" w:cs="Times New Roman"/>
          <w:color w:val="000000"/>
          <w:sz w:val="28"/>
          <w:szCs w:val="28"/>
          <w:lang w:val="zh-CN"/>
        </w:rPr>
        <w:t xml:space="preserve"> 总量控制</w:t>
      </w:r>
      <w:bookmarkEnd w:id="193"/>
      <w:bookmarkEnd w:id="195"/>
    </w:p>
    <w:p>
      <w:pPr>
        <w:pStyle w:val="87"/>
        <w:keepNext w:val="0"/>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snapToGrid w:val="0"/>
          <w:kern w:val="0"/>
          <w:sz w:val="24"/>
          <w:szCs w:val="24"/>
        </w:rPr>
      </w:pPr>
      <w:bookmarkStart w:id="196" w:name="_Toc10851"/>
      <w:bookmarkStart w:id="197" w:name="_Toc10614"/>
      <w:r>
        <w:rPr>
          <w:rFonts w:hint="default" w:ascii="Times New Roman" w:hAnsi="Times New Roman" w:eastAsia="宋体" w:cs="Times New Roman"/>
          <w:b/>
          <w:snapToGrid w:val="0"/>
          <w:kern w:val="0"/>
          <w:sz w:val="24"/>
          <w:szCs w:val="24"/>
        </w:rPr>
        <w:t>3.4.1 总量控制的目的与原则</w:t>
      </w:r>
      <w:bookmarkEnd w:id="196"/>
      <w:bookmarkEnd w:id="197"/>
    </w:p>
    <w:p>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实施污染源总量控制，有利于科学地揭示环境容量资源有限的事实，促进区域的环境容量资源的优化配置和生态工业体系的整体设计和形成，保证环境质量达标和区域可持续发展。</w:t>
      </w:r>
    </w:p>
    <w:p>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总量控制工作过程可分为总量确定原则、污染负荷分配原则、分期实施修订和减量置换原则。概括起来主要有三条原则：</w:t>
      </w:r>
    </w:p>
    <w:p>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公平合理原则。在总量确定阶段有污染源之间的平权原则：在污染负荷分配阶段有平方比例削减法、按贡献率削减污染源负荷的原则。</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经济优化原则。该原则以治理费用为目标函数，以环境目标值为约束条件，使系统的污染治理投资费用总和最小，求得各污染源的允许排放负荷。</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有效性原则。在总量控制规划方案的实施中，一方面由于经济发展，环境目标的限制，不能一步到位，需分期实施。在实施过程中，还需依据社会经济的发展而不断修订。只有这样，总量控制方案才能得以在实践中实施。</w:t>
      </w:r>
    </w:p>
    <w:p>
      <w:pPr>
        <w:pStyle w:val="87"/>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snapToGrid w:val="0"/>
          <w:kern w:val="0"/>
          <w:sz w:val="24"/>
          <w:szCs w:val="24"/>
        </w:rPr>
      </w:pPr>
      <w:bookmarkStart w:id="198" w:name="_Toc25748"/>
      <w:bookmarkStart w:id="199" w:name="_Toc1834"/>
      <w:r>
        <w:rPr>
          <w:rFonts w:hint="default" w:ascii="Times New Roman" w:hAnsi="Times New Roman" w:eastAsia="宋体" w:cs="Times New Roman"/>
          <w:b/>
          <w:snapToGrid w:val="0"/>
          <w:kern w:val="0"/>
          <w:sz w:val="24"/>
          <w:szCs w:val="24"/>
        </w:rPr>
        <w:t>3.4.2 污染物总量控制建议</w:t>
      </w:r>
      <w:bookmarkEnd w:id="198"/>
      <w:bookmarkEnd w:id="199"/>
    </w:p>
    <w:p>
      <w:pPr>
        <w:pStyle w:val="12"/>
        <w:keepNext/>
        <w:keepLines/>
        <w:pageBreakBefore w:val="0"/>
        <w:widowControl w:val="0"/>
        <w:kinsoku/>
        <w:wordWrap/>
        <w:overflowPunct/>
        <w:topLinePunct w:val="0"/>
        <w:autoSpaceDE/>
        <w:autoSpaceDN/>
        <w:bidi w:val="0"/>
        <w:adjustRightInd/>
        <w:snapToGrid/>
        <w:spacing w:after="0" w:line="360" w:lineRule="auto"/>
        <w:ind w:firstLine="480"/>
        <w:jc w:val="left"/>
        <w:textAlignment w:val="auto"/>
        <w:rPr>
          <w:rFonts w:hint="default" w:ascii="Times New Roman" w:hAnsi="Times New Roman" w:cs="Times New Roman"/>
          <w:sz w:val="24"/>
          <w:szCs w:val="24"/>
        </w:rPr>
        <w:sectPr>
          <w:footerReference r:id="rId11" w:type="default"/>
          <w:pgSz w:w="11907" w:h="16840"/>
          <w:pgMar w:top="940" w:right="1134" w:bottom="900" w:left="1276" w:header="567" w:footer="851" w:gutter="0"/>
          <w:pgBorders>
            <w:top w:val="none" w:sz="0" w:space="0"/>
            <w:left w:val="none" w:sz="0" w:space="0"/>
            <w:bottom w:val="none" w:sz="0" w:space="0"/>
            <w:right w:val="none" w:sz="0" w:space="0"/>
          </w:pgBorders>
          <w:pgNumType w:fmt="decimal" w:start="1"/>
          <w:cols w:space="720" w:num="1"/>
        </w:sectPr>
      </w:pPr>
      <w:r>
        <w:rPr>
          <w:rFonts w:hint="default" w:ascii="Times New Roman" w:hAnsi="Times New Roman" w:cs="Times New Roman"/>
          <w:sz w:val="24"/>
        </w:rPr>
        <w:t>本项目为养殖类项目，营运期间场内不涉及饲料加工，不涉及国控大气污染总量控制指标SO</w:t>
      </w:r>
      <w:r>
        <w:rPr>
          <w:rFonts w:hint="default" w:ascii="Times New Roman" w:hAnsi="Times New Roman" w:cs="Times New Roman"/>
          <w:sz w:val="24"/>
          <w:vertAlign w:val="subscript"/>
        </w:rPr>
        <w:t>2</w:t>
      </w:r>
      <w:r>
        <w:rPr>
          <w:rFonts w:hint="default" w:ascii="Times New Roman" w:hAnsi="Times New Roman" w:cs="Times New Roman"/>
          <w:sz w:val="24"/>
        </w:rPr>
        <w:t>、NO</w:t>
      </w:r>
      <w:r>
        <w:rPr>
          <w:rFonts w:hint="default" w:ascii="Times New Roman" w:hAnsi="Times New Roman" w:cs="Times New Roman"/>
          <w:sz w:val="24"/>
          <w:vertAlign w:val="subscript"/>
        </w:rPr>
        <w:t>x</w:t>
      </w:r>
      <w:r>
        <w:rPr>
          <w:rFonts w:hint="default" w:ascii="Times New Roman" w:hAnsi="Times New Roman" w:cs="Times New Roman"/>
          <w:sz w:val="24"/>
        </w:rPr>
        <w:t>的排放；项目营运期员工生活污水、养殖粪污及废水等经收集后经污水处理设施处理达《农田灌溉水质标准》（GB5084-2005）旱作标准后用于耕地灌溉，因此本项目废水可以做到综合利用不外排。不涉及国控水污染总量控制指标COD、NH</w:t>
      </w:r>
      <w:r>
        <w:rPr>
          <w:rFonts w:hint="default" w:ascii="Times New Roman" w:hAnsi="Times New Roman" w:cs="Times New Roman"/>
          <w:sz w:val="24"/>
          <w:vertAlign w:val="subscript"/>
        </w:rPr>
        <w:t>3</w:t>
      </w:r>
      <w:r>
        <w:rPr>
          <w:rFonts w:hint="default" w:ascii="Times New Roman" w:hAnsi="Times New Roman" w:cs="Times New Roman"/>
          <w:sz w:val="24"/>
        </w:rPr>
        <w:t>-N的排放</w:t>
      </w:r>
      <w:r>
        <w:rPr>
          <w:rFonts w:hint="default" w:ascii="Times New Roman" w:hAnsi="Times New Roman" w:cs="Times New Roman"/>
          <w:sz w:val="24"/>
          <w:szCs w:val="24"/>
        </w:rPr>
        <w:t>。</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表3.3-12 项目主要污染治理设施基本信息一览表</w:t>
      </w:r>
    </w:p>
    <w:tbl>
      <w:tblPr>
        <w:tblStyle w:val="33"/>
        <w:tblW w:w="1490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185"/>
        <w:gridCol w:w="1335"/>
        <w:gridCol w:w="2957"/>
        <w:gridCol w:w="1185"/>
        <w:gridCol w:w="1290"/>
        <w:gridCol w:w="813"/>
        <w:gridCol w:w="1512"/>
        <w:gridCol w:w="750"/>
        <w:gridCol w:w="31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污染物组成</w:t>
            </w:r>
          </w:p>
        </w:tc>
        <w:tc>
          <w:tcPr>
            <w:tcW w:w="118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污染物种类</w:t>
            </w:r>
          </w:p>
        </w:tc>
        <w:tc>
          <w:tcPr>
            <w:tcW w:w="133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主要污染物</w:t>
            </w:r>
          </w:p>
        </w:tc>
        <w:tc>
          <w:tcPr>
            <w:tcW w:w="2957"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拟采取的环保措施及运行参数</w:t>
            </w:r>
          </w:p>
        </w:tc>
        <w:tc>
          <w:tcPr>
            <w:tcW w:w="118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污染物</w:t>
            </w:r>
          </w:p>
          <w:p>
            <w:pPr>
              <w:adjustRightInd w:val="0"/>
              <w:jc w:val="center"/>
              <w:rPr>
                <w:rFonts w:hint="default" w:ascii="Times New Roman" w:hAnsi="Times New Roman" w:cs="Times New Roman"/>
                <w:szCs w:val="21"/>
              </w:rPr>
            </w:pPr>
            <w:r>
              <w:rPr>
                <w:rFonts w:hint="default" w:ascii="Times New Roman" w:hAnsi="Times New Roman" w:cs="Times New Roman"/>
                <w:szCs w:val="21"/>
              </w:rPr>
              <w:t>排放浓度（mg/m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1290"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排放总量</w:t>
            </w:r>
          </w:p>
          <w:p>
            <w:pPr>
              <w:adjustRightInd w:val="0"/>
              <w:jc w:val="center"/>
              <w:rPr>
                <w:rFonts w:hint="default" w:ascii="Times New Roman" w:hAnsi="Times New Roman" w:cs="Times New Roman"/>
                <w:szCs w:val="21"/>
              </w:rPr>
            </w:pPr>
          </w:p>
        </w:tc>
        <w:tc>
          <w:tcPr>
            <w:tcW w:w="813" w:type="dxa"/>
            <w:vAlign w:val="center"/>
          </w:tcPr>
          <w:p>
            <w:pPr>
              <w:adjustRightInd w:val="0"/>
              <w:ind w:firstLine="105" w:firstLineChars="50"/>
              <w:jc w:val="center"/>
              <w:rPr>
                <w:rFonts w:hint="default" w:ascii="Times New Roman" w:hAnsi="Times New Roman" w:cs="Times New Roman"/>
                <w:szCs w:val="21"/>
              </w:rPr>
            </w:pPr>
            <w:r>
              <w:rPr>
                <w:rFonts w:hint="default" w:ascii="Times New Roman" w:hAnsi="Times New Roman" w:cs="Times New Roman"/>
                <w:szCs w:val="21"/>
              </w:rPr>
              <w:t>排放形式</w:t>
            </w:r>
          </w:p>
        </w:tc>
        <w:tc>
          <w:tcPr>
            <w:tcW w:w="1512" w:type="dxa"/>
            <w:vAlign w:val="center"/>
          </w:tcPr>
          <w:p>
            <w:pPr>
              <w:adjustRightInd w:val="0"/>
              <w:ind w:firstLine="210" w:firstLineChars="100"/>
              <w:jc w:val="center"/>
              <w:rPr>
                <w:rFonts w:hint="default" w:ascii="Times New Roman" w:hAnsi="Times New Roman" w:cs="Times New Roman"/>
                <w:szCs w:val="21"/>
              </w:rPr>
            </w:pPr>
            <w:r>
              <w:rPr>
                <w:rFonts w:hint="default" w:ascii="Times New Roman" w:hAnsi="Times New Roman" w:cs="Times New Roman"/>
                <w:szCs w:val="21"/>
              </w:rPr>
              <w:t>排污口</w:t>
            </w:r>
          </w:p>
        </w:tc>
        <w:tc>
          <w:tcPr>
            <w:tcW w:w="750"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排放去向</w:t>
            </w:r>
          </w:p>
        </w:tc>
        <w:tc>
          <w:tcPr>
            <w:tcW w:w="3163"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jc w:val="center"/>
        </w:trPr>
        <w:tc>
          <w:tcPr>
            <w:tcW w:w="718"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废气</w:t>
            </w:r>
          </w:p>
        </w:tc>
        <w:tc>
          <w:tcPr>
            <w:tcW w:w="1185"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恶臭</w:t>
            </w:r>
          </w:p>
        </w:tc>
        <w:tc>
          <w:tcPr>
            <w:tcW w:w="133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H</w:t>
            </w:r>
            <w:r>
              <w:rPr>
                <w:rFonts w:hint="default" w:ascii="Times New Roman" w:hAnsi="Times New Roman" w:cs="Times New Roman"/>
                <w:szCs w:val="21"/>
                <w:vertAlign w:val="subscript"/>
              </w:rPr>
              <w:t>2</w:t>
            </w:r>
            <w:r>
              <w:rPr>
                <w:rFonts w:hint="default" w:ascii="Times New Roman" w:hAnsi="Times New Roman" w:cs="Times New Roman"/>
                <w:szCs w:val="21"/>
              </w:rPr>
              <w:t>S</w:t>
            </w:r>
          </w:p>
        </w:tc>
        <w:tc>
          <w:tcPr>
            <w:tcW w:w="2957" w:type="dxa"/>
            <w:vMerge w:val="restart"/>
            <w:vAlign w:val="center"/>
          </w:tcPr>
          <w:p>
            <w:pPr>
              <w:pStyle w:val="12"/>
              <w:spacing w:after="0"/>
              <w:jc w:val="center"/>
              <w:outlineLvl w:val="0"/>
              <w:rPr>
                <w:rFonts w:hint="default" w:ascii="Times New Roman" w:hAnsi="Times New Roman" w:cs="Times New Roman"/>
                <w:szCs w:val="21"/>
              </w:rPr>
            </w:pPr>
            <w:r>
              <w:rPr>
                <w:rFonts w:hint="eastAsia"/>
                <w:color w:val="auto"/>
                <w:lang w:val="en-US" w:eastAsia="zh-CN"/>
              </w:rPr>
              <w:t>污水处理站、猪粪暂存间</w:t>
            </w:r>
            <w:r>
              <w:rPr>
                <w:rFonts w:eastAsia="宋体"/>
                <w:color w:val="auto"/>
                <w:lang w:val="en-US" w:eastAsia="zh-CN"/>
              </w:rPr>
              <w:t>设置恶臭加盖收集系统或抽风收集系统，臭气经收集后送</w:t>
            </w:r>
            <w:r>
              <w:rPr>
                <w:rFonts w:hint="eastAsia" w:eastAsia="宋体"/>
                <w:color w:val="auto"/>
                <w:lang w:val="en-US" w:eastAsia="zh-CN"/>
              </w:rPr>
              <w:t>生物除臭系统进行</w:t>
            </w:r>
            <w:r>
              <w:rPr>
                <w:rFonts w:eastAsia="宋体"/>
                <w:color w:val="auto"/>
                <w:lang w:val="en-US" w:eastAsia="zh-CN"/>
              </w:rPr>
              <w:t>除臭，净化气经15m高排气筒排放。恶臭收集率达98%以上，</w:t>
            </w:r>
            <w:r>
              <w:rPr>
                <w:rFonts w:hint="eastAsia" w:eastAsia="宋体"/>
                <w:color w:val="auto"/>
                <w:lang w:val="en-US" w:eastAsia="zh-CN"/>
              </w:rPr>
              <w:t>生物除臭系统</w:t>
            </w:r>
            <w:r>
              <w:rPr>
                <w:rFonts w:eastAsia="宋体"/>
                <w:color w:val="auto"/>
                <w:lang w:val="en-US" w:eastAsia="zh-CN"/>
              </w:rPr>
              <w:t>对恶臭</w:t>
            </w:r>
            <w:r>
              <w:rPr>
                <w:rFonts w:hint="eastAsia" w:eastAsia="宋体"/>
                <w:color w:val="auto"/>
                <w:lang w:val="en-US" w:eastAsia="zh-CN"/>
              </w:rPr>
              <w:t>气体</w:t>
            </w:r>
            <w:r>
              <w:rPr>
                <w:rFonts w:eastAsia="宋体"/>
                <w:color w:val="auto"/>
                <w:lang w:val="en-US" w:eastAsia="zh-CN"/>
              </w:rPr>
              <w:t xml:space="preserve">的去除率达 </w:t>
            </w:r>
            <w:r>
              <w:rPr>
                <w:rFonts w:hint="eastAsia" w:eastAsia="宋体"/>
                <w:color w:val="auto"/>
                <w:lang w:val="en-US" w:eastAsia="zh-CN"/>
              </w:rPr>
              <w:t>8</w:t>
            </w:r>
            <w:r>
              <w:rPr>
                <w:rFonts w:eastAsia="宋体"/>
                <w:color w:val="auto"/>
                <w:lang w:val="en-US" w:eastAsia="zh-CN"/>
              </w:rPr>
              <w:t>0%以上。</w:t>
            </w:r>
            <w:r>
              <w:rPr>
                <w:rFonts w:hint="eastAsia"/>
                <w:color w:val="auto"/>
                <w:lang w:val="en-US" w:eastAsia="zh-CN"/>
              </w:rPr>
              <w:t>圈舍使用</w:t>
            </w:r>
            <w:r>
              <w:rPr>
                <w:rFonts w:hint="eastAsia" w:eastAsia="宋体"/>
                <w:color w:val="auto"/>
                <w:lang w:val="en-US" w:eastAsia="zh-CN"/>
              </w:rPr>
              <w:t>除臭剂、</w:t>
            </w:r>
            <w:r>
              <w:rPr>
                <w:rFonts w:hint="eastAsia"/>
                <w:color w:val="auto"/>
                <w:lang w:val="en-US" w:eastAsia="zh-CN"/>
              </w:rPr>
              <w:t>加强</w:t>
            </w:r>
            <w:r>
              <w:rPr>
                <w:rFonts w:hint="eastAsia" w:eastAsia="宋体"/>
                <w:color w:val="auto"/>
                <w:lang w:val="en-US" w:eastAsia="zh-CN"/>
              </w:rPr>
              <w:t>绿化，无组织排放</w:t>
            </w:r>
            <w:r>
              <w:rPr>
                <w:rFonts w:hint="eastAsia"/>
                <w:color w:val="auto"/>
                <w:lang w:val="en-US" w:eastAsia="zh-CN"/>
              </w:rPr>
              <w:t>。</w:t>
            </w:r>
          </w:p>
        </w:tc>
        <w:tc>
          <w:tcPr>
            <w:tcW w:w="1185"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w:t>
            </w:r>
          </w:p>
        </w:tc>
        <w:tc>
          <w:tcPr>
            <w:tcW w:w="2103" w:type="dxa"/>
            <w:gridSpan w:val="2"/>
            <w:vAlign w:val="center"/>
          </w:tcPr>
          <w:p>
            <w:pPr>
              <w:pStyle w:val="12"/>
              <w:spacing w:after="0"/>
              <w:jc w:val="center"/>
              <w:outlineLvl w:val="0"/>
              <w:rPr>
                <w:rFonts w:hint="eastAsia" w:ascii="Times New Roman" w:hAnsi="Times New Roman" w:cs="Times New Roman"/>
                <w:szCs w:val="21"/>
                <w:lang w:val="en-US" w:eastAsia="zh-CN"/>
              </w:rPr>
            </w:pPr>
            <w:r>
              <w:rPr>
                <w:rFonts w:hint="eastAsia" w:ascii="Times New Roman" w:hAnsi="Times New Roman" w:cs="Times New Roman"/>
                <w:szCs w:val="21"/>
                <w:lang w:eastAsia="zh-CN"/>
              </w:rPr>
              <w:t>有组织：</w:t>
            </w:r>
            <w:r>
              <w:rPr>
                <w:rFonts w:hint="eastAsia" w:ascii="Times New Roman" w:hAnsi="Times New Roman" w:cs="Times New Roman"/>
                <w:szCs w:val="21"/>
                <w:lang w:val="en-US" w:eastAsia="zh-CN"/>
              </w:rPr>
              <w:t>0.00078kg/h</w:t>
            </w:r>
          </w:p>
          <w:p>
            <w:pPr>
              <w:adjustRightInd w:val="0"/>
              <w:jc w:val="center"/>
              <w:rPr>
                <w:rFonts w:hint="default" w:ascii="Times New Roman" w:hAnsi="Times New Roman" w:cs="Times New Roman"/>
                <w:szCs w:val="21"/>
              </w:rPr>
            </w:pPr>
            <w:r>
              <w:rPr>
                <w:rFonts w:hint="eastAsia" w:ascii="Times New Roman" w:hAnsi="Times New Roman" w:cs="Times New Roman"/>
                <w:szCs w:val="21"/>
                <w:lang w:val="en-US" w:eastAsia="zh-CN"/>
              </w:rPr>
              <w:t>无组织：0.00108kg/h</w:t>
            </w:r>
          </w:p>
        </w:tc>
        <w:tc>
          <w:tcPr>
            <w:tcW w:w="1512" w:type="dxa"/>
            <w:vMerge w:val="restart"/>
            <w:vAlign w:val="center"/>
          </w:tcPr>
          <w:p>
            <w:pPr>
              <w:adjustRightIn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15m排气筒</w:t>
            </w:r>
          </w:p>
        </w:tc>
        <w:tc>
          <w:tcPr>
            <w:tcW w:w="750"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大气环境</w:t>
            </w:r>
          </w:p>
        </w:tc>
        <w:tc>
          <w:tcPr>
            <w:tcW w:w="3163"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《畜禽养殖业污染物排放标准》（GB18596-2001）、《恶臭污染物排放标准》（GB14554-93）相关管控限值要求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ind w:firstLine="105" w:firstLineChars="50"/>
              <w:jc w:val="center"/>
              <w:rPr>
                <w:rFonts w:hint="default" w:ascii="Times New Roman" w:hAnsi="Times New Roman" w:cs="Times New Roman"/>
                <w:szCs w:val="21"/>
              </w:rPr>
            </w:pPr>
          </w:p>
        </w:tc>
        <w:tc>
          <w:tcPr>
            <w:tcW w:w="1185" w:type="dxa"/>
            <w:vMerge w:val="continue"/>
            <w:vAlign w:val="center"/>
          </w:tcPr>
          <w:p>
            <w:pPr>
              <w:adjustRightInd w:val="0"/>
              <w:jc w:val="center"/>
              <w:rPr>
                <w:rFonts w:hint="default" w:ascii="Times New Roman" w:hAnsi="Times New Roman" w:cs="Times New Roman"/>
                <w:szCs w:val="21"/>
              </w:rPr>
            </w:pPr>
          </w:p>
        </w:tc>
        <w:tc>
          <w:tcPr>
            <w:tcW w:w="133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p>
        </w:tc>
        <w:tc>
          <w:tcPr>
            <w:tcW w:w="2957" w:type="dxa"/>
            <w:vMerge w:val="continue"/>
            <w:vAlign w:val="center"/>
          </w:tcPr>
          <w:p>
            <w:pPr>
              <w:pStyle w:val="12"/>
              <w:spacing w:after="0"/>
              <w:ind w:firstLine="210" w:firstLineChars="100"/>
              <w:jc w:val="center"/>
              <w:outlineLvl w:val="0"/>
              <w:rPr>
                <w:rFonts w:hint="default" w:ascii="Times New Roman" w:hAnsi="Times New Roman" w:cs="Times New Roman"/>
                <w:szCs w:val="21"/>
              </w:rPr>
            </w:pPr>
          </w:p>
        </w:tc>
        <w:tc>
          <w:tcPr>
            <w:tcW w:w="1185" w:type="dxa"/>
            <w:vMerge w:val="continue"/>
            <w:vAlign w:val="center"/>
          </w:tcPr>
          <w:p>
            <w:pPr>
              <w:adjustRightInd w:val="0"/>
              <w:jc w:val="center"/>
              <w:rPr>
                <w:rFonts w:hint="default" w:ascii="Times New Roman" w:hAnsi="Times New Roman" w:cs="Times New Roman"/>
                <w:szCs w:val="21"/>
              </w:rPr>
            </w:pPr>
          </w:p>
        </w:tc>
        <w:tc>
          <w:tcPr>
            <w:tcW w:w="2103" w:type="dxa"/>
            <w:gridSpan w:val="2"/>
            <w:vAlign w:val="center"/>
          </w:tcPr>
          <w:p>
            <w:pPr>
              <w:pStyle w:val="12"/>
              <w:spacing w:after="0"/>
              <w:jc w:val="center"/>
              <w:outlineLvl w:val="0"/>
              <w:rPr>
                <w:rFonts w:hint="eastAsia" w:ascii="Times New Roman" w:hAnsi="Times New Roman" w:cs="Times New Roman"/>
                <w:szCs w:val="21"/>
                <w:lang w:val="en-US" w:eastAsia="zh-CN"/>
              </w:rPr>
            </w:pPr>
            <w:r>
              <w:rPr>
                <w:rFonts w:hint="eastAsia" w:ascii="Times New Roman" w:hAnsi="Times New Roman" w:cs="Times New Roman"/>
                <w:szCs w:val="21"/>
                <w:lang w:eastAsia="zh-CN"/>
              </w:rPr>
              <w:t>有组织：</w:t>
            </w:r>
            <w:r>
              <w:rPr>
                <w:rFonts w:hint="eastAsia" w:ascii="Times New Roman" w:hAnsi="Times New Roman" w:cs="Times New Roman"/>
                <w:szCs w:val="21"/>
                <w:lang w:val="en-US" w:eastAsia="zh-CN"/>
              </w:rPr>
              <w:t>0.0077kg/h</w:t>
            </w:r>
          </w:p>
          <w:p>
            <w:pPr>
              <w:adjustRightInd w:val="0"/>
              <w:jc w:val="center"/>
              <w:rPr>
                <w:rFonts w:hint="default" w:ascii="Times New Roman" w:hAnsi="Times New Roman" w:cs="Times New Roman"/>
                <w:szCs w:val="21"/>
              </w:rPr>
            </w:pPr>
            <w:r>
              <w:rPr>
                <w:rFonts w:hint="eastAsia" w:ascii="Times New Roman" w:hAnsi="Times New Roman" w:cs="Times New Roman"/>
                <w:szCs w:val="21"/>
                <w:lang w:val="en-US" w:eastAsia="zh-CN"/>
              </w:rPr>
              <w:t>无组织：0.0105kg/h</w:t>
            </w:r>
          </w:p>
        </w:tc>
        <w:tc>
          <w:tcPr>
            <w:tcW w:w="1512" w:type="dxa"/>
            <w:vMerge w:val="continue"/>
            <w:vAlign w:val="center"/>
          </w:tcPr>
          <w:p>
            <w:pPr>
              <w:adjustRightInd w:val="0"/>
              <w:jc w:val="center"/>
              <w:rPr>
                <w:rFonts w:hint="default" w:ascii="Times New Roman" w:hAnsi="Times New Roman" w:cs="Times New Roman"/>
                <w:szCs w:val="21"/>
              </w:rPr>
            </w:pPr>
          </w:p>
        </w:tc>
        <w:tc>
          <w:tcPr>
            <w:tcW w:w="750" w:type="dxa"/>
            <w:vMerge w:val="continue"/>
            <w:vAlign w:val="center"/>
          </w:tcPr>
          <w:p>
            <w:pPr>
              <w:adjustRightInd w:val="0"/>
              <w:ind w:firstLine="210" w:firstLineChars="100"/>
              <w:jc w:val="center"/>
              <w:rPr>
                <w:rFonts w:hint="default" w:ascii="Times New Roman" w:hAnsi="Times New Roman" w:cs="Times New Roman"/>
                <w:szCs w:val="21"/>
              </w:rPr>
            </w:pPr>
          </w:p>
        </w:tc>
        <w:tc>
          <w:tcPr>
            <w:tcW w:w="3163" w:type="dxa"/>
            <w:vMerge w:val="continue"/>
            <w:vAlign w:val="center"/>
          </w:tcPr>
          <w:p>
            <w:pPr>
              <w:adjustRightInd w:val="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718" w:type="dxa"/>
            <w:vMerge w:val="continue"/>
            <w:vAlign w:val="center"/>
          </w:tcPr>
          <w:p>
            <w:pPr>
              <w:adjustRightInd w:val="0"/>
              <w:jc w:val="center"/>
              <w:rPr>
                <w:rFonts w:hint="default" w:ascii="Times New Roman" w:hAnsi="Times New Roman" w:cs="Times New Roman"/>
                <w:szCs w:val="21"/>
              </w:rPr>
            </w:pPr>
          </w:p>
        </w:tc>
        <w:tc>
          <w:tcPr>
            <w:tcW w:w="118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厨房油烟</w:t>
            </w:r>
          </w:p>
        </w:tc>
        <w:tc>
          <w:tcPr>
            <w:tcW w:w="133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油烟废气</w:t>
            </w:r>
          </w:p>
        </w:tc>
        <w:tc>
          <w:tcPr>
            <w:tcW w:w="2957" w:type="dxa"/>
            <w:vAlign w:val="center"/>
          </w:tcPr>
          <w:p>
            <w:pPr>
              <w:adjustRightInd w:val="0"/>
              <w:ind w:firstLine="210" w:firstLineChars="100"/>
              <w:jc w:val="center"/>
              <w:rPr>
                <w:rFonts w:hint="default" w:ascii="Times New Roman" w:hAnsi="Times New Roman" w:cs="Times New Roman"/>
                <w:szCs w:val="21"/>
              </w:rPr>
            </w:pPr>
            <w:r>
              <w:rPr>
                <w:rFonts w:hint="default" w:ascii="Times New Roman" w:hAnsi="Times New Roman" w:cs="Times New Roman"/>
                <w:szCs w:val="21"/>
              </w:rPr>
              <w:t>1台风量约2000m</w:t>
            </w:r>
            <w:r>
              <w:rPr>
                <w:rFonts w:hint="default" w:ascii="Times New Roman" w:hAnsi="Times New Roman" w:cs="Times New Roman"/>
                <w:szCs w:val="21"/>
                <w:vertAlign w:val="superscript"/>
              </w:rPr>
              <w:t>3</w:t>
            </w:r>
            <w:r>
              <w:rPr>
                <w:rFonts w:hint="default" w:ascii="Times New Roman" w:hAnsi="Times New Roman" w:cs="Times New Roman"/>
                <w:szCs w:val="21"/>
              </w:rPr>
              <w:t>/h油烟净化设施及其排气筒</w:t>
            </w:r>
          </w:p>
        </w:tc>
        <w:tc>
          <w:tcPr>
            <w:tcW w:w="118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1.7</w:t>
            </w:r>
          </w:p>
        </w:tc>
        <w:tc>
          <w:tcPr>
            <w:tcW w:w="1290"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2.48×</w:t>
            </w:r>
          </w:p>
          <w:p>
            <w:pPr>
              <w:adjustRightInd w:val="0"/>
              <w:jc w:val="center"/>
              <w:rPr>
                <w:rFonts w:hint="default" w:ascii="Times New Roman" w:hAnsi="Times New Roman" w:cs="Times New Roman"/>
                <w:szCs w:val="21"/>
                <w:vertAlign w:val="superscript"/>
              </w:rPr>
            </w:pPr>
            <w:r>
              <w:rPr>
                <w:rFonts w:hint="default" w:ascii="Times New Roman" w:hAnsi="Times New Roman" w:cs="Times New Roman"/>
                <w:szCs w:val="21"/>
              </w:rPr>
              <w:t>10</w:t>
            </w:r>
            <w:r>
              <w:rPr>
                <w:rFonts w:hint="default" w:ascii="Times New Roman" w:hAnsi="Times New Roman" w:cs="Times New Roman"/>
                <w:szCs w:val="21"/>
                <w:vertAlign w:val="superscript"/>
              </w:rPr>
              <w:t>-3</w:t>
            </w:r>
          </w:p>
        </w:tc>
        <w:tc>
          <w:tcPr>
            <w:tcW w:w="813"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有组织</w:t>
            </w:r>
          </w:p>
        </w:tc>
        <w:tc>
          <w:tcPr>
            <w:tcW w:w="1512"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油烟净化设施排气筒</w:t>
            </w:r>
          </w:p>
        </w:tc>
        <w:tc>
          <w:tcPr>
            <w:tcW w:w="750" w:type="dxa"/>
            <w:vMerge w:val="continue"/>
            <w:vAlign w:val="center"/>
          </w:tcPr>
          <w:p>
            <w:pPr>
              <w:adjustRightInd w:val="0"/>
              <w:jc w:val="center"/>
              <w:rPr>
                <w:rFonts w:hint="default" w:ascii="Times New Roman" w:hAnsi="Times New Roman" w:cs="Times New Roman"/>
                <w:szCs w:val="21"/>
              </w:rPr>
            </w:pPr>
          </w:p>
        </w:tc>
        <w:tc>
          <w:tcPr>
            <w:tcW w:w="3163"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《饮食业油烟排放标准（试行）》（GB18483-2001）相关排放要求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jc w:val="center"/>
              <w:rPr>
                <w:rFonts w:hint="default" w:ascii="Times New Roman" w:hAnsi="Times New Roman" w:cs="Times New Roman"/>
                <w:szCs w:val="21"/>
              </w:rPr>
            </w:pPr>
          </w:p>
        </w:tc>
        <w:tc>
          <w:tcPr>
            <w:tcW w:w="118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发电机尾气</w:t>
            </w:r>
          </w:p>
        </w:tc>
        <w:tc>
          <w:tcPr>
            <w:tcW w:w="133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烟尘</w:t>
            </w:r>
          </w:p>
        </w:tc>
        <w:tc>
          <w:tcPr>
            <w:tcW w:w="2957"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使用清洁燃料，少量发电机尾气引至楼顶排放</w:t>
            </w:r>
          </w:p>
        </w:tc>
        <w:tc>
          <w:tcPr>
            <w:tcW w:w="1185" w:type="dxa"/>
            <w:vAlign w:val="center"/>
          </w:tcPr>
          <w:p>
            <w:pPr>
              <w:adjustRightInd w:val="0"/>
              <w:jc w:val="center"/>
              <w:rPr>
                <w:rFonts w:hint="default" w:ascii="Times New Roman" w:hAnsi="Times New Roman" w:cs="Times New Roman"/>
                <w:szCs w:val="21"/>
              </w:rPr>
            </w:pPr>
          </w:p>
          <w:p>
            <w:pPr>
              <w:adjustRightInd w:val="0"/>
              <w:jc w:val="center"/>
              <w:rPr>
                <w:rFonts w:hint="default" w:ascii="Times New Roman" w:hAnsi="Times New Roman" w:cs="Times New Roman"/>
                <w:szCs w:val="21"/>
              </w:rPr>
            </w:pPr>
            <w:r>
              <w:rPr>
                <w:rFonts w:hint="default" w:ascii="Times New Roman" w:hAnsi="Times New Roman" w:cs="Times New Roman"/>
                <w:szCs w:val="21"/>
              </w:rPr>
              <w:t>/</w:t>
            </w:r>
          </w:p>
        </w:tc>
        <w:tc>
          <w:tcPr>
            <w:tcW w:w="1290"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少量</w:t>
            </w:r>
          </w:p>
        </w:tc>
        <w:tc>
          <w:tcPr>
            <w:tcW w:w="813"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有组织</w:t>
            </w:r>
          </w:p>
        </w:tc>
        <w:tc>
          <w:tcPr>
            <w:tcW w:w="1512"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备用发电机房专用排气筒</w:t>
            </w:r>
          </w:p>
        </w:tc>
        <w:tc>
          <w:tcPr>
            <w:tcW w:w="750"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大气环境</w:t>
            </w:r>
          </w:p>
        </w:tc>
        <w:tc>
          <w:tcPr>
            <w:tcW w:w="3163"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满足《大气污染物综合排放标准》（GB16297-1996）相关排放限值要求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jc w:val="center"/>
              <w:rPr>
                <w:rFonts w:hint="default" w:ascii="Times New Roman" w:hAnsi="Times New Roman" w:cs="Times New Roman"/>
                <w:szCs w:val="21"/>
              </w:rPr>
            </w:pPr>
          </w:p>
        </w:tc>
        <w:tc>
          <w:tcPr>
            <w:tcW w:w="1185"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汽车尾气</w:t>
            </w:r>
          </w:p>
        </w:tc>
        <w:tc>
          <w:tcPr>
            <w:tcW w:w="133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NO</w:t>
            </w:r>
            <w:r>
              <w:rPr>
                <w:rFonts w:hint="default" w:ascii="Times New Roman" w:hAnsi="Times New Roman" w:cs="Times New Roman"/>
                <w:szCs w:val="21"/>
                <w:vertAlign w:val="subscript"/>
              </w:rPr>
              <w:t>x</w:t>
            </w:r>
          </w:p>
        </w:tc>
        <w:tc>
          <w:tcPr>
            <w:tcW w:w="2957" w:type="dxa"/>
            <w:vMerge w:val="restart"/>
            <w:vAlign w:val="center"/>
          </w:tcPr>
          <w:p>
            <w:pPr>
              <w:adjustRightInd w:val="0"/>
              <w:ind w:firstLine="210" w:firstLineChars="100"/>
              <w:jc w:val="center"/>
              <w:rPr>
                <w:rFonts w:hint="default" w:ascii="Times New Roman" w:hAnsi="Times New Roman" w:cs="Times New Roman"/>
                <w:szCs w:val="21"/>
              </w:rPr>
            </w:pPr>
            <w:r>
              <w:rPr>
                <w:rFonts w:hint="default" w:ascii="Times New Roman" w:hAnsi="Times New Roman" w:cs="Times New Roman"/>
                <w:szCs w:val="21"/>
              </w:rPr>
              <w:t>加强相关车辆、设备的维修及保养，减少场内怠速时间，加强场区周边绿化</w:t>
            </w:r>
          </w:p>
        </w:tc>
        <w:tc>
          <w:tcPr>
            <w:tcW w:w="1185"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w:t>
            </w:r>
          </w:p>
        </w:tc>
        <w:tc>
          <w:tcPr>
            <w:tcW w:w="1290"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少量</w:t>
            </w:r>
          </w:p>
        </w:tc>
        <w:tc>
          <w:tcPr>
            <w:tcW w:w="813"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无组织</w:t>
            </w:r>
          </w:p>
        </w:tc>
        <w:tc>
          <w:tcPr>
            <w:tcW w:w="1512"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w:t>
            </w:r>
          </w:p>
        </w:tc>
        <w:tc>
          <w:tcPr>
            <w:tcW w:w="750"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大气环境</w:t>
            </w:r>
          </w:p>
        </w:tc>
        <w:tc>
          <w:tcPr>
            <w:tcW w:w="3163" w:type="dxa"/>
            <w:vMerge w:val="continue"/>
            <w:vAlign w:val="center"/>
          </w:tcPr>
          <w:p>
            <w:pPr>
              <w:adjustRightInd w:val="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8" w:type="dxa"/>
            <w:vMerge w:val="continue"/>
            <w:vAlign w:val="center"/>
          </w:tcPr>
          <w:p>
            <w:pPr>
              <w:adjustRightInd w:val="0"/>
              <w:jc w:val="center"/>
              <w:rPr>
                <w:rFonts w:hint="default" w:ascii="Times New Roman" w:hAnsi="Times New Roman" w:cs="Times New Roman"/>
                <w:szCs w:val="21"/>
              </w:rPr>
            </w:pPr>
          </w:p>
        </w:tc>
        <w:tc>
          <w:tcPr>
            <w:tcW w:w="1185" w:type="dxa"/>
            <w:vMerge w:val="continue"/>
            <w:vAlign w:val="center"/>
          </w:tcPr>
          <w:p>
            <w:pPr>
              <w:adjustRightInd w:val="0"/>
              <w:jc w:val="center"/>
              <w:rPr>
                <w:rFonts w:hint="default" w:ascii="Times New Roman" w:hAnsi="Times New Roman" w:cs="Times New Roman"/>
                <w:szCs w:val="21"/>
              </w:rPr>
            </w:pPr>
          </w:p>
        </w:tc>
        <w:tc>
          <w:tcPr>
            <w:tcW w:w="133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CO</w:t>
            </w:r>
          </w:p>
        </w:tc>
        <w:tc>
          <w:tcPr>
            <w:tcW w:w="2957" w:type="dxa"/>
            <w:vMerge w:val="continue"/>
            <w:vAlign w:val="center"/>
          </w:tcPr>
          <w:p>
            <w:pPr>
              <w:adjustRightInd w:val="0"/>
              <w:ind w:firstLine="210" w:firstLineChars="100"/>
              <w:jc w:val="center"/>
              <w:rPr>
                <w:rFonts w:hint="default" w:ascii="Times New Roman" w:hAnsi="Times New Roman" w:cs="Times New Roman"/>
                <w:szCs w:val="21"/>
              </w:rPr>
            </w:pPr>
          </w:p>
        </w:tc>
        <w:tc>
          <w:tcPr>
            <w:tcW w:w="1185" w:type="dxa"/>
            <w:vMerge w:val="continue"/>
            <w:vAlign w:val="center"/>
          </w:tcPr>
          <w:p>
            <w:pPr>
              <w:adjustRightInd w:val="0"/>
              <w:jc w:val="center"/>
              <w:rPr>
                <w:rFonts w:hint="default" w:ascii="Times New Roman" w:hAnsi="Times New Roman" w:cs="Times New Roman"/>
                <w:szCs w:val="21"/>
              </w:rPr>
            </w:pPr>
          </w:p>
        </w:tc>
        <w:tc>
          <w:tcPr>
            <w:tcW w:w="1290" w:type="dxa"/>
            <w:vMerge w:val="continue"/>
            <w:vAlign w:val="center"/>
          </w:tcPr>
          <w:p>
            <w:pPr>
              <w:adjustRightInd w:val="0"/>
              <w:jc w:val="center"/>
              <w:rPr>
                <w:rFonts w:hint="default" w:ascii="Times New Roman" w:hAnsi="Times New Roman" w:cs="Times New Roman"/>
                <w:szCs w:val="21"/>
              </w:rPr>
            </w:pPr>
          </w:p>
        </w:tc>
        <w:tc>
          <w:tcPr>
            <w:tcW w:w="813" w:type="dxa"/>
            <w:vMerge w:val="continue"/>
            <w:vAlign w:val="center"/>
          </w:tcPr>
          <w:p>
            <w:pPr>
              <w:adjustRightInd w:val="0"/>
              <w:jc w:val="center"/>
              <w:rPr>
                <w:rFonts w:hint="default" w:ascii="Times New Roman" w:hAnsi="Times New Roman" w:cs="Times New Roman"/>
                <w:szCs w:val="21"/>
              </w:rPr>
            </w:pPr>
          </w:p>
        </w:tc>
        <w:tc>
          <w:tcPr>
            <w:tcW w:w="1512" w:type="dxa"/>
            <w:vMerge w:val="continue"/>
            <w:vAlign w:val="center"/>
          </w:tcPr>
          <w:p>
            <w:pPr>
              <w:adjustRightInd w:val="0"/>
              <w:jc w:val="center"/>
              <w:rPr>
                <w:rFonts w:hint="default" w:ascii="Times New Roman" w:hAnsi="Times New Roman" w:cs="Times New Roman"/>
                <w:szCs w:val="21"/>
              </w:rPr>
            </w:pPr>
          </w:p>
        </w:tc>
        <w:tc>
          <w:tcPr>
            <w:tcW w:w="750" w:type="dxa"/>
            <w:vMerge w:val="continue"/>
            <w:vAlign w:val="center"/>
          </w:tcPr>
          <w:p>
            <w:pPr>
              <w:adjustRightInd w:val="0"/>
              <w:jc w:val="center"/>
              <w:rPr>
                <w:rFonts w:hint="default" w:ascii="Times New Roman" w:hAnsi="Times New Roman" w:cs="Times New Roman"/>
                <w:szCs w:val="21"/>
              </w:rPr>
            </w:pPr>
          </w:p>
        </w:tc>
        <w:tc>
          <w:tcPr>
            <w:tcW w:w="3163" w:type="dxa"/>
            <w:vMerge w:val="continue"/>
            <w:vAlign w:val="center"/>
          </w:tcPr>
          <w:p>
            <w:pPr>
              <w:adjustRightInd w:val="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jc w:val="center"/>
              <w:rPr>
                <w:rFonts w:hint="default" w:ascii="Times New Roman" w:hAnsi="Times New Roman" w:cs="Times New Roman"/>
                <w:szCs w:val="21"/>
              </w:rPr>
            </w:pPr>
          </w:p>
        </w:tc>
        <w:tc>
          <w:tcPr>
            <w:tcW w:w="1185" w:type="dxa"/>
            <w:vMerge w:val="continue"/>
            <w:vAlign w:val="center"/>
          </w:tcPr>
          <w:p>
            <w:pPr>
              <w:adjustRightInd w:val="0"/>
              <w:jc w:val="center"/>
              <w:rPr>
                <w:rFonts w:hint="default" w:ascii="Times New Roman" w:hAnsi="Times New Roman" w:cs="Times New Roman"/>
                <w:szCs w:val="21"/>
              </w:rPr>
            </w:pPr>
          </w:p>
        </w:tc>
        <w:tc>
          <w:tcPr>
            <w:tcW w:w="133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THC</w:t>
            </w:r>
          </w:p>
        </w:tc>
        <w:tc>
          <w:tcPr>
            <w:tcW w:w="2957" w:type="dxa"/>
            <w:vMerge w:val="continue"/>
            <w:vAlign w:val="center"/>
          </w:tcPr>
          <w:p>
            <w:pPr>
              <w:adjustRightInd w:val="0"/>
              <w:ind w:firstLine="210" w:firstLineChars="100"/>
              <w:jc w:val="center"/>
              <w:rPr>
                <w:rFonts w:hint="default" w:ascii="Times New Roman" w:hAnsi="Times New Roman" w:cs="Times New Roman"/>
                <w:szCs w:val="21"/>
              </w:rPr>
            </w:pPr>
          </w:p>
        </w:tc>
        <w:tc>
          <w:tcPr>
            <w:tcW w:w="1185" w:type="dxa"/>
            <w:vMerge w:val="continue"/>
            <w:vAlign w:val="center"/>
          </w:tcPr>
          <w:p>
            <w:pPr>
              <w:adjustRightInd w:val="0"/>
              <w:jc w:val="center"/>
              <w:rPr>
                <w:rFonts w:hint="default" w:ascii="Times New Roman" w:hAnsi="Times New Roman" w:cs="Times New Roman"/>
                <w:szCs w:val="21"/>
              </w:rPr>
            </w:pPr>
          </w:p>
        </w:tc>
        <w:tc>
          <w:tcPr>
            <w:tcW w:w="1290" w:type="dxa"/>
            <w:vMerge w:val="continue"/>
            <w:vAlign w:val="center"/>
          </w:tcPr>
          <w:p>
            <w:pPr>
              <w:adjustRightInd w:val="0"/>
              <w:jc w:val="center"/>
              <w:rPr>
                <w:rFonts w:hint="default" w:ascii="Times New Roman" w:hAnsi="Times New Roman" w:cs="Times New Roman"/>
                <w:szCs w:val="21"/>
              </w:rPr>
            </w:pPr>
          </w:p>
        </w:tc>
        <w:tc>
          <w:tcPr>
            <w:tcW w:w="813" w:type="dxa"/>
            <w:vMerge w:val="continue"/>
            <w:vAlign w:val="center"/>
          </w:tcPr>
          <w:p>
            <w:pPr>
              <w:adjustRightInd w:val="0"/>
              <w:jc w:val="center"/>
              <w:rPr>
                <w:rFonts w:hint="default" w:ascii="Times New Roman" w:hAnsi="Times New Roman" w:cs="Times New Roman"/>
                <w:szCs w:val="21"/>
              </w:rPr>
            </w:pPr>
          </w:p>
        </w:tc>
        <w:tc>
          <w:tcPr>
            <w:tcW w:w="1512" w:type="dxa"/>
            <w:vMerge w:val="continue"/>
            <w:vAlign w:val="center"/>
          </w:tcPr>
          <w:p>
            <w:pPr>
              <w:adjustRightInd w:val="0"/>
              <w:jc w:val="center"/>
              <w:rPr>
                <w:rFonts w:hint="default" w:ascii="Times New Roman" w:hAnsi="Times New Roman" w:cs="Times New Roman"/>
                <w:szCs w:val="21"/>
              </w:rPr>
            </w:pPr>
          </w:p>
        </w:tc>
        <w:tc>
          <w:tcPr>
            <w:tcW w:w="750" w:type="dxa"/>
            <w:vMerge w:val="continue"/>
            <w:vAlign w:val="center"/>
          </w:tcPr>
          <w:p>
            <w:pPr>
              <w:adjustRightInd w:val="0"/>
              <w:jc w:val="center"/>
              <w:rPr>
                <w:rFonts w:hint="default" w:ascii="Times New Roman" w:hAnsi="Times New Roman" w:cs="Times New Roman"/>
                <w:szCs w:val="21"/>
              </w:rPr>
            </w:pPr>
          </w:p>
        </w:tc>
        <w:tc>
          <w:tcPr>
            <w:tcW w:w="3163" w:type="dxa"/>
            <w:vMerge w:val="continue"/>
            <w:vAlign w:val="center"/>
          </w:tcPr>
          <w:p>
            <w:pPr>
              <w:adjustRightInd w:val="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9" w:hRule="atLeast"/>
          <w:jc w:val="center"/>
        </w:trPr>
        <w:tc>
          <w:tcPr>
            <w:tcW w:w="718"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废水</w:t>
            </w:r>
          </w:p>
        </w:tc>
        <w:tc>
          <w:tcPr>
            <w:tcW w:w="1185"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生活污水</w:t>
            </w:r>
          </w:p>
        </w:tc>
        <w:tc>
          <w:tcPr>
            <w:tcW w:w="1335" w:type="dxa"/>
            <w:vMerge w:val="restart"/>
            <w:vAlign w:val="center"/>
          </w:tcPr>
          <w:p>
            <w:pPr>
              <w:overflowPunct w:val="0"/>
              <w:jc w:val="center"/>
              <w:rPr>
                <w:rFonts w:hint="default" w:ascii="Times New Roman" w:hAnsi="Times New Roman" w:cs="Times New Roman"/>
                <w:szCs w:val="21"/>
              </w:rPr>
            </w:pPr>
            <w:r>
              <w:rPr>
                <w:rFonts w:hint="default" w:ascii="Times New Roman" w:hAnsi="Times New Roman" w:cs="Times New Roman"/>
                <w:szCs w:val="21"/>
              </w:rPr>
              <w:t>COD</w:t>
            </w:r>
            <w:r>
              <w:rPr>
                <w:rFonts w:hint="default" w:ascii="Times New Roman" w:hAnsi="Times New Roman" w:cs="Times New Roman"/>
                <w:szCs w:val="21"/>
                <w:vertAlign w:val="subscript"/>
              </w:rPr>
              <w:t>cr</w:t>
            </w:r>
            <w:r>
              <w:rPr>
                <w:rFonts w:hint="default" w:ascii="Times New Roman" w:hAnsi="Times New Roman" w:cs="Times New Roman"/>
                <w:szCs w:val="21"/>
              </w:rPr>
              <w:t>、BOD</w:t>
            </w:r>
            <w:r>
              <w:rPr>
                <w:rFonts w:hint="default" w:ascii="Times New Roman" w:hAnsi="Times New Roman" w:cs="Times New Roman"/>
                <w:szCs w:val="21"/>
                <w:vertAlign w:val="subscript"/>
              </w:rPr>
              <w:t>5</w:t>
            </w:r>
            <w:r>
              <w:rPr>
                <w:rFonts w:hint="default" w:ascii="Times New Roman" w:hAnsi="Times New Roman" w:cs="Times New Roman"/>
                <w:szCs w:val="21"/>
              </w:rPr>
              <w:t>、NH</w:t>
            </w:r>
            <w:r>
              <w:rPr>
                <w:rFonts w:hint="default" w:ascii="Times New Roman" w:hAnsi="Times New Roman" w:cs="Times New Roman"/>
                <w:szCs w:val="21"/>
                <w:vertAlign w:val="subscript"/>
              </w:rPr>
              <w:t>3</w:t>
            </w:r>
            <w:r>
              <w:rPr>
                <w:rFonts w:hint="default" w:ascii="Times New Roman" w:hAnsi="Times New Roman" w:cs="Times New Roman"/>
                <w:szCs w:val="21"/>
              </w:rPr>
              <w:t>-N、SS、</w:t>
            </w:r>
          </w:p>
          <w:p>
            <w:pPr>
              <w:overflowPunct w:val="0"/>
              <w:jc w:val="center"/>
              <w:rPr>
                <w:rFonts w:hint="default" w:ascii="Times New Roman" w:hAnsi="Times New Roman" w:cs="Times New Roman"/>
                <w:szCs w:val="21"/>
              </w:rPr>
            </w:pPr>
            <w:r>
              <w:rPr>
                <w:rFonts w:hint="default" w:ascii="Times New Roman" w:hAnsi="Times New Roman" w:cs="Times New Roman"/>
                <w:szCs w:val="21"/>
              </w:rPr>
              <w:t>TP</w:t>
            </w:r>
          </w:p>
        </w:tc>
        <w:tc>
          <w:tcPr>
            <w:tcW w:w="8507" w:type="dxa"/>
            <w:gridSpan w:val="6"/>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项目产生的餐饮废水经隔油池隔油处理后同养殖废水、生活污水排入拟建的污水处理站（粪污收集池+集水池+固液分离+调节酸化池+沼气池+好氧池+沉淀池+消毒+沼液暂存池（兼事故应急池），处理能力90m</w:t>
            </w:r>
            <w:r>
              <w:rPr>
                <w:rFonts w:hint="default" w:ascii="Times New Roman" w:hAnsi="Times New Roman" w:cs="Times New Roman"/>
                <w:szCs w:val="21"/>
                <w:vertAlign w:val="superscript"/>
              </w:rPr>
              <w:t>3</w:t>
            </w:r>
            <w:r>
              <w:rPr>
                <w:rFonts w:hint="default" w:ascii="Times New Roman" w:hAnsi="Times New Roman" w:cs="Times New Roman"/>
                <w:szCs w:val="21"/>
              </w:rPr>
              <w:t>/d）处理达标后暂存于位于场址西面的储液池内（在养殖场西南角建设1个容积为不低于8087m</w:t>
            </w:r>
            <w:r>
              <w:rPr>
                <w:rFonts w:hint="default" w:ascii="Times New Roman" w:hAnsi="Times New Roman" w:cs="Times New Roman"/>
                <w:szCs w:val="21"/>
                <w:vertAlign w:val="superscript"/>
              </w:rPr>
              <w:t>3</w:t>
            </w:r>
            <w:r>
              <w:rPr>
                <w:rFonts w:hint="default" w:ascii="Times New Roman" w:hAnsi="Times New Roman" w:cs="Times New Roman"/>
                <w:szCs w:val="21"/>
              </w:rPr>
              <w:t>的沼液暂存池，根据实际情况，夹江县果香四季家庭农场消纳土地需要沼液时，由养殖场的密闭罐车（建设单位拟设置3台密闭罐车，每台有效容积约为5m3）将沼液运至施肥土地，暂存于农场的田间池中暂存，废水经农场灌溉系统经管道输送至施肥土地。三洞镇周冲村村民耕地需要沼液时，通过管网输送至施肥土地。使用本项目不设置高位水池以及田间池，拟在养殖场内设置1个沼液暂存池。因此，本项目需要建设的场内沼液暂存池容积不小于8087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3163"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《农田灌溉水质标准》（GB5084-2005）旱作标准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18" w:type="dxa"/>
            <w:vMerge w:val="continue"/>
            <w:vAlign w:val="center"/>
          </w:tcPr>
          <w:p>
            <w:pPr>
              <w:adjustRightInd w:val="0"/>
              <w:jc w:val="center"/>
              <w:rPr>
                <w:rFonts w:hint="default" w:ascii="Times New Roman" w:hAnsi="Times New Roman" w:cs="Times New Roman"/>
                <w:szCs w:val="21"/>
              </w:rPr>
            </w:pPr>
          </w:p>
        </w:tc>
        <w:tc>
          <w:tcPr>
            <w:tcW w:w="1185" w:type="dxa"/>
            <w:vAlign w:val="center"/>
          </w:tcPr>
          <w:p>
            <w:pPr>
              <w:autoSpaceDE w:val="0"/>
              <w:autoSpaceDN w:val="0"/>
              <w:adjustRightInd w:val="0"/>
              <w:jc w:val="center"/>
              <w:rPr>
                <w:rFonts w:hint="default" w:ascii="Times New Roman" w:hAnsi="Times New Roman" w:cs="Times New Roman"/>
                <w:szCs w:val="21"/>
              </w:rPr>
            </w:pPr>
            <w:r>
              <w:rPr>
                <w:rFonts w:hint="default" w:ascii="Times New Roman" w:hAnsi="Times New Roman" w:cs="Times New Roman"/>
                <w:szCs w:val="21"/>
              </w:rPr>
              <w:t>养殖废水</w:t>
            </w:r>
          </w:p>
        </w:tc>
        <w:tc>
          <w:tcPr>
            <w:tcW w:w="1335" w:type="dxa"/>
            <w:vMerge w:val="continue"/>
            <w:vAlign w:val="center"/>
          </w:tcPr>
          <w:p>
            <w:pPr>
              <w:jc w:val="center"/>
              <w:rPr>
                <w:rFonts w:hint="default" w:ascii="Times New Roman" w:hAnsi="Times New Roman" w:cs="Times New Roman"/>
              </w:rPr>
            </w:pPr>
          </w:p>
        </w:tc>
        <w:tc>
          <w:tcPr>
            <w:tcW w:w="8507" w:type="dxa"/>
            <w:gridSpan w:val="6"/>
            <w:vMerge w:val="continue"/>
            <w:vAlign w:val="center"/>
          </w:tcPr>
          <w:p>
            <w:pPr>
              <w:adjustRightInd w:val="0"/>
              <w:jc w:val="center"/>
              <w:rPr>
                <w:rFonts w:hint="default" w:ascii="Times New Roman" w:hAnsi="Times New Roman" w:cs="Times New Roman"/>
                <w:szCs w:val="21"/>
              </w:rPr>
            </w:pPr>
          </w:p>
        </w:tc>
        <w:tc>
          <w:tcPr>
            <w:tcW w:w="3163" w:type="dxa"/>
            <w:vMerge w:val="continue"/>
            <w:vAlign w:val="center"/>
          </w:tcPr>
          <w:p>
            <w:pPr>
              <w:adjustRightInd w:val="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固废</w:t>
            </w:r>
          </w:p>
        </w:tc>
        <w:tc>
          <w:tcPr>
            <w:tcW w:w="2520" w:type="dxa"/>
            <w:gridSpan w:val="2"/>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病死猪</w:t>
            </w:r>
          </w:p>
        </w:tc>
        <w:tc>
          <w:tcPr>
            <w:tcW w:w="8507" w:type="dxa"/>
            <w:gridSpan w:val="6"/>
            <w:vAlign w:val="center"/>
          </w:tcPr>
          <w:p>
            <w:pPr>
              <w:adjustRightInd w:val="0"/>
              <w:ind w:firstLine="315" w:firstLineChars="150"/>
              <w:jc w:val="center"/>
              <w:rPr>
                <w:rFonts w:hint="default" w:ascii="Times New Roman" w:hAnsi="Times New Roman" w:cs="Times New Roman"/>
                <w:szCs w:val="21"/>
              </w:rPr>
            </w:pPr>
            <w:r>
              <w:rPr>
                <w:rFonts w:hint="default" w:ascii="Times New Roman" w:hAnsi="Times New Roman" w:cs="Times New Roman"/>
                <w:szCs w:val="21"/>
              </w:rPr>
              <w:t>委托成都科农动物无害化处置有限公司统一收集处理</w:t>
            </w:r>
          </w:p>
        </w:tc>
        <w:tc>
          <w:tcPr>
            <w:tcW w:w="3163"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满足《畜禽养殖业污染防治技术规范》（HJ/T81-2001）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jc w:val="center"/>
              <w:rPr>
                <w:rFonts w:hint="default" w:ascii="Times New Roman" w:hAnsi="Times New Roman" w:cs="Times New Roman"/>
                <w:szCs w:val="21"/>
              </w:rPr>
            </w:pPr>
          </w:p>
        </w:tc>
        <w:tc>
          <w:tcPr>
            <w:tcW w:w="2520" w:type="dxa"/>
            <w:gridSpan w:val="2"/>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废包装材料</w:t>
            </w:r>
          </w:p>
        </w:tc>
        <w:tc>
          <w:tcPr>
            <w:tcW w:w="8507" w:type="dxa"/>
            <w:gridSpan w:val="6"/>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收集后用于本项目项目粪污处理装袋，若有剩余则由饲料提供商回收利用。</w:t>
            </w:r>
          </w:p>
          <w:p>
            <w:pPr>
              <w:adjustRightInd w:val="0"/>
              <w:jc w:val="center"/>
              <w:rPr>
                <w:rFonts w:hint="default" w:ascii="Times New Roman" w:hAnsi="Times New Roman" w:cs="Times New Roman"/>
                <w:szCs w:val="21"/>
              </w:rPr>
            </w:pPr>
          </w:p>
        </w:tc>
        <w:tc>
          <w:tcPr>
            <w:tcW w:w="3163"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《一般工业固体废物贮存、处置场污染控制标准》（GB18599-2001）及其2013年修改单相关管控要求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jc w:val="center"/>
              <w:rPr>
                <w:rFonts w:hint="default" w:ascii="Times New Roman" w:hAnsi="Times New Roman" w:cs="Times New Roman"/>
                <w:szCs w:val="21"/>
              </w:rPr>
            </w:pPr>
          </w:p>
        </w:tc>
        <w:tc>
          <w:tcPr>
            <w:tcW w:w="2520" w:type="dxa"/>
            <w:gridSpan w:val="2"/>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生活垃圾</w:t>
            </w:r>
          </w:p>
        </w:tc>
        <w:tc>
          <w:tcPr>
            <w:tcW w:w="8507" w:type="dxa"/>
            <w:gridSpan w:val="6"/>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场区内设置生活垃圾桶内衬塑料袋收集生活垃圾，生活垃圾集中收集后，送至乡镇垃圾收集点，交由当地环卫部门统一清运处理</w:t>
            </w:r>
          </w:p>
        </w:tc>
        <w:tc>
          <w:tcPr>
            <w:tcW w:w="3163"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定期清理，确保不产生二次污染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jc w:val="center"/>
              <w:rPr>
                <w:rFonts w:hint="default" w:ascii="Times New Roman" w:hAnsi="Times New Roman" w:cs="Times New Roman"/>
                <w:szCs w:val="21"/>
              </w:rPr>
            </w:pPr>
          </w:p>
        </w:tc>
        <w:tc>
          <w:tcPr>
            <w:tcW w:w="2520"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养殖场医疗废物</w:t>
            </w:r>
          </w:p>
        </w:tc>
        <w:tc>
          <w:tcPr>
            <w:tcW w:w="8507" w:type="dxa"/>
            <w:gridSpan w:val="6"/>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医疗废物经分类收集后专用容器收集暂存于医疗废物暂存间，定期委托给有相应资质及处理的单位进行</w:t>
            </w:r>
          </w:p>
        </w:tc>
        <w:tc>
          <w:tcPr>
            <w:tcW w:w="3163"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不得遗洒或自行处置，确保不产生二次污染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jc w:val="center"/>
              <w:rPr>
                <w:rFonts w:hint="default" w:ascii="Times New Roman" w:hAnsi="Times New Roman" w:cs="Times New Roman"/>
                <w:szCs w:val="21"/>
              </w:rPr>
            </w:pPr>
          </w:p>
        </w:tc>
        <w:tc>
          <w:tcPr>
            <w:tcW w:w="2520"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废脱硫剂</w:t>
            </w:r>
          </w:p>
        </w:tc>
        <w:tc>
          <w:tcPr>
            <w:tcW w:w="8507" w:type="dxa"/>
            <w:gridSpan w:val="6"/>
            <w:vAlign w:val="center"/>
          </w:tcPr>
          <w:p>
            <w:pPr>
              <w:jc w:val="center"/>
              <w:rPr>
                <w:rFonts w:hint="default" w:ascii="Times New Roman" w:hAnsi="Times New Roman" w:cs="Times New Roman"/>
                <w:szCs w:val="21"/>
              </w:rPr>
            </w:pPr>
            <w:r>
              <w:rPr>
                <w:rFonts w:hint="default" w:ascii="Times New Roman" w:hAnsi="Times New Roman" w:cs="Times New Roman"/>
                <w:szCs w:val="21"/>
              </w:rPr>
              <w:t>沼气脱硫装置中失去活性的废脱硫剂由生产厂家统一回收处置</w:t>
            </w:r>
          </w:p>
        </w:tc>
        <w:tc>
          <w:tcPr>
            <w:tcW w:w="3163"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不得遗洒或自行处置，确保不产生二次污染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jc w:val="center"/>
              <w:rPr>
                <w:rFonts w:hint="default" w:ascii="Times New Roman" w:hAnsi="Times New Roman" w:cs="Times New Roman"/>
                <w:szCs w:val="21"/>
              </w:rPr>
            </w:pPr>
          </w:p>
        </w:tc>
        <w:tc>
          <w:tcPr>
            <w:tcW w:w="2520" w:type="dxa"/>
            <w:gridSpan w:val="2"/>
            <w:vAlign w:val="center"/>
          </w:tcPr>
          <w:p>
            <w:pPr>
              <w:jc w:val="center"/>
              <w:rPr>
                <w:rFonts w:hint="default" w:ascii="Times New Roman" w:hAnsi="Times New Roman" w:cs="Times New Roman"/>
                <w:szCs w:val="21"/>
              </w:rPr>
            </w:pPr>
            <w:r>
              <w:rPr>
                <w:rFonts w:ascii="Times New Roman" w:hAnsi="Times New Roman"/>
                <w:sz w:val="21"/>
                <w:szCs w:val="21"/>
              </w:rPr>
              <w:t>臭气治理系统废弃生物填料</w:t>
            </w:r>
          </w:p>
        </w:tc>
        <w:tc>
          <w:tcPr>
            <w:tcW w:w="8507" w:type="dxa"/>
            <w:gridSpan w:val="6"/>
            <w:vAlign w:val="center"/>
          </w:tcPr>
          <w:p>
            <w:pPr>
              <w:jc w:val="center"/>
              <w:rPr>
                <w:rFonts w:hint="default" w:ascii="Times New Roman" w:hAnsi="Times New Roman" w:cs="Times New Roman"/>
                <w:szCs w:val="21"/>
              </w:rPr>
            </w:pPr>
            <w:r>
              <w:rPr>
                <w:rFonts w:ascii="Times New Roman" w:hAnsi="Times New Roman"/>
                <w:kern w:val="0"/>
                <w:sz w:val="21"/>
                <w:szCs w:val="21"/>
              </w:rPr>
              <w:t>脱水后经填料生产厂家统一回收</w:t>
            </w:r>
          </w:p>
        </w:tc>
        <w:tc>
          <w:tcPr>
            <w:tcW w:w="3163"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不得遗洒或自行处置，确保不产生二次污染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jc w:val="center"/>
              <w:rPr>
                <w:rFonts w:hint="default" w:ascii="Times New Roman" w:hAnsi="Times New Roman" w:cs="Times New Roman"/>
                <w:szCs w:val="21"/>
              </w:rPr>
            </w:pPr>
          </w:p>
        </w:tc>
        <w:tc>
          <w:tcPr>
            <w:tcW w:w="2520"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猪粪及污水处理站栅渣和污泥</w:t>
            </w:r>
          </w:p>
        </w:tc>
        <w:tc>
          <w:tcPr>
            <w:tcW w:w="8507" w:type="dxa"/>
            <w:gridSpan w:val="6"/>
            <w:vAlign w:val="center"/>
          </w:tcPr>
          <w:p>
            <w:pPr>
              <w:jc w:val="center"/>
              <w:rPr>
                <w:rFonts w:hint="default" w:ascii="Times New Roman" w:hAnsi="Times New Roman" w:cs="Times New Roman"/>
                <w:szCs w:val="21"/>
              </w:rPr>
            </w:pPr>
            <w:r>
              <w:rPr>
                <w:rFonts w:hint="default" w:ascii="Times New Roman" w:hAnsi="Times New Roman" w:cs="Times New Roman"/>
                <w:szCs w:val="21"/>
              </w:rPr>
              <w:t>栅渣和污泥收集后和猪粪一起外售给夹江县果香四季家庭农场制作有机肥</w:t>
            </w:r>
          </w:p>
        </w:tc>
        <w:tc>
          <w:tcPr>
            <w:tcW w:w="3163" w:type="dxa"/>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定期清理，确保不产生二次污染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噪声</w:t>
            </w:r>
          </w:p>
        </w:tc>
        <w:tc>
          <w:tcPr>
            <w:tcW w:w="2520"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养殖舍</w:t>
            </w:r>
          </w:p>
        </w:tc>
        <w:tc>
          <w:tcPr>
            <w:tcW w:w="8507" w:type="dxa"/>
            <w:gridSpan w:val="6"/>
            <w:vAlign w:val="center"/>
          </w:tcPr>
          <w:p>
            <w:pPr>
              <w:pStyle w:val="12"/>
              <w:spacing w:after="0"/>
              <w:jc w:val="center"/>
              <w:outlineLvl w:val="0"/>
              <w:rPr>
                <w:rFonts w:hint="default" w:ascii="Times New Roman" w:hAnsi="Times New Roman" w:cs="Times New Roman"/>
                <w:szCs w:val="21"/>
              </w:rPr>
            </w:pPr>
            <w:bookmarkStart w:id="200" w:name="_Toc5023580"/>
            <w:bookmarkStart w:id="201" w:name="_Toc7338"/>
            <w:bookmarkStart w:id="202" w:name="_Toc26119"/>
            <w:r>
              <w:rPr>
                <w:rFonts w:hint="default" w:ascii="Times New Roman" w:hAnsi="Times New Roman" w:cs="Times New Roman"/>
                <w:szCs w:val="21"/>
              </w:rPr>
              <w:t>按时足量饲喂，建筑隔音、减少猪群突发性噪声</w:t>
            </w:r>
            <w:bookmarkEnd w:id="200"/>
            <w:bookmarkEnd w:id="201"/>
            <w:bookmarkEnd w:id="202"/>
          </w:p>
        </w:tc>
        <w:tc>
          <w:tcPr>
            <w:tcW w:w="3163" w:type="dxa"/>
            <w:vMerge w:val="restart"/>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场界满足《工业企业厂界环境噪声排放标准》（GB12348-2008）2类排放限值要求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jc w:val="center"/>
              <w:rPr>
                <w:rFonts w:hint="default" w:ascii="Times New Roman" w:hAnsi="Times New Roman" w:cs="Times New Roman"/>
                <w:szCs w:val="21"/>
              </w:rPr>
            </w:pPr>
          </w:p>
        </w:tc>
        <w:tc>
          <w:tcPr>
            <w:tcW w:w="2520"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水泵</w:t>
            </w:r>
          </w:p>
        </w:tc>
        <w:tc>
          <w:tcPr>
            <w:tcW w:w="8507" w:type="dxa"/>
            <w:gridSpan w:val="6"/>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建筑隔声、减振安装、加强水泵维修、保养</w:t>
            </w:r>
          </w:p>
        </w:tc>
        <w:tc>
          <w:tcPr>
            <w:tcW w:w="3163" w:type="dxa"/>
            <w:vMerge w:val="continue"/>
            <w:vAlign w:val="center"/>
          </w:tcPr>
          <w:p>
            <w:pPr>
              <w:adjustRightInd w:val="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jc w:val="center"/>
              <w:rPr>
                <w:rFonts w:hint="default" w:ascii="Times New Roman" w:hAnsi="Times New Roman" w:cs="Times New Roman"/>
                <w:szCs w:val="21"/>
              </w:rPr>
            </w:pPr>
          </w:p>
        </w:tc>
        <w:tc>
          <w:tcPr>
            <w:tcW w:w="2520"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排风扇</w:t>
            </w:r>
          </w:p>
        </w:tc>
        <w:tc>
          <w:tcPr>
            <w:tcW w:w="8507" w:type="dxa"/>
            <w:gridSpan w:val="6"/>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建筑隔声、减振安装、风机作消声处置、加强排风扇维修保养等</w:t>
            </w:r>
          </w:p>
        </w:tc>
        <w:tc>
          <w:tcPr>
            <w:tcW w:w="3163" w:type="dxa"/>
            <w:vMerge w:val="continue"/>
            <w:vAlign w:val="center"/>
          </w:tcPr>
          <w:p>
            <w:pPr>
              <w:adjustRightInd w:val="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jc w:val="center"/>
              <w:rPr>
                <w:rFonts w:hint="default" w:ascii="Times New Roman" w:hAnsi="Times New Roman" w:cs="Times New Roman"/>
                <w:szCs w:val="21"/>
              </w:rPr>
            </w:pPr>
          </w:p>
        </w:tc>
        <w:tc>
          <w:tcPr>
            <w:tcW w:w="2520"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备用发电机房</w:t>
            </w:r>
          </w:p>
        </w:tc>
        <w:tc>
          <w:tcPr>
            <w:tcW w:w="8507" w:type="dxa"/>
            <w:gridSpan w:val="6"/>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减振安装、厂房隔声等</w:t>
            </w:r>
          </w:p>
        </w:tc>
        <w:tc>
          <w:tcPr>
            <w:tcW w:w="3163" w:type="dxa"/>
            <w:vMerge w:val="continue"/>
            <w:vAlign w:val="center"/>
          </w:tcPr>
          <w:p>
            <w:pPr>
              <w:adjustRightInd w:val="0"/>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Merge w:val="continue"/>
            <w:vAlign w:val="center"/>
          </w:tcPr>
          <w:p>
            <w:pPr>
              <w:adjustRightInd w:val="0"/>
              <w:jc w:val="center"/>
              <w:rPr>
                <w:rFonts w:hint="default" w:ascii="Times New Roman" w:hAnsi="Times New Roman" w:cs="Times New Roman"/>
                <w:szCs w:val="21"/>
              </w:rPr>
            </w:pPr>
          </w:p>
        </w:tc>
        <w:tc>
          <w:tcPr>
            <w:tcW w:w="2520"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污水处理设施</w:t>
            </w:r>
          </w:p>
        </w:tc>
        <w:tc>
          <w:tcPr>
            <w:tcW w:w="8507" w:type="dxa"/>
            <w:gridSpan w:val="6"/>
            <w:vAlign w:val="center"/>
          </w:tcPr>
          <w:p>
            <w:pPr>
              <w:adjustRightInd w:val="0"/>
              <w:jc w:val="center"/>
              <w:rPr>
                <w:rFonts w:hint="default" w:ascii="Times New Roman" w:hAnsi="Times New Roman" w:cs="Times New Roman"/>
                <w:szCs w:val="21"/>
              </w:rPr>
            </w:pPr>
            <w:r>
              <w:rPr>
                <w:rFonts w:hint="default" w:ascii="Times New Roman" w:hAnsi="Times New Roman" w:cs="Times New Roman"/>
                <w:szCs w:val="21"/>
              </w:rPr>
              <w:t>建筑隔声、减振安装、加强设备维修保养</w:t>
            </w:r>
          </w:p>
        </w:tc>
        <w:tc>
          <w:tcPr>
            <w:tcW w:w="3163" w:type="dxa"/>
            <w:vMerge w:val="continue"/>
            <w:vAlign w:val="center"/>
          </w:tcPr>
          <w:p>
            <w:pPr>
              <w:adjustRightInd w:val="0"/>
              <w:jc w:val="center"/>
              <w:rPr>
                <w:rFonts w:hint="default" w:ascii="Times New Roman" w:hAnsi="Times New Roman" w:cs="Times New Roman"/>
                <w:szCs w:val="21"/>
              </w:rPr>
            </w:pPr>
          </w:p>
        </w:tc>
      </w:tr>
    </w:tbl>
    <w:p>
      <w:pPr>
        <w:pStyle w:val="12"/>
        <w:spacing w:after="0" w:line="360" w:lineRule="auto"/>
        <w:ind w:firstLine="480"/>
        <w:jc w:val="left"/>
        <w:rPr>
          <w:rFonts w:hint="default" w:ascii="Times New Roman" w:hAnsi="Times New Roman" w:cs="Times New Roman"/>
          <w:sz w:val="24"/>
          <w:szCs w:val="24"/>
        </w:rPr>
        <w:sectPr>
          <w:pgSz w:w="16840" w:h="11907" w:orient="landscape"/>
          <w:pgMar w:top="1276" w:right="940" w:bottom="1134" w:left="900" w:header="567" w:footer="851"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tabs>
          <w:tab w:val="left" w:pos="340"/>
        </w:tabs>
        <w:kinsoku/>
        <w:wordWrap/>
        <w:overflowPunct/>
        <w:topLinePunct w:val="0"/>
        <w:autoSpaceDE/>
        <w:autoSpaceDN/>
        <w:bidi w:val="0"/>
        <w:adjustRightInd w:val="0"/>
        <w:snapToGrid w:val="0"/>
        <w:spacing w:before="0" w:beforeLines="100" w:line="360" w:lineRule="auto"/>
        <w:jc w:val="center"/>
        <w:textAlignment w:val="auto"/>
        <w:outlineLvl w:val="0"/>
        <w:rPr>
          <w:rFonts w:hint="default" w:ascii="Times New Roman" w:hAnsi="Times New Roman" w:cs="Times New Roman"/>
          <w:sz w:val="44"/>
          <w:szCs w:val="44"/>
        </w:rPr>
      </w:pPr>
      <w:bookmarkStart w:id="203" w:name="_Toc3933"/>
      <w:r>
        <w:rPr>
          <w:rFonts w:hint="default" w:ascii="Times New Roman" w:hAnsi="Times New Roman" w:cs="Times New Roman"/>
          <w:b/>
          <w:bCs/>
          <w:sz w:val="44"/>
          <w:szCs w:val="44"/>
        </w:rPr>
        <w:t>第四章 区域环境概况</w:t>
      </w:r>
      <w:bookmarkEnd w:id="203"/>
    </w:p>
    <w:bookmarkEnd w:id="194"/>
    <w:p>
      <w:pPr>
        <w:pStyle w:val="4"/>
        <w:spacing w:before="0" w:after="0" w:line="360" w:lineRule="auto"/>
        <w:rPr>
          <w:rFonts w:hint="default" w:ascii="Times New Roman" w:hAnsi="Times New Roman" w:cs="Times New Roman"/>
          <w:sz w:val="28"/>
          <w:szCs w:val="28"/>
        </w:rPr>
      </w:pPr>
      <w:bookmarkStart w:id="204" w:name="_Toc28397"/>
      <w:bookmarkStart w:id="205" w:name="_Toc468733221"/>
      <w:bookmarkStart w:id="206" w:name="_Toc468733047"/>
      <w:bookmarkStart w:id="207" w:name="_Toc28804"/>
      <w:bookmarkStart w:id="208" w:name="_Toc488952619"/>
      <w:r>
        <w:rPr>
          <w:rFonts w:hint="default" w:ascii="Times New Roman" w:hAnsi="Times New Roman" w:cs="Times New Roman"/>
          <w:sz w:val="28"/>
          <w:szCs w:val="28"/>
        </w:rPr>
        <w:t>4.1 自然环境概况</w:t>
      </w:r>
      <w:bookmarkEnd w:id="204"/>
      <w:bookmarkEnd w:id="205"/>
      <w:bookmarkEnd w:id="206"/>
      <w:bookmarkEnd w:id="207"/>
      <w:bookmarkEnd w:id="208"/>
    </w:p>
    <w:p>
      <w:pPr>
        <w:pStyle w:val="5"/>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4.1.1 地理位置</w:t>
      </w:r>
    </w:p>
    <w:p>
      <w:pPr>
        <w:keepNext/>
        <w:keepLines/>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夹江县，中国西部瓷都，地处川西平原的西南边缘，成都一小时经济圈。乐山市的腹心，青衣江的下游，是彭（山）、眉（山）、夹（江）缓岗平坝向峨眉山中山区过度地带，天府明珠乐山市北大门，南临乐山大佛，西傍峨眉仙山，北街东坡故里，距省府成都仅一百三十公里，据成乐高速要塞，扼成昆铁路之咽喉，得青衣江水道之便利，路当孔道，水路交横。</w:t>
      </w:r>
    </w:p>
    <w:p>
      <w:pPr>
        <w:keepNext/>
        <w:keepLines/>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本项目位于夹江县三洞镇周冲村6社。项目地理位置见附图1，外环境关系见附图3。</w:t>
      </w:r>
    </w:p>
    <w:p>
      <w:pPr>
        <w:pStyle w:val="5"/>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4.1.2 地形地貌</w:t>
      </w:r>
    </w:p>
    <w:p>
      <w:pPr>
        <w:spacing w:line="360" w:lineRule="auto"/>
        <w:ind w:right="122" w:rightChars="58"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夹江县位于四川省西南部，全境东西长43.7km，南北宽33.5km，面积748.47km。其所处大地构造位置，在川西前陆盆地之南部。地质构造上具有明显的东西向分区特点： 西部广泛出露中生代地层，以褶皱断为特征；中部广泛分布新生代第四系沉积，以向斜槽地为特征；南东部边缘在龙泉山褶皱的北西部，以单斜白垩纪地层为主。区域构造走向以北东——南西向为主，西部局部为南北向。由西向东主要褶皱构造有歇马场向斜、牛背山倾伏背斜、南安向斜、三苏背斜、思蒙——峨眉新生代向斜槽地、龙泉山背斜；在思蒙——峨眉间，承继燕山运动所形成的断褶向斜沉降带，继续坳陷，接受了大量第四纪沉积物，成为区内唯一沉降深、厚度大的平原。主要断裂构造有灰厂沟逆断层、欧大山—老黄坡逆冲断层、白马场逆冲断层、千佛岩逆冲断层。</w:t>
      </w:r>
    </w:p>
    <w:p>
      <w:pPr>
        <w:spacing w:line="360" w:lineRule="auto"/>
        <w:ind w:right="122" w:rightChars="58"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夹江县近代河流冲洪积层形成一、二级阶地和雅安期冰碛层、冰水沉积层组成的三、四级阶地覆盖了县境东半部。近代河流冲洪积层占全县面积的24.2%。按成因分可分为冲积型和冲积洪积型,其中第四系近代河流冲积层，分布在青衣江及其支流与金牛河沿岸两侧的河漫滩及一级阶地，上部为0 5~2m泥质粉砂岩、砂质黏土；下部为2~ 10m砂层和砂砾石层。第四系代冲积洪积层，分布在青衣江流域平坝的二级阶地，组成一系列的冲积扇群。上部为厚1~ 5m黄褐色或深褐色砂质黏土、黏质砂土、淤泥质砂土；下部厚0~ 20m，为砂、含砂砾层、卵石层或与黏土交错成层。第四系雅安期冰碛层、冰水沉积层占全县面积的26%。台地表部是橙黄色泥、砾石层, 厚7~48.9m，下部为橙黄色、棕黄色与带红色的强风化泥砾层,结构紧密，局部呈半胶结状，偶见1m厚的漂石。夹江县西半部主要为红层覆盖，以白垩系灌口组砖红色泥岩和夹关组中至巨厚层砂岩为主。灌口组上组主要分布在西部低山、深丘地带, 由鲜棕红色泥岩、页岩、砂质泥岩、浅灰色泥灰岩、紫灰色泥灰质页岩及墨褐色页岩组成互层；灌口组下组，下部以鲜棕红色泥岩及页岩为主，中部有泥岩、页岩、粉砂岩及泥质砂岩互层，上部以棕红色泥岩为主夹多层石膏。夹关组以砖红色、土红色铁质、钙质细——中粒厚层至巨厚层石英砂岩为主。另外，西部山区还分布有以红色砂泥岩为主的侏罗系和棕黄色顶部含薄层煤的三叠系须家河组河流相地层。其中：侏罗--- 白垩纪地层中发育的黏土岩、页岩是制作陶器的良好材料；夹关组红色风成石英砂岩是千佛岩摩崖石刻的基岩，乐山大佛就是雕刻在该层位的砂岩之上。</w:t>
      </w:r>
    </w:p>
    <w:p>
      <w:pPr>
        <w:spacing w:line="360" w:lineRule="auto"/>
        <w:ind w:right="122" w:rightChars="58"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全县从地貌上可划分为三个部分：大旗山以西为山地，海拔1000m以上的山多集结于此，主山为峨眉山余脉，山高坡陡、沟谷深切，山脉呈树枝状分布，谷岭高差100~700m，最高峰尖峰山海拔1463.1m，为全县最高点。中部由青衣江自西北向东南斜贯全境，长达33km，沿江均为第四纪冲积层所形成的河漫滩和谷地，地势平坦，甘露乡青衣江出境处海拔380m，是全县最低处。东部广泛分布着丘陵和台地，丘陵面积1.51万hm，占全县面积的20.22%，主要分布在县境中部的中兴向斜和任山背斜两翼及东部台地边缘；台地面积0.98万hm，占全县面积的13.03%，分布在县境东北部。</w:t>
      </w:r>
    </w:p>
    <w:p>
      <w:pPr>
        <w:pStyle w:val="5"/>
        <w:spacing w:before="0" w:after="0" w:line="360" w:lineRule="auto"/>
        <w:ind w:firstLine="482" w:firstLineChars="200"/>
        <w:rPr>
          <w:rFonts w:hint="default" w:ascii="Times New Roman" w:hAnsi="Times New Roman" w:cs="Times New Roman"/>
          <w:sz w:val="24"/>
          <w:szCs w:val="24"/>
        </w:rPr>
      </w:pPr>
      <w:bookmarkStart w:id="209" w:name="_Toc489290403"/>
      <w:r>
        <w:rPr>
          <w:rFonts w:hint="default" w:ascii="Times New Roman" w:hAnsi="Times New Roman" w:cs="Times New Roman"/>
          <w:sz w:val="24"/>
          <w:szCs w:val="24"/>
        </w:rPr>
        <w:t>4.1.3  气候、气象</w:t>
      </w:r>
      <w:bookmarkEnd w:id="209"/>
    </w:p>
    <w:p>
      <w:pPr>
        <w:spacing w:line="360" w:lineRule="auto"/>
        <w:ind w:right="122" w:rightChars="58"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夹江县属中亚热带湿润气候区，四季分明，具有明显的季风气候特征。</w:t>
      </w:r>
    </w:p>
    <w:p>
      <w:pPr>
        <w:spacing w:line="360" w:lineRule="auto"/>
        <w:ind w:right="122" w:rightChars="58"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全县春夏秋冬四季分明。夏季略长于冬季，分别为99天和96天。最热月是7月，基本上无酷暑。最冷月是二月，冬暖霜雪少，基本上无严冬。春秋季略短，分别为89天和81天。春季气温回暖快，但不稳定，秋季降温快有绵雨。全年无霜期长达308天。年平均气温17.0℃，年际变化不大。</w:t>
      </w:r>
    </w:p>
    <w:p>
      <w:pPr>
        <w:spacing w:line="360" w:lineRule="auto"/>
        <w:ind w:right="122" w:rightChars="58"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县境内各地气温的差异，由东南向西北，随海拔高度的增加而逐渐降低。年平均风速仅1~2米/秒，累年各月均以静风最多，西北偏北风为县内的次多风向。年雨量充沛，年降雨量1300毫米左右，年际变化大，四季分配很不均匀。年日照时数1100小时左右，县内阴天多，日照的分配也不平衡，实感光照不足，但夏季比例大，加上雨水多，对大春作物很有利。</w:t>
      </w:r>
    </w:p>
    <w:p>
      <w:pPr>
        <w:pStyle w:val="5"/>
        <w:spacing w:before="0" w:after="0" w:line="360" w:lineRule="auto"/>
        <w:ind w:firstLine="482" w:firstLineChars="200"/>
        <w:rPr>
          <w:rFonts w:hint="default" w:ascii="Times New Roman" w:hAnsi="Times New Roman" w:cs="Times New Roman"/>
          <w:sz w:val="24"/>
          <w:szCs w:val="24"/>
        </w:rPr>
      </w:pPr>
      <w:bookmarkStart w:id="210" w:name="_Toc489290404"/>
      <w:r>
        <w:rPr>
          <w:rFonts w:hint="default" w:ascii="Times New Roman" w:hAnsi="Times New Roman" w:cs="Times New Roman"/>
          <w:sz w:val="24"/>
          <w:szCs w:val="24"/>
        </w:rPr>
        <w:t>4.1.4 地表水文</w:t>
      </w:r>
      <w:bookmarkEnd w:id="210"/>
    </w:p>
    <w:p>
      <w:pPr>
        <w:spacing w:line="360" w:lineRule="auto"/>
        <w:ind w:right="122" w:rightChars="58"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夹江县境内溪流纵横，水系发达。主要河流有青衣江、金牛河、马村河贯穿全境，有马村、东风等十几座中小型水库，年平均径流总量63290.9立方米。水资源充足。</w:t>
      </w:r>
    </w:p>
    <w:p>
      <w:pPr>
        <w:spacing w:line="360" w:lineRule="auto"/>
        <w:ind w:right="122" w:rightChars="58"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项目东侧约850m有金牛河，水体功能主要为灌溉。项目区地表水系图见附图7。</w:t>
      </w:r>
    </w:p>
    <w:p>
      <w:pPr>
        <w:pStyle w:val="5"/>
        <w:spacing w:before="0" w:after="0" w:line="360" w:lineRule="auto"/>
        <w:ind w:firstLine="482" w:firstLineChars="200"/>
        <w:rPr>
          <w:rFonts w:hint="default" w:ascii="Times New Roman" w:hAnsi="Times New Roman" w:cs="Times New Roman"/>
          <w:sz w:val="24"/>
          <w:szCs w:val="24"/>
        </w:rPr>
      </w:pPr>
      <w:bookmarkStart w:id="211" w:name="_Toc489290405"/>
      <w:r>
        <w:rPr>
          <w:rFonts w:hint="default" w:ascii="Times New Roman" w:hAnsi="Times New Roman" w:cs="Times New Roman"/>
          <w:sz w:val="24"/>
          <w:szCs w:val="24"/>
        </w:rPr>
        <w:t>4.1.5 自然资源</w:t>
      </w:r>
      <w:bookmarkEnd w:id="211"/>
    </w:p>
    <w:p>
      <w:pPr>
        <w:spacing w:line="360" w:lineRule="auto"/>
        <w:ind w:right="122" w:rightChars="58"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土地优势：现有几千亩国有存量土地可供投资者开发使用。</w:t>
      </w:r>
    </w:p>
    <w:p>
      <w:pPr>
        <w:spacing w:line="360" w:lineRule="auto"/>
        <w:ind w:right="122" w:rightChars="58"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矿产优势：红坯、白坯原料储量大，品位好，可保证陶瓷工业开采上百年生产需要。</w:t>
      </w:r>
    </w:p>
    <w:p>
      <w:pPr>
        <w:spacing w:line="360" w:lineRule="auto"/>
        <w:ind w:right="122" w:rightChars="58"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水资源优势：青衣江、金牛河、马村河贯穿夹江全境，有马村、东风等十几座中小型水库，年平均泾流总量63290.9m3。</w:t>
      </w:r>
    </w:p>
    <w:p>
      <w:pPr>
        <w:spacing w:line="360" w:lineRule="auto"/>
        <w:ind w:right="122" w:rightChars="58"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通讯优势：夹江通讯发达。SDH传输交换机总容量达4万线，光纤传输、程控电话、移动通讯覆盖全县各乡镇，宽带网络覆盖城区。</w:t>
      </w:r>
    </w:p>
    <w:p>
      <w:pPr>
        <w:spacing w:line="360" w:lineRule="auto"/>
        <w:ind w:right="122" w:rightChars="58" w:firstLine="480" w:firstLineChars="200"/>
        <w:rPr>
          <w:rFonts w:hint="default" w:ascii="Times New Roman" w:hAnsi="Times New Roman" w:cs="Times New Roman"/>
          <w:snapToGrid w:val="0"/>
          <w:kern w:val="0"/>
          <w:sz w:val="24"/>
          <w:szCs w:val="24"/>
        </w:rPr>
      </w:pPr>
      <w:bookmarkStart w:id="212" w:name="_Toc489290406"/>
      <w:r>
        <w:rPr>
          <w:rFonts w:hint="default" w:ascii="Times New Roman" w:hAnsi="Times New Roman" w:cs="Times New Roman"/>
          <w:snapToGrid w:val="0"/>
          <w:kern w:val="0"/>
          <w:sz w:val="24"/>
          <w:szCs w:val="24"/>
        </w:rPr>
        <w:t>能源优势：夹江能源充足。由四川电力局、乐山电力公司共同供电，有110KV变电站4座、35KV变电站11座。建成丹棱至夹江、眉山至夹江的天然气输送管线，有气站7个，日供气量250万m</w:t>
      </w:r>
      <w:r>
        <w:rPr>
          <w:rFonts w:hint="default" w:ascii="Times New Roman" w:hAnsi="Times New Roman" w:cs="Times New Roman"/>
          <w:snapToGrid w:val="0"/>
          <w:kern w:val="0"/>
          <w:sz w:val="24"/>
          <w:szCs w:val="24"/>
          <w:vertAlign w:val="superscript"/>
        </w:rPr>
        <w:t>3</w:t>
      </w:r>
      <w:r>
        <w:rPr>
          <w:rFonts w:hint="default" w:ascii="Times New Roman" w:hAnsi="Times New Roman" w:cs="Times New Roman"/>
          <w:snapToGrid w:val="0"/>
          <w:kern w:val="0"/>
          <w:sz w:val="24"/>
          <w:szCs w:val="24"/>
        </w:rPr>
        <w:t>。</w:t>
      </w:r>
      <w:bookmarkEnd w:id="212"/>
    </w:p>
    <w:p>
      <w:pPr>
        <w:spacing w:line="360" w:lineRule="auto"/>
        <w:ind w:right="122" w:rightChars="58"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经调查，评价区域内无自然保护区、无列入国家及地方保护名录的珍惜濒危动植物分布。</w:t>
      </w:r>
    </w:p>
    <w:p>
      <w:pPr>
        <w:pStyle w:val="4"/>
        <w:spacing w:before="0" w:after="0" w:line="360" w:lineRule="auto"/>
        <w:rPr>
          <w:rFonts w:hint="default" w:ascii="Times New Roman" w:hAnsi="Times New Roman" w:cs="Times New Roman"/>
          <w:sz w:val="28"/>
          <w:szCs w:val="28"/>
        </w:rPr>
      </w:pPr>
      <w:bookmarkStart w:id="213" w:name="_Toc511809604"/>
      <w:bookmarkStart w:id="214" w:name="_Toc5023525"/>
      <w:bookmarkStart w:id="215" w:name="_Toc24178"/>
      <w:r>
        <w:rPr>
          <w:rFonts w:hint="default" w:ascii="Times New Roman" w:hAnsi="Times New Roman" w:cs="Times New Roman"/>
          <w:sz w:val="28"/>
          <w:szCs w:val="28"/>
        </w:rPr>
        <w:t>4.2 环境质量现状调查与评价</w:t>
      </w:r>
      <w:bookmarkEnd w:id="213"/>
      <w:bookmarkEnd w:id="214"/>
      <w:bookmarkEnd w:id="215"/>
    </w:p>
    <w:p>
      <w:pPr>
        <w:spacing w:line="360" w:lineRule="auto"/>
        <w:ind w:right="122" w:rightChars="58" w:firstLine="480" w:firstLineChars="200"/>
        <w:rPr>
          <w:rFonts w:hint="default" w:ascii="Times New Roman" w:hAnsi="Times New Roman" w:cs="Times New Roman"/>
          <w:color w:val="000000"/>
          <w:sz w:val="24"/>
          <w:szCs w:val="24"/>
        </w:rPr>
      </w:pPr>
      <w:bookmarkStart w:id="216" w:name="_Toc1812"/>
      <w:bookmarkStart w:id="217" w:name="_Toc375206179"/>
      <w:bookmarkStart w:id="218" w:name="_Toc375206177"/>
      <w:r>
        <w:rPr>
          <w:rFonts w:hint="default" w:ascii="Times New Roman" w:hAnsi="Times New Roman" w:cs="Times New Roman"/>
          <w:color w:val="000000"/>
          <w:sz w:val="24"/>
          <w:szCs w:val="24"/>
        </w:rPr>
        <w:t>为了解项目所在区域环境质量现状，建设单位委托四川锡水金山环保科技有限公司对本项目所在区域大气环境、地表水环境、地下水环境</w:t>
      </w:r>
      <w:r>
        <w:rPr>
          <w:rFonts w:hint="default" w:ascii="Times New Roman" w:hAnsi="Times New Roman" w:cs="Times New Roman"/>
          <w:color w:val="000000"/>
          <w:sz w:val="24"/>
          <w:szCs w:val="24"/>
          <w:lang w:eastAsia="zh-CN"/>
        </w:rPr>
        <w:t>、土壤环境</w:t>
      </w:r>
      <w:r>
        <w:rPr>
          <w:rFonts w:hint="default" w:ascii="Times New Roman" w:hAnsi="Times New Roman" w:cs="Times New Roman"/>
          <w:color w:val="000000"/>
          <w:sz w:val="24"/>
          <w:szCs w:val="24"/>
        </w:rPr>
        <w:t>和声环境质量进行监测，监测情况如下：</w:t>
      </w:r>
    </w:p>
    <w:p>
      <w:pPr>
        <w:pStyle w:val="5"/>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4.2.1 环境空气质量现状调查与评价</w:t>
      </w:r>
      <w:bookmarkEnd w:id="216"/>
      <w:bookmarkEnd w:id="217"/>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根据《环境影响评价技术导则 大气环境》（HJ2.2-2018），二级评价项目环境空气质量现状调查内容：①调查项目所在区域环境质量达标情况；②调查评价范围内有环境质量标准的评价因子的环境质量监测数据或进行补充监测，用于评价项目所在区域污染物环境质量现状。</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项目引用2017年乐山市环境质量统计结果，并委托四川锡水金山环保科技有限公司于2018年11月23日~201</w:t>
      </w:r>
      <w:r>
        <w:rPr>
          <w:rFonts w:hint="default" w:ascii="Times New Roman" w:hAnsi="Times New Roman" w:cs="Times New Roman"/>
          <w:color w:val="000000"/>
          <w:sz w:val="24"/>
          <w:szCs w:val="24"/>
          <w:lang w:val="en-US" w:eastAsia="zh-CN"/>
        </w:rPr>
        <w:t>8</w:t>
      </w:r>
      <w:r>
        <w:rPr>
          <w:rFonts w:hint="default" w:ascii="Times New Roman" w:hAnsi="Times New Roman" w:cs="Times New Roman"/>
          <w:color w:val="000000"/>
          <w:sz w:val="24"/>
          <w:szCs w:val="24"/>
        </w:rPr>
        <w:t>年</w:t>
      </w:r>
      <w:r>
        <w:rPr>
          <w:rFonts w:hint="default" w:ascii="Times New Roman" w:hAnsi="Times New Roman" w:cs="Times New Roman"/>
          <w:color w:val="000000"/>
          <w:sz w:val="24"/>
          <w:szCs w:val="24"/>
          <w:lang w:val="en-US" w:eastAsia="zh-CN"/>
        </w:rPr>
        <w:t>11</w:t>
      </w:r>
      <w:r>
        <w:rPr>
          <w:rFonts w:hint="default" w:ascii="Times New Roman" w:hAnsi="Times New Roman" w:cs="Times New Roman"/>
          <w:color w:val="000000"/>
          <w:sz w:val="24"/>
          <w:szCs w:val="24"/>
        </w:rPr>
        <w:t>月</w:t>
      </w:r>
      <w:r>
        <w:rPr>
          <w:rFonts w:hint="default" w:ascii="Times New Roman" w:hAnsi="Times New Roman" w:cs="Times New Roman"/>
          <w:color w:val="000000"/>
          <w:sz w:val="24"/>
          <w:szCs w:val="24"/>
          <w:lang w:val="en-US" w:eastAsia="zh-CN"/>
        </w:rPr>
        <w:t>29</w:t>
      </w:r>
      <w:r>
        <w:rPr>
          <w:rFonts w:hint="default" w:ascii="Times New Roman" w:hAnsi="Times New Roman" w:cs="Times New Roman"/>
          <w:color w:val="000000"/>
          <w:sz w:val="24"/>
          <w:szCs w:val="24"/>
        </w:rPr>
        <w:t>日对该项目大气特征因子进行了现状监测，具体如下：</w:t>
      </w:r>
    </w:p>
    <w:p>
      <w:pPr>
        <w:pStyle w:val="6"/>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4.2.1.1 环境质量数据统计</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根据2017年乐山市环境质量公报数据，全市11个县（区、市）环境空气质量总体达标天数比例为75.2%，其中优占18.3%，良占56.8%；总体污染天数比例为24.8%，其中轻度污染占16.8%，中度污染占4.1%，重度污染占3.4%，严重污染占0.4%，同比优良天数上升18.9%。全市11个县（区、市）出现首要污染物平均天数为296天，其中，细颗粒物（PM2.5）、可吸入颗粒物（PM10）、臭氧（O3）作为首要污染物的比例分别为57.1%、17.5%、25.0%。</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全市11个县（区、市）所在地二氧化硫平均浓度为16.2</w:t>
      </w:r>
      <w:r>
        <w:rPr>
          <w:rFonts w:hint="default" w:ascii="Times New Roman" w:hAnsi="Times New Roman" w:cs="Times New Roman"/>
          <w:bCs/>
          <w:sz w:val="24"/>
          <w:lang w:val="en-US" w:eastAsia="zh-CN"/>
        </w:rPr>
        <w:t>u</w:t>
      </w:r>
      <w:r>
        <w:rPr>
          <w:rFonts w:hint="default" w:ascii="Times New Roman" w:hAnsi="Times New Roman" w:cs="Times New Roman"/>
          <w:bCs/>
          <w:sz w:val="24"/>
        </w:rPr>
        <w:t>g/m</w:t>
      </w:r>
      <w:r>
        <w:rPr>
          <w:rFonts w:hint="default" w:ascii="Times New Roman" w:hAnsi="Times New Roman" w:cs="Times New Roman"/>
          <w:bCs/>
          <w:sz w:val="24"/>
          <w:vertAlign w:val="superscript"/>
        </w:rPr>
        <w:t>3</w:t>
      </w:r>
      <w:r>
        <w:rPr>
          <w:rFonts w:hint="default" w:ascii="Times New Roman" w:hAnsi="Times New Roman" w:cs="Times New Roman"/>
          <w:bCs/>
          <w:sz w:val="24"/>
        </w:rPr>
        <w:t>，优于国家环境空气二级标准，同比下降了15.6%；二氧化氮平均浓度为24.6</w:t>
      </w:r>
      <w:r>
        <w:rPr>
          <w:rFonts w:hint="default" w:ascii="Times New Roman" w:hAnsi="Times New Roman" w:cs="Times New Roman"/>
          <w:bCs/>
          <w:sz w:val="24"/>
          <w:lang w:val="en-US" w:eastAsia="zh-CN"/>
        </w:rPr>
        <w:t>u</w:t>
      </w:r>
      <w:r>
        <w:rPr>
          <w:rFonts w:hint="default" w:ascii="Times New Roman" w:hAnsi="Times New Roman" w:cs="Times New Roman"/>
          <w:bCs/>
          <w:sz w:val="24"/>
        </w:rPr>
        <w:t>g/m</w:t>
      </w:r>
      <w:r>
        <w:rPr>
          <w:rFonts w:hint="default" w:ascii="Times New Roman" w:hAnsi="Times New Roman" w:cs="Times New Roman"/>
          <w:bCs/>
          <w:sz w:val="24"/>
          <w:vertAlign w:val="superscript"/>
        </w:rPr>
        <w:t>3</w:t>
      </w:r>
      <w:r>
        <w:rPr>
          <w:rFonts w:hint="default" w:ascii="Times New Roman" w:hAnsi="Times New Roman" w:cs="Times New Roman"/>
          <w:bCs/>
          <w:sz w:val="24"/>
        </w:rPr>
        <w:t>，优于国家环境空气二级标准，同比下降了1.2%；臭氧第90百分位数平均浓度为129.4</w:t>
      </w:r>
      <w:r>
        <w:rPr>
          <w:rFonts w:hint="default" w:ascii="Times New Roman" w:hAnsi="Times New Roman" w:cs="Times New Roman"/>
          <w:bCs/>
          <w:sz w:val="24"/>
          <w:lang w:val="en-US" w:eastAsia="zh-CN"/>
        </w:rPr>
        <w:t>u</w:t>
      </w:r>
      <w:r>
        <w:rPr>
          <w:rFonts w:hint="default" w:ascii="Times New Roman" w:hAnsi="Times New Roman" w:cs="Times New Roman"/>
          <w:bCs/>
          <w:sz w:val="24"/>
        </w:rPr>
        <w:t>g/m</w:t>
      </w:r>
      <w:r>
        <w:rPr>
          <w:rFonts w:hint="default" w:ascii="Times New Roman" w:hAnsi="Times New Roman" w:cs="Times New Roman"/>
          <w:bCs/>
          <w:sz w:val="24"/>
          <w:vertAlign w:val="superscript"/>
        </w:rPr>
        <w:t>3</w:t>
      </w:r>
      <w:r>
        <w:rPr>
          <w:rFonts w:hint="default" w:ascii="Times New Roman" w:hAnsi="Times New Roman" w:cs="Times New Roman"/>
          <w:bCs/>
          <w:sz w:val="24"/>
        </w:rPr>
        <w:t>，同比下降了16.8%；一氧化碳第95百分位数平均浓度为1.4mg/m</w:t>
      </w:r>
      <w:r>
        <w:rPr>
          <w:rFonts w:hint="default" w:ascii="Times New Roman" w:hAnsi="Times New Roman" w:cs="Times New Roman"/>
          <w:bCs/>
          <w:sz w:val="24"/>
          <w:vertAlign w:val="superscript"/>
        </w:rPr>
        <w:t>3</w:t>
      </w:r>
      <w:r>
        <w:rPr>
          <w:rFonts w:hint="default" w:ascii="Times New Roman" w:hAnsi="Times New Roman" w:cs="Times New Roman"/>
          <w:bCs/>
          <w:sz w:val="24"/>
        </w:rPr>
        <w:t>，同比下降了6.7%；细颗粒物（PM</w:t>
      </w:r>
      <w:r>
        <w:rPr>
          <w:rFonts w:hint="default" w:ascii="Times New Roman" w:hAnsi="Times New Roman" w:cs="Times New Roman"/>
          <w:bCs/>
          <w:sz w:val="24"/>
          <w:vertAlign w:val="subscript"/>
        </w:rPr>
        <w:t>2.5</w:t>
      </w:r>
      <w:r>
        <w:rPr>
          <w:rFonts w:hint="default" w:ascii="Times New Roman" w:hAnsi="Times New Roman" w:cs="Times New Roman"/>
          <w:bCs/>
          <w:sz w:val="24"/>
        </w:rPr>
        <w:t>）平均浓度为55.3</w:t>
      </w:r>
      <w:r>
        <w:rPr>
          <w:rFonts w:hint="default" w:ascii="Times New Roman" w:hAnsi="Times New Roman" w:cs="Times New Roman"/>
          <w:bCs/>
          <w:sz w:val="24"/>
          <w:lang w:val="en-US" w:eastAsia="zh-CN"/>
        </w:rPr>
        <w:t>u</w:t>
      </w:r>
      <w:r>
        <w:rPr>
          <w:rFonts w:hint="default" w:ascii="Times New Roman" w:hAnsi="Times New Roman" w:cs="Times New Roman"/>
          <w:bCs/>
          <w:sz w:val="24"/>
        </w:rPr>
        <w:t>g/m</w:t>
      </w:r>
      <w:r>
        <w:rPr>
          <w:rFonts w:hint="default" w:ascii="Times New Roman" w:hAnsi="Times New Roman" w:cs="Times New Roman"/>
          <w:bCs/>
          <w:sz w:val="24"/>
          <w:vertAlign w:val="superscript"/>
        </w:rPr>
        <w:t>3</w:t>
      </w:r>
      <w:r>
        <w:rPr>
          <w:rFonts w:hint="default" w:ascii="Times New Roman" w:hAnsi="Times New Roman" w:cs="Times New Roman"/>
          <w:bCs/>
          <w:sz w:val="24"/>
        </w:rPr>
        <w:t>，超过国家环境空气二级标准，同比下降了10.2%；可吸入颗粒物（PM</w:t>
      </w:r>
      <w:r>
        <w:rPr>
          <w:rFonts w:hint="default" w:ascii="Times New Roman" w:hAnsi="Times New Roman" w:cs="Times New Roman"/>
          <w:bCs/>
          <w:sz w:val="24"/>
          <w:vertAlign w:val="subscript"/>
        </w:rPr>
        <w:t>10</w:t>
      </w:r>
      <w:r>
        <w:rPr>
          <w:rFonts w:hint="default" w:ascii="Times New Roman" w:hAnsi="Times New Roman" w:cs="Times New Roman"/>
          <w:bCs/>
          <w:sz w:val="24"/>
        </w:rPr>
        <w:t>）平均浓度为83.7</w:t>
      </w:r>
      <w:r>
        <w:rPr>
          <w:rFonts w:hint="default" w:ascii="Times New Roman" w:hAnsi="Times New Roman" w:cs="Times New Roman"/>
          <w:bCs/>
          <w:sz w:val="24"/>
          <w:lang w:val="en-US" w:eastAsia="zh-CN"/>
        </w:rPr>
        <w:t>u</w:t>
      </w:r>
      <w:r>
        <w:rPr>
          <w:rFonts w:hint="default" w:ascii="Times New Roman" w:hAnsi="Times New Roman" w:cs="Times New Roman"/>
          <w:bCs/>
          <w:sz w:val="24"/>
        </w:rPr>
        <w:t>g/m</w:t>
      </w:r>
      <w:r>
        <w:rPr>
          <w:rFonts w:hint="default" w:ascii="Times New Roman" w:hAnsi="Times New Roman" w:cs="Times New Roman"/>
          <w:bCs/>
          <w:sz w:val="24"/>
          <w:vertAlign w:val="superscript"/>
        </w:rPr>
        <w:t>3</w:t>
      </w:r>
      <w:r>
        <w:rPr>
          <w:rFonts w:hint="default" w:ascii="Times New Roman" w:hAnsi="Times New Roman" w:cs="Times New Roman"/>
          <w:bCs/>
          <w:sz w:val="24"/>
        </w:rPr>
        <w:t>，超过国家环境空气二级标准，同比下降了7.7%。</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综上，确定本项目所在区域为不达标区域。</w:t>
      </w:r>
    </w:p>
    <w:p>
      <w:pPr>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根据《乐山市空气质量限期达标规划</w:t>
      </w:r>
      <w:bookmarkStart w:id="219" w:name="_Toc457575539"/>
      <w:bookmarkStart w:id="220" w:name="_Toc457575671"/>
      <w:r>
        <w:rPr>
          <w:rFonts w:hint="default" w:ascii="Times New Roman" w:hAnsi="Times New Roman" w:cs="Times New Roman"/>
          <w:bCs/>
          <w:color w:val="000000"/>
          <w:sz w:val="24"/>
        </w:rPr>
        <w:t>（2017-2025）</w:t>
      </w:r>
      <w:bookmarkEnd w:id="219"/>
      <w:bookmarkEnd w:id="220"/>
      <w:r>
        <w:rPr>
          <w:rFonts w:hint="default" w:ascii="Times New Roman" w:hAnsi="Times New Roman" w:cs="Times New Roman"/>
          <w:bCs/>
          <w:color w:val="000000"/>
          <w:sz w:val="24"/>
        </w:rPr>
        <w:t>》，乐山市近期采取产业和能源结构调整措施、大气污染治理的措施等一系列措施后，在2025年底前实现空气质量6项主要污染物（二氧化硫、二氧化氮、可吸入颗粒物、细颗粒物、一氧化碳、臭氧）全面达标。</w:t>
      </w:r>
    </w:p>
    <w:p>
      <w:pPr>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本项目所在区域不达标指标PM</w:t>
      </w:r>
      <w:r>
        <w:rPr>
          <w:rFonts w:hint="default" w:ascii="Times New Roman" w:hAnsi="Times New Roman" w:cs="Times New Roman"/>
          <w:bCs/>
          <w:color w:val="000000"/>
          <w:sz w:val="24"/>
          <w:vertAlign w:val="subscript"/>
        </w:rPr>
        <w:t>10</w:t>
      </w:r>
      <w:r>
        <w:rPr>
          <w:rFonts w:hint="default" w:ascii="Times New Roman" w:hAnsi="Times New Roman" w:cs="Times New Roman"/>
          <w:bCs/>
          <w:color w:val="000000"/>
          <w:sz w:val="24"/>
        </w:rPr>
        <w:t>年平均质量浓度预期可达到小于70µg/m³的要求，PM</w:t>
      </w:r>
      <w:r>
        <w:rPr>
          <w:rFonts w:hint="default" w:ascii="Times New Roman" w:hAnsi="Times New Roman" w:cs="Times New Roman"/>
          <w:bCs/>
          <w:color w:val="000000"/>
          <w:sz w:val="24"/>
          <w:vertAlign w:val="subscript"/>
        </w:rPr>
        <w:t>2.5</w:t>
      </w:r>
      <w:r>
        <w:rPr>
          <w:rFonts w:hint="default" w:ascii="Times New Roman" w:hAnsi="Times New Roman" w:cs="Times New Roman"/>
          <w:bCs/>
          <w:color w:val="000000"/>
          <w:sz w:val="24"/>
        </w:rPr>
        <w:t>年平均质量浓度预期可达到小于35µg/m³的要求，满足《环境空气质量标准》（GB3095-2012）及其修改单中二级标准的要求。</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乐山市空气质量达标规划指标详见下表：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黑体" w:cs="Times New Roman"/>
          <w:bCs/>
          <w:color w:val="auto"/>
          <w:sz w:val="24"/>
          <w:lang w:val="en-US" w:eastAsia="zh-CN"/>
        </w:rPr>
      </w:pPr>
      <w:r>
        <w:rPr>
          <w:rFonts w:hint="default" w:ascii="Times New Roman" w:hAnsi="Times New Roman" w:eastAsia="黑体" w:cs="Times New Roman"/>
          <w:bCs/>
          <w:color w:val="auto"/>
          <w:sz w:val="24"/>
          <w:lang w:val="en-US" w:eastAsia="zh-CN"/>
        </w:rPr>
        <w:t>表4.2-1 乐山市空气质量达标规划指标</w:t>
      </w:r>
    </w:p>
    <w:tbl>
      <w:tblPr>
        <w:tblStyle w:val="33"/>
        <w:tblW w:w="88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4"/>
        <w:gridCol w:w="2240"/>
        <w:gridCol w:w="929"/>
        <w:gridCol w:w="1338"/>
        <w:gridCol w:w="1693"/>
        <w:gridCol w:w="1079"/>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29" w:hRule="atLeast"/>
          <w:jc w:val="center"/>
        </w:trPr>
        <w:tc>
          <w:tcPr>
            <w:tcW w:w="58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序号</w:t>
            </w:r>
          </w:p>
        </w:tc>
        <w:tc>
          <w:tcPr>
            <w:tcW w:w="224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环境质量指标单位：</w:t>
            </w:r>
            <w:r>
              <w:rPr>
                <w:rFonts w:hint="default" w:ascii="Times New Roman" w:hAnsi="Times New Roman" w:cs="Times New Roman"/>
                <w:kern w:val="0"/>
                <w:szCs w:val="21"/>
              </w:rPr>
              <w:t>（μg/m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w:t>
            </w:r>
          </w:p>
        </w:tc>
        <w:tc>
          <w:tcPr>
            <w:tcW w:w="92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2016年</w:t>
            </w:r>
          </w:p>
          <w:p>
            <w:pPr>
              <w:widowControl/>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现状值</w:t>
            </w:r>
          </w:p>
        </w:tc>
        <w:tc>
          <w:tcPr>
            <w:tcW w:w="3031"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目标值</w:t>
            </w:r>
          </w:p>
        </w:tc>
        <w:tc>
          <w:tcPr>
            <w:tcW w:w="107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国家空气质量标准</w:t>
            </w:r>
          </w:p>
        </w:tc>
        <w:tc>
          <w:tcPr>
            <w:tcW w:w="9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9" w:hRule="atLeast"/>
          <w:jc w:val="center"/>
        </w:trPr>
        <w:tc>
          <w:tcPr>
            <w:tcW w:w="58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left"/>
              <w:rPr>
                <w:rFonts w:hint="default" w:ascii="Times New Roman" w:hAnsi="Times New Roman" w:cs="Times New Roman"/>
                <w:b/>
                <w:kern w:val="0"/>
                <w:szCs w:val="21"/>
              </w:rPr>
            </w:pPr>
          </w:p>
        </w:tc>
        <w:tc>
          <w:tcPr>
            <w:tcW w:w="22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left"/>
              <w:rPr>
                <w:rFonts w:hint="default" w:ascii="Times New Roman" w:hAnsi="Times New Roman" w:cs="Times New Roman"/>
                <w:b/>
                <w:kern w:val="0"/>
                <w:szCs w:val="21"/>
              </w:rPr>
            </w:pPr>
          </w:p>
        </w:tc>
        <w:tc>
          <w:tcPr>
            <w:tcW w:w="92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left"/>
              <w:rPr>
                <w:rFonts w:hint="default" w:ascii="Times New Roman" w:hAnsi="Times New Roman" w:cs="Times New Roman"/>
                <w:b/>
                <w:kern w:val="0"/>
                <w:szCs w:val="21"/>
              </w:rPr>
            </w:pP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近期2020年</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中远期2025年</w:t>
            </w:r>
          </w:p>
        </w:tc>
        <w:tc>
          <w:tcPr>
            <w:tcW w:w="107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left"/>
              <w:rPr>
                <w:rFonts w:hint="default" w:ascii="Times New Roman" w:hAnsi="Times New Roman" w:cs="Times New Roman"/>
                <w:b/>
                <w:kern w:val="0"/>
                <w:szCs w:val="21"/>
              </w:rPr>
            </w:pPr>
          </w:p>
        </w:tc>
        <w:tc>
          <w:tcPr>
            <w:tcW w:w="9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left"/>
              <w:rPr>
                <w:rFonts w:hint="default" w:ascii="Times New Roman" w:hAnsi="Times New Roman" w:cs="Times New Roman"/>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00"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22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二氧化硫年均浓度</w:t>
            </w:r>
          </w:p>
        </w:tc>
        <w:tc>
          <w:tcPr>
            <w:tcW w:w="92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17.3</w:t>
            </w:r>
          </w:p>
        </w:tc>
        <w:tc>
          <w:tcPr>
            <w:tcW w:w="3031"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≤20</w:t>
            </w:r>
          </w:p>
        </w:tc>
        <w:tc>
          <w:tcPr>
            <w:tcW w:w="107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≤60</w:t>
            </w:r>
          </w:p>
        </w:tc>
        <w:tc>
          <w:tcPr>
            <w:tcW w:w="971"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87"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22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二氧化氮年均浓度</w:t>
            </w:r>
          </w:p>
        </w:tc>
        <w:tc>
          <w:tcPr>
            <w:tcW w:w="92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34</w:t>
            </w:r>
          </w:p>
        </w:tc>
        <w:tc>
          <w:tcPr>
            <w:tcW w:w="3031"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≤40</w:t>
            </w:r>
          </w:p>
        </w:tc>
        <w:tc>
          <w:tcPr>
            <w:tcW w:w="107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≤40</w:t>
            </w:r>
          </w:p>
        </w:tc>
        <w:tc>
          <w:tcPr>
            <w:tcW w:w="971"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22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可吸入颗粒物年均浓度</w:t>
            </w:r>
          </w:p>
        </w:tc>
        <w:tc>
          <w:tcPr>
            <w:tcW w:w="92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80</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力争70</w:t>
            </w:r>
          </w:p>
        </w:tc>
        <w:tc>
          <w:tcPr>
            <w:tcW w:w="107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≤70</w:t>
            </w:r>
          </w:p>
        </w:tc>
        <w:tc>
          <w:tcPr>
            <w:tcW w:w="971"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5"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4</w:t>
            </w:r>
          </w:p>
        </w:tc>
        <w:tc>
          <w:tcPr>
            <w:tcW w:w="22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细颗粒物年均浓度</w:t>
            </w:r>
          </w:p>
        </w:tc>
        <w:tc>
          <w:tcPr>
            <w:tcW w:w="92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53.7</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≤45.5</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力争35</w:t>
            </w:r>
          </w:p>
        </w:tc>
        <w:tc>
          <w:tcPr>
            <w:tcW w:w="107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≤35</w:t>
            </w:r>
          </w:p>
        </w:tc>
        <w:tc>
          <w:tcPr>
            <w:tcW w:w="971"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66"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5</w:t>
            </w:r>
          </w:p>
        </w:tc>
        <w:tc>
          <w:tcPr>
            <w:tcW w:w="22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CO日平均值的第95百分位数（mg/m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w:t>
            </w:r>
          </w:p>
        </w:tc>
        <w:tc>
          <w:tcPr>
            <w:tcW w:w="92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1.7</w:t>
            </w:r>
          </w:p>
        </w:tc>
        <w:tc>
          <w:tcPr>
            <w:tcW w:w="3031"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107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≤4</w:t>
            </w:r>
          </w:p>
        </w:tc>
        <w:tc>
          <w:tcPr>
            <w:tcW w:w="971"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66"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6</w:t>
            </w:r>
          </w:p>
        </w:tc>
        <w:tc>
          <w:tcPr>
            <w:tcW w:w="22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臭氧日最大8小时平均值的第90百分位数</w:t>
            </w:r>
          </w:p>
        </w:tc>
        <w:tc>
          <w:tcPr>
            <w:tcW w:w="92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143</w:t>
            </w:r>
          </w:p>
        </w:tc>
        <w:tc>
          <w:tcPr>
            <w:tcW w:w="3031"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≤160</w:t>
            </w:r>
          </w:p>
        </w:tc>
        <w:tc>
          <w:tcPr>
            <w:tcW w:w="107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≤160</w:t>
            </w:r>
          </w:p>
        </w:tc>
        <w:tc>
          <w:tcPr>
            <w:tcW w:w="971"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58"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7</w:t>
            </w:r>
          </w:p>
        </w:tc>
        <w:tc>
          <w:tcPr>
            <w:tcW w:w="22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空气质量优良天数比例(%)</w:t>
            </w:r>
          </w:p>
        </w:tc>
        <w:tc>
          <w:tcPr>
            <w:tcW w:w="92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72.4</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bCs/>
                <w:kern w:val="0"/>
                <w:szCs w:val="21"/>
              </w:rPr>
              <w:t>≥79.1</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bCs/>
                <w:kern w:val="0"/>
                <w:szCs w:val="21"/>
              </w:rPr>
              <w:t>—</w:t>
            </w:r>
          </w:p>
        </w:tc>
        <w:tc>
          <w:tcPr>
            <w:tcW w:w="1079"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971"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预期</w:t>
            </w:r>
          </w:p>
        </w:tc>
      </w:tr>
    </w:tbl>
    <w:p>
      <w:pPr>
        <w:pStyle w:val="6"/>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4.2.1.2 补充监测</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本项目运营期猪舍、污水处理设施和堆粪区均会产生恶臭（NH</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rPr>
        <w:t>、</w:t>
      </w:r>
      <w:r>
        <w:rPr>
          <w:rFonts w:hint="default" w:ascii="Times New Roman" w:hAnsi="Times New Roman" w:cs="Times New Roman"/>
          <w:bCs/>
          <w:color w:val="000000"/>
          <w:sz w:val="24"/>
          <w:szCs w:val="24"/>
        </w:rPr>
        <w:t>H</w:t>
      </w:r>
      <w:r>
        <w:rPr>
          <w:rFonts w:hint="default" w:ascii="Times New Roman" w:hAnsi="Times New Roman" w:cs="Times New Roman"/>
          <w:bCs/>
          <w:color w:val="000000"/>
          <w:sz w:val="24"/>
          <w:szCs w:val="24"/>
          <w:vertAlign w:val="subscript"/>
        </w:rPr>
        <w:t>2</w:t>
      </w:r>
      <w:r>
        <w:rPr>
          <w:rFonts w:hint="default" w:ascii="Times New Roman" w:hAnsi="Times New Roman" w:cs="Times New Roman"/>
          <w:bCs/>
          <w:color w:val="000000"/>
          <w:sz w:val="24"/>
          <w:szCs w:val="24"/>
        </w:rPr>
        <w:t>S</w:t>
      </w:r>
      <w:r>
        <w:rPr>
          <w:rFonts w:hint="default" w:ascii="Times New Roman" w:hAnsi="Times New Roman" w:cs="Times New Roman"/>
          <w:color w:val="000000"/>
          <w:sz w:val="24"/>
          <w:szCs w:val="24"/>
        </w:rPr>
        <w:t>），因此本次环评引用乐山市亚庆农牧科技有限责任公司“新建80万只蛋鸡规模化养殖场项目”对项目所在区域的其他污染物NH</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rPr>
        <w:t>和</w:t>
      </w:r>
      <w:r>
        <w:rPr>
          <w:rFonts w:hint="default" w:ascii="Times New Roman" w:hAnsi="Times New Roman" w:cs="Times New Roman"/>
          <w:bCs/>
          <w:color w:val="000000"/>
          <w:sz w:val="24"/>
          <w:szCs w:val="24"/>
        </w:rPr>
        <w:t>H</w:t>
      </w:r>
      <w:r>
        <w:rPr>
          <w:rFonts w:hint="default" w:ascii="Times New Roman" w:hAnsi="Times New Roman" w:cs="Times New Roman"/>
          <w:bCs/>
          <w:color w:val="000000"/>
          <w:sz w:val="24"/>
          <w:szCs w:val="24"/>
          <w:vertAlign w:val="subscript"/>
        </w:rPr>
        <w:t>2</w:t>
      </w:r>
      <w:r>
        <w:rPr>
          <w:rFonts w:hint="default" w:ascii="Times New Roman" w:hAnsi="Times New Roman" w:cs="Times New Roman"/>
          <w:bCs/>
          <w:color w:val="000000"/>
          <w:sz w:val="24"/>
          <w:szCs w:val="24"/>
        </w:rPr>
        <w:t>S进行了监测。</w:t>
      </w:r>
      <w:r>
        <w:rPr>
          <w:rFonts w:hint="default" w:ascii="Times New Roman" w:hAnsi="Times New Roman" w:cs="Times New Roman"/>
          <w:color w:val="000000"/>
          <w:sz w:val="24"/>
          <w:szCs w:val="24"/>
        </w:rPr>
        <w:t>乐山市亚庆农牧科技有限责任公司位于本项目东侧170m，与本项目为同一区域，且监测时间为2018年11月，引用有效。</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（1）监</w:t>
      </w:r>
      <w:r>
        <w:rPr>
          <w:rFonts w:hint="default" w:ascii="Times New Roman" w:hAnsi="Times New Roman" w:cs="Times New Roman"/>
          <w:sz w:val="24"/>
          <w:szCs w:val="24"/>
        </w:rPr>
        <w:t>测点位：该项目共设置3个大气监测点位，监测点位置见表4.2-</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w:t>
      </w:r>
    </w:p>
    <w:p>
      <w:pPr>
        <w:ind w:firstLine="480" w:firstLineChars="20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表4.2-</w:t>
      </w:r>
      <w:r>
        <w:rPr>
          <w:rFonts w:hint="default" w:ascii="Times New Roman" w:hAnsi="Times New Roman" w:eastAsia="黑体" w:cs="Times New Roman"/>
          <w:bCs/>
          <w:sz w:val="24"/>
          <w:szCs w:val="24"/>
          <w:lang w:val="en-US" w:eastAsia="zh-CN"/>
        </w:rPr>
        <w:t>2</w:t>
      </w:r>
      <w:r>
        <w:rPr>
          <w:rFonts w:hint="default" w:ascii="Times New Roman" w:hAnsi="Times New Roman" w:eastAsia="黑体" w:cs="Times New Roman"/>
          <w:bCs/>
          <w:sz w:val="24"/>
          <w:szCs w:val="24"/>
        </w:rPr>
        <w:t xml:space="preserve">  项目所在地大气环境质量现状监测点位</w:t>
      </w:r>
    </w:p>
    <w:tbl>
      <w:tblPr>
        <w:tblStyle w:val="33"/>
        <w:tblW w:w="968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93"/>
        <w:gridCol w:w="78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793" w:type="dxa"/>
            <w:vAlign w:val="center"/>
          </w:tcPr>
          <w:p>
            <w:pPr>
              <w:ind w:right="122" w:rightChars="58"/>
              <w:jc w:val="center"/>
              <w:rPr>
                <w:rFonts w:hint="default" w:ascii="Times New Roman" w:hAnsi="Times New Roman" w:cs="Times New Roman"/>
                <w:szCs w:val="21"/>
              </w:rPr>
            </w:pPr>
            <w:r>
              <w:rPr>
                <w:rFonts w:hint="default" w:ascii="Times New Roman" w:hAnsi="Times New Roman" w:cs="Times New Roman"/>
                <w:szCs w:val="21"/>
              </w:rPr>
              <w:t>点位编号</w:t>
            </w:r>
          </w:p>
        </w:tc>
        <w:tc>
          <w:tcPr>
            <w:tcW w:w="7887" w:type="dxa"/>
            <w:vAlign w:val="center"/>
          </w:tcPr>
          <w:p>
            <w:pPr>
              <w:ind w:right="122" w:rightChars="58"/>
              <w:jc w:val="center"/>
              <w:rPr>
                <w:rFonts w:hint="default" w:ascii="Times New Roman" w:hAnsi="Times New Roman" w:cs="Times New Roman"/>
                <w:szCs w:val="21"/>
              </w:rPr>
            </w:pPr>
            <w:r>
              <w:rPr>
                <w:rFonts w:hint="default" w:ascii="Times New Roman" w:hAnsi="Times New Roman" w:cs="Times New Roman"/>
                <w:szCs w:val="21"/>
              </w:rPr>
              <w:t>监测点位置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5" w:hRule="atLeast"/>
          <w:jc w:val="center"/>
        </w:trPr>
        <w:tc>
          <w:tcPr>
            <w:tcW w:w="1793" w:type="dxa"/>
            <w:vAlign w:val="center"/>
          </w:tcPr>
          <w:p>
            <w:pPr>
              <w:ind w:right="122" w:rightChars="58"/>
              <w:jc w:val="center"/>
              <w:rPr>
                <w:rFonts w:hint="default" w:ascii="Times New Roman" w:hAnsi="Times New Roman" w:cs="Times New Roman"/>
                <w:szCs w:val="21"/>
              </w:rPr>
            </w:pPr>
            <w:r>
              <w:rPr>
                <w:rFonts w:hint="default" w:ascii="Times New Roman" w:hAnsi="Times New Roman" w:cs="Times New Roman"/>
                <w:szCs w:val="21"/>
              </w:rPr>
              <w:t>1#</w:t>
            </w:r>
          </w:p>
        </w:tc>
        <w:tc>
          <w:tcPr>
            <w:tcW w:w="7887" w:type="dxa"/>
            <w:vAlign w:val="center"/>
          </w:tcPr>
          <w:p>
            <w:pPr>
              <w:ind w:right="122" w:rightChars="58"/>
              <w:jc w:val="center"/>
              <w:rPr>
                <w:rFonts w:hint="default" w:ascii="Times New Roman" w:hAnsi="Times New Roman" w:cs="Times New Roman"/>
                <w:szCs w:val="21"/>
              </w:rPr>
            </w:pPr>
            <w:r>
              <w:rPr>
                <w:rFonts w:hint="default" w:ascii="Times New Roman" w:hAnsi="Times New Roman" w:cs="Times New Roman"/>
                <w:szCs w:val="21"/>
              </w:rPr>
              <w:t>乐山市亚庆农牧科技有限责任公司项目地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79" w:hRule="atLeast"/>
          <w:jc w:val="center"/>
        </w:trPr>
        <w:tc>
          <w:tcPr>
            <w:tcW w:w="1793" w:type="dxa"/>
            <w:vAlign w:val="center"/>
          </w:tcPr>
          <w:p>
            <w:pPr>
              <w:ind w:right="122" w:rightChars="58"/>
              <w:jc w:val="center"/>
              <w:rPr>
                <w:rFonts w:hint="default" w:ascii="Times New Roman" w:hAnsi="Times New Roman" w:cs="Times New Roman"/>
                <w:szCs w:val="21"/>
              </w:rPr>
            </w:pPr>
            <w:r>
              <w:rPr>
                <w:rFonts w:hint="default" w:ascii="Times New Roman" w:hAnsi="Times New Roman" w:cs="Times New Roman"/>
                <w:szCs w:val="21"/>
              </w:rPr>
              <w:t>2#</w:t>
            </w:r>
          </w:p>
        </w:tc>
        <w:tc>
          <w:tcPr>
            <w:tcW w:w="7887" w:type="dxa"/>
            <w:vAlign w:val="center"/>
          </w:tcPr>
          <w:p>
            <w:pPr>
              <w:ind w:right="122" w:rightChars="58"/>
              <w:jc w:val="center"/>
              <w:rPr>
                <w:rFonts w:hint="default" w:ascii="Times New Roman" w:hAnsi="Times New Roman" w:cs="Times New Roman"/>
                <w:szCs w:val="21"/>
              </w:rPr>
            </w:pPr>
            <w:r>
              <w:rPr>
                <w:rFonts w:hint="default" w:ascii="Times New Roman" w:hAnsi="Times New Roman" w:cs="Times New Roman"/>
                <w:szCs w:val="21"/>
              </w:rPr>
              <w:t>本项目拟建地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1" w:hRule="atLeast"/>
          <w:jc w:val="center"/>
        </w:trPr>
        <w:tc>
          <w:tcPr>
            <w:tcW w:w="1793" w:type="dxa"/>
            <w:vAlign w:val="center"/>
          </w:tcPr>
          <w:p>
            <w:pPr>
              <w:ind w:right="122" w:rightChars="58"/>
              <w:jc w:val="center"/>
              <w:rPr>
                <w:rFonts w:hint="default" w:ascii="Times New Roman" w:hAnsi="Times New Roman" w:cs="Times New Roman"/>
                <w:szCs w:val="21"/>
              </w:rPr>
            </w:pPr>
            <w:r>
              <w:rPr>
                <w:rFonts w:hint="default" w:ascii="Times New Roman" w:hAnsi="Times New Roman" w:cs="Times New Roman"/>
                <w:szCs w:val="21"/>
              </w:rPr>
              <w:t>3#</w:t>
            </w:r>
          </w:p>
        </w:tc>
        <w:tc>
          <w:tcPr>
            <w:tcW w:w="7887" w:type="dxa"/>
            <w:vAlign w:val="center"/>
          </w:tcPr>
          <w:p>
            <w:pPr>
              <w:ind w:right="122" w:rightChars="58"/>
              <w:jc w:val="center"/>
              <w:rPr>
                <w:rFonts w:hint="default" w:ascii="Times New Roman" w:hAnsi="Times New Roman" w:cs="Times New Roman"/>
                <w:szCs w:val="21"/>
              </w:rPr>
            </w:pPr>
            <w:r>
              <w:rPr>
                <w:rFonts w:hint="default" w:ascii="Times New Roman" w:hAnsi="Times New Roman" w:cs="Times New Roman"/>
                <w:szCs w:val="21"/>
              </w:rPr>
              <w:t>乐山市亚庆农牧科技有限责任公司项目地下风向约700m居民点处</w:t>
            </w:r>
          </w:p>
        </w:tc>
      </w:tr>
    </w:tbl>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（2）监测项目：NH</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rPr>
        <w:t>、H</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S。</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bCs/>
          <w:color w:val="000000"/>
          <w:sz w:val="24"/>
          <w:szCs w:val="24"/>
        </w:rPr>
        <w:t>（3）监测时间及频率：</w:t>
      </w:r>
      <w:r>
        <w:rPr>
          <w:rFonts w:hint="default" w:ascii="Times New Roman" w:hAnsi="Times New Roman" w:cs="Times New Roman"/>
          <w:color w:val="000000"/>
          <w:sz w:val="24"/>
          <w:szCs w:val="24"/>
        </w:rPr>
        <w:t>连续监测7天，每天4次。</w:t>
      </w:r>
    </w:p>
    <w:p>
      <w:pPr>
        <w:spacing w:line="360" w:lineRule="auto"/>
        <w:ind w:right="122" w:rightChars="58" w:firstLine="480" w:firstLineChars="200"/>
        <w:rPr>
          <w:rFonts w:hint="default" w:ascii="Times New Roman" w:hAnsi="Times New Roman" w:cs="Times New Roman"/>
          <w:bCs/>
          <w:snapToGrid w:val="0"/>
          <w:color w:val="000000"/>
          <w:sz w:val="24"/>
          <w:szCs w:val="24"/>
        </w:rPr>
      </w:pPr>
      <w:r>
        <w:rPr>
          <w:rFonts w:hint="default" w:ascii="Times New Roman" w:hAnsi="Times New Roman" w:cs="Times New Roman"/>
          <w:bCs/>
          <w:color w:val="000000"/>
          <w:sz w:val="24"/>
          <w:szCs w:val="24"/>
        </w:rPr>
        <w:t>（4）评价标准：</w:t>
      </w:r>
      <w:r>
        <w:rPr>
          <w:rFonts w:hint="default" w:ascii="Times New Roman" w:hAnsi="Times New Roman" w:cs="Times New Roman"/>
          <w:snapToGrid w:val="0"/>
          <w:color w:val="000000"/>
          <w:sz w:val="24"/>
          <w:szCs w:val="24"/>
        </w:rPr>
        <w:t>参照</w:t>
      </w:r>
      <w:r>
        <w:rPr>
          <w:rFonts w:hint="default" w:ascii="Times New Roman" w:hAnsi="Times New Roman" w:cs="Times New Roman"/>
          <w:color w:val="000000"/>
          <w:sz w:val="24"/>
          <w:szCs w:val="24"/>
        </w:rPr>
        <w:t>《环境影响评价技术导则 大气环境》（HJ2.2-2018）附录D中其他污染物空气质量浓度参考限值</w:t>
      </w:r>
      <w:r>
        <w:rPr>
          <w:rFonts w:hint="default" w:ascii="Times New Roman" w:hAnsi="Times New Roman" w:cs="Times New Roman"/>
          <w:snapToGrid w:val="0"/>
          <w:color w:val="000000"/>
          <w:sz w:val="24"/>
          <w:szCs w:val="24"/>
        </w:rPr>
        <w:t>。</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（5）监测结果：监测结果见下表。</w:t>
      </w:r>
    </w:p>
    <w:p>
      <w:pPr>
        <w:ind w:firstLine="480" w:firstLineChars="20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表4.2-</w:t>
      </w:r>
      <w:r>
        <w:rPr>
          <w:rFonts w:hint="default" w:ascii="Times New Roman" w:hAnsi="Times New Roman" w:eastAsia="黑体" w:cs="Times New Roman"/>
          <w:bCs/>
          <w:sz w:val="24"/>
          <w:szCs w:val="24"/>
          <w:lang w:val="en-US" w:eastAsia="zh-CN"/>
        </w:rPr>
        <w:t>3</w:t>
      </w:r>
      <w:r>
        <w:rPr>
          <w:rFonts w:hint="default" w:ascii="Times New Roman" w:hAnsi="Times New Roman" w:eastAsia="黑体" w:cs="Times New Roman"/>
          <w:bCs/>
          <w:sz w:val="24"/>
          <w:szCs w:val="24"/>
        </w:rPr>
        <w:t xml:space="preserve">  环境空气检测结果表</w:t>
      </w:r>
    </w:p>
    <w:tbl>
      <w:tblPr>
        <w:tblStyle w:val="33"/>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588"/>
        <w:gridCol w:w="1775"/>
        <w:gridCol w:w="1219"/>
        <w:gridCol w:w="1234"/>
        <w:gridCol w:w="1157"/>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采样日期</w:t>
            </w:r>
          </w:p>
        </w:tc>
        <w:tc>
          <w:tcPr>
            <w:tcW w:w="1588"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监测项目</w:t>
            </w:r>
          </w:p>
        </w:tc>
        <w:tc>
          <w:tcPr>
            <w:tcW w:w="177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监测点位</w:t>
            </w:r>
          </w:p>
        </w:tc>
        <w:tc>
          <w:tcPr>
            <w:tcW w:w="4732" w:type="dxa"/>
            <w:gridSpan w:val="4"/>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监测结果（单位：mg/L）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Merge w:val="continue"/>
            <w:vAlign w:val="center"/>
          </w:tcPr>
          <w:p>
            <w:pPr>
              <w:ind w:right="122" w:rightChars="58"/>
              <w:jc w:val="center"/>
              <w:rPr>
                <w:rFonts w:hint="default" w:ascii="Times New Roman" w:hAnsi="Times New Roman" w:cs="Times New Roman"/>
                <w:color w:val="000000"/>
                <w:szCs w:val="21"/>
              </w:rPr>
            </w:pP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第一次</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第二次</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第三次</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2018年11月23日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szCs w:val="21"/>
              </w:rPr>
              <w:t>1#乐山市亚庆农牧科技有限责任公司项目地</w:t>
            </w: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0.03</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rPr>
            </w:pPr>
            <w:r>
              <w:rPr>
                <w:rFonts w:hint="default" w:ascii="Times New Roman" w:hAnsi="Times New Roman" w:cs="Times New Roman"/>
                <w:color w:val="000000"/>
                <w:szCs w:val="21"/>
              </w:rPr>
              <w:t>2018年11月24日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0.03</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rPr>
            </w:pPr>
            <w:r>
              <w:rPr>
                <w:rFonts w:hint="default" w:ascii="Times New Roman" w:hAnsi="Times New Roman" w:cs="Times New Roman"/>
                <w:color w:val="000000"/>
                <w:szCs w:val="21"/>
              </w:rPr>
              <w:t>2018年11月25日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rPr>
            </w:pPr>
            <w:r>
              <w:rPr>
                <w:rFonts w:hint="default" w:ascii="Times New Roman" w:hAnsi="Times New Roman" w:cs="Times New Roman"/>
                <w:color w:val="000000"/>
                <w:szCs w:val="21"/>
              </w:rPr>
              <w:t>2018年11月26日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rPr>
            </w:pPr>
            <w:r>
              <w:rPr>
                <w:rFonts w:hint="default" w:ascii="Times New Roman" w:hAnsi="Times New Roman" w:cs="Times New Roman"/>
                <w:color w:val="000000"/>
                <w:szCs w:val="21"/>
              </w:rPr>
              <w:t>2018年11月27日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rPr>
            </w:pPr>
            <w:r>
              <w:rPr>
                <w:rFonts w:hint="default" w:ascii="Times New Roman" w:hAnsi="Times New Roman" w:cs="Times New Roman"/>
                <w:color w:val="000000"/>
                <w:szCs w:val="21"/>
              </w:rPr>
              <w:t>2018年11月28日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2018年11月29日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2018年11月23日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szCs w:val="21"/>
              </w:rPr>
              <w:t>2#本项目拟建地</w:t>
            </w: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0.03</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2018年11月24日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0.001</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0.001</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2018年11月25日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2018年11月26日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2018年11月27日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2018年11月28日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0.08</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2018年11月29日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0.08</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2018年11月23日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r>
              <w:rPr>
                <w:rFonts w:hint="default" w:ascii="Times New Roman" w:hAnsi="Times New Roman" w:cs="Times New Roman"/>
                <w:szCs w:val="21"/>
              </w:rPr>
              <w:t>下风向约700m居民点处</w:t>
            </w: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2018年11月24日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2018年11月25日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2018年11月26日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2018年11月27日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0.06</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2018年11月28日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.05</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1545" w:type="dxa"/>
            <w:vMerge w:val="restart"/>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2018年11月29日</w:t>
            </w: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硫化氢</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1545" w:type="dxa"/>
            <w:vMerge w:val="continue"/>
            <w:vAlign w:val="center"/>
          </w:tcPr>
          <w:p>
            <w:pPr>
              <w:ind w:right="122" w:rightChars="58"/>
              <w:jc w:val="center"/>
              <w:rPr>
                <w:rFonts w:hint="default" w:ascii="Times New Roman" w:hAnsi="Times New Roman" w:cs="Times New Roman"/>
                <w:color w:val="000000"/>
                <w:szCs w:val="21"/>
              </w:rPr>
            </w:pPr>
          </w:p>
        </w:tc>
        <w:tc>
          <w:tcPr>
            <w:tcW w:w="1588"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氨</w:t>
            </w:r>
          </w:p>
        </w:tc>
        <w:tc>
          <w:tcPr>
            <w:tcW w:w="1775" w:type="dxa"/>
            <w:vMerge w:val="continue"/>
            <w:vAlign w:val="center"/>
          </w:tcPr>
          <w:p>
            <w:pPr>
              <w:ind w:right="122" w:rightChars="58"/>
              <w:jc w:val="center"/>
              <w:rPr>
                <w:rFonts w:hint="default" w:ascii="Times New Roman" w:hAnsi="Times New Roman" w:cs="Times New Roman"/>
                <w:color w:val="000000"/>
                <w:szCs w:val="21"/>
              </w:rPr>
            </w:pPr>
          </w:p>
        </w:tc>
        <w:tc>
          <w:tcPr>
            <w:tcW w:w="1219"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c>
          <w:tcPr>
            <w:tcW w:w="1234"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57"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0.05</w:t>
            </w:r>
          </w:p>
        </w:tc>
        <w:tc>
          <w:tcPr>
            <w:tcW w:w="1122"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0.07</w:t>
            </w:r>
          </w:p>
        </w:tc>
      </w:tr>
    </w:tbl>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（6）评价方法：采用单项标准指数法。标准指数P</w:t>
      </w:r>
      <w:r>
        <w:rPr>
          <w:rFonts w:hint="default" w:ascii="Times New Roman" w:hAnsi="Times New Roman" w:cs="Times New Roman"/>
          <w:color w:val="000000"/>
          <w:sz w:val="24"/>
          <w:szCs w:val="24"/>
          <w:vertAlign w:val="subscript"/>
        </w:rPr>
        <w:t>i</w:t>
      </w:r>
      <w:r>
        <w:rPr>
          <w:rFonts w:hint="default" w:ascii="Times New Roman" w:hAnsi="Times New Roman" w:cs="Times New Roman"/>
          <w:color w:val="000000"/>
          <w:sz w:val="24"/>
          <w:szCs w:val="24"/>
        </w:rPr>
        <w:t>计算表达式：</w:t>
      </w:r>
    </w:p>
    <w:p>
      <w:pPr>
        <w:widowControl/>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P</w:t>
      </w:r>
      <w:r>
        <w:rPr>
          <w:rFonts w:hint="default" w:ascii="Times New Roman" w:hAnsi="Times New Roman" w:cs="Times New Roman"/>
          <w:color w:val="000000"/>
          <w:sz w:val="24"/>
          <w:szCs w:val="24"/>
          <w:vertAlign w:val="subscript"/>
        </w:rPr>
        <w:t>i</w:t>
      </w:r>
      <w:r>
        <w:rPr>
          <w:rFonts w:hint="default" w:ascii="Times New Roman" w:hAnsi="Times New Roman" w:cs="Times New Roman"/>
          <w:color w:val="000000"/>
          <w:sz w:val="24"/>
          <w:szCs w:val="24"/>
        </w:rPr>
        <w:t>=C</w:t>
      </w:r>
      <w:r>
        <w:rPr>
          <w:rFonts w:hint="default" w:ascii="Times New Roman" w:hAnsi="Times New Roman" w:cs="Times New Roman"/>
          <w:color w:val="000000"/>
          <w:sz w:val="24"/>
          <w:szCs w:val="24"/>
          <w:vertAlign w:val="subscript"/>
        </w:rPr>
        <w:t>i</w:t>
      </w:r>
      <w:r>
        <w:rPr>
          <w:rFonts w:hint="default" w:ascii="Times New Roman" w:hAnsi="Times New Roman" w:cs="Times New Roman"/>
          <w:color w:val="000000"/>
          <w:sz w:val="24"/>
          <w:szCs w:val="24"/>
        </w:rPr>
        <w:t>/Co</w:t>
      </w:r>
      <w:r>
        <w:rPr>
          <w:rFonts w:hint="default" w:ascii="Times New Roman" w:hAnsi="Times New Roman" w:cs="Times New Roman"/>
          <w:color w:val="000000"/>
          <w:sz w:val="24"/>
          <w:szCs w:val="24"/>
          <w:vertAlign w:val="subscript"/>
        </w:rPr>
        <w:t>i</w:t>
      </w:r>
    </w:p>
    <w:p>
      <w:pPr>
        <w:widowControl/>
        <w:spacing w:line="360" w:lineRule="auto"/>
        <w:ind w:right="122" w:rightChars="58" w:firstLine="1080" w:firstLineChars="45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式中：P</w:t>
      </w:r>
      <w:r>
        <w:rPr>
          <w:rFonts w:hint="default" w:ascii="Times New Roman" w:hAnsi="Times New Roman" w:cs="Times New Roman"/>
          <w:color w:val="000000"/>
          <w:sz w:val="24"/>
          <w:szCs w:val="24"/>
          <w:vertAlign w:val="subscript"/>
        </w:rPr>
        <w:t>i</w:t>
      </w:r>
      <w:r>
        <w:rPr>
          <w:rFonts w:hint="default" w:ascii="Times New Roman" w:hAnsi="Times New Roman" w:cs="Times New Roman"/>
          <w:color w:val="000000"/>
          <w:sz w:val="24"/>
          <w:szCs w:val="24"/>
        </w:rPr>
        <w:t>——i种污染物标准指数值；</w:t>
      </w:r>
    </w:p>
    <w:p>
      <w:pPr>
        <w:widowControl/>
        <w:spacing w:line="360" w:lineRule="auto"/>
        <w:ind w:right="122" w:rightChars="58" w:firstLine="1800" w:firstLineChars="75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w:t>
      </w:r>
      <w:r>
        <w:rPr>
          <w:rFonts w:hint="default" w:ascii="Times New Roman" w:hAnsi="Times New Roman" w:cs="Times New Roman"/>
          <w:color w:val="000000"/>
          <w:sz w:val="24"/>
          <w:szCs w:val="24"/>
          <w:vertAlign w:val="subscript"/>
        </w:rPr>
        <w:t>i</w:t>
      </w:r>
      <w:r>
        <w:rPr>
          <w:rFonts w:hint="default" w:ascii="Times New Roman" w:hAnsi="Times New Roman" w:cs="Times New Roman"/>
          <w:color w:val="000000"/>
          <w:sz w:val="24"/>
          <w:szCs w:val="24"/>
        </w:rPr>
        <w:t>——i种污染物实测浓度值，mg/m³；</w:t>
      </w:r>
    </w:p>
    <w:p>
      <w:pPr>
        <w:widowControl/>
        <w:spacing w:line="360" w:lineRule="auto"/>
        <w:ind w:right="122" w:rightChars="58" w:firstLine="1800" w:firstLineChars="75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Co</w:t>
      </w:r>
      <w:r>
        <w:rPr>
          <w:rFonts w:hint="default" w:ascii="Times New Roman" w:hAnsi="Times New Roman" w:cs="Times New Roman"/>
          <w:color w:val="000000"/>
          <w:sz w:val="24"/>
          <w:szCs w:val="24"/>
          <w:vertAlign w:val="subscript"/>
        </w:rPr>
        <w:t>i</w:t>
      </w:r>
      <w:r>
        <w:rPr>
          <w:rFonts w:hint="default" w:ascii="Times New Roman" w:hAnsi="Times New Roman" w:cs="Times New Roman"/>
          <w:color w:val="000000"/>
          <w:sz w:val="24"/>
          <w:szCs w:val="24"/>
        </w:rPr>
        <w:t>— i种污染物标准浓度值，mg/m³。</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（7）监测及评价结果见表4.2-</w:t>
      </w:r>
      <w:r>
        <w:rPr>
          <w:rFonts w:hint="default" w:ascii="Times New Roman" w:hAnsi="Times New Roman" w:cs="Times New Roman"/>
          <w:color w:val="000000"/>
          <w:sz w:val="24"/>
          <w:szCs w:val="24"/>
          <w:lang w:val="en-US" w:eastAsia="zh-CN"/>
        </w:rPr>
        <w:t>4</w:t>
      </w:r>
      <w:r>
        <w:rPr>
          <w:rFonts w:hint="default" w:ascii="Times New Roman" w:hAnsi="Times New Roman" w:cs="Times New Roman"/>
          <w:color w:val="000000"/>
          <w:sz w:val="24"/>
          <w:szCs w:val="24"/>
        </w:rPr>
        <w:t>。</w:t>
      </w:r>
    </w:p>
    <w:p>
      <w:pPr>
        <w:ind w:firstLine="480" w:firstLineChars="20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表4.2-</w:t>
      </w:r>
      <w:r>
        <w:rPr>
          <w:rFonts w:hint="default" w:ascii="Times New Roman" w:hAnsi="Times New Roman" w:eastAsia="黑体" w:cs="Times New Roman"/>
          <w:bCs/>
          <w:sz w:val="24"/>
          <w:szCs w:val="24"/>
          <w:lang w:val="en-US" w:eastAsia="zh-CN"/>
        </w:rPr>
        <w:t>4</w:t>
      </w:r>
      <w:r>
        <w:rPr>
          <w:rFonts w:hint="default" w:ascii="Times New Roman" w:hAnsi="Times New Roman" w:eastAsia="黑体" w:cs="Times New Roman"/>
          <w:bCs/>
          <w:sz w:val="24"/>
          <w:szCs w:val="24"/>
        </w:rPr>
        <w:t xml:space="preserve"> 环境空气质量现状监测及评价结果表 单位：mg/m³ 标准指数值无量纲</w:t>
      </w:r>
    </w:p>
    <w:tbl>
      <w:tblPr>
        <w:tblStyle w:val="33"/>
        <w:tblW w:w="960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57" w:type="dxa"/>
          <w:bottom w:w="0" w:type="dxa"/>
          <w:right w:w="57" w:type="dxa"/>
        </w:tblCellMar>
      </w:tblPr>
      <w:tblGrid>
        <w:gridCol w:w="785"/>
        <w:gridCol w:w="1012"/>
        <w:gridCol w:w="1691"/>
        <w:gridCol w:w="2670"/>
        <w:gridCol w:w="1249"/>
        <w:gridCol w:w="1215"/>
        <w:gridCol w:w="9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57" w:type="dxa"/>
            <w:bottom w:w="0" w:type="dxa"/>
            <w:right w:w="57" w:type="dxa"/>
          </w:tblCellMar>
        </w:tblPrEx>
        <w:trPr>
          <w:trHeight w:val="530" w:hRule="atLeast"/>
          <w:jc w:val="center"/>
        </w:trPr>
        <w:tc>
          <w:tcPr>
            <w:tcW w:w="785" w:type="dxa"/>
            <w:vMerge w:val="restart"/>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点位</w:t>
            </w:r>
          </w:p>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编号</w:t>
            </w:r>
          </w:p>
        </w:tc>
        <w:tc>
          <w:tcPr>
            <w:tcW w:w="1012" w:type="dxa"/>
            <w:vMerge w:val="restart"/>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w:t>
            </w:r>
          </w:p>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w:t>
            </w:r>
          </w:p>
        </w:tc>
        <w:tc>
          <w:tcPr>
            <w:tcW w:w="1691"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环境空气质量现状监测值</w:t>
            </w:r>
          </w:p>
        </w:tc>
        <w:tc>
          <w:tcPr>
            <w:tcW w:w="2670"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（TJ36-79）中居住区大气中有害物质的最高容许浓度</w:t>
            </w:r>
          </w:p>
        </w:tc>
        <w:tc>
          <w:tcPr>
            <w:tcW w:w="3442" w:type="dxa"/>
            <w:gridSpan w:val="3"/>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57" w:type="dxa"/>
            <w:bottom w:w="0" w:type="dxa"/>
            <w:right w:w="57" w:type="dxa"/>
          </w:tblCellMar>
        </w:tblPrEx>
        <w:trPr>
          <w:trHeight w:val="319" w:hRule="atLeast"/>
          <w:jc w:val="center"/>
        </w:trPr>
        <w:tc>
          <w:tcPr>
            <w:tcW w:w="785" w:type="dxa"/>
            <w:vMerge w:val="continue"/>
            <w:shd w:val="clear" w:color="auto" w:fill="FFFFFF"/>
            <w:vAlign w:val="center"/>
          </w:tcPr>
          <w:p>
            <w:pPr>
              <w:snapToGrid w:val="0"/>
              <w:ind w:right="122" w:rightChars="58" w:firstLine="420" w:firstLineChars="200"/>
              <w:jc w:val="center"/>
              <w:rPr>
                <w:rFonts w:hint="default" w:ascii="Times New Roman" w:hAnsi="Times New Roman" w:cs="Times New Roman"/>
                <w:snapToGrid w:val="0"/>
                <w:color w:val="000000"/>
                <w:szCs w:val="21"/>
              </w:rPr>
            </w:pPr>
          </w:p>
        </w:tc>
        <w:tc>
          <w:tcPr>
            <w:tcW w:w="1012" w:type="dxa"/>
            <w:vMerge w:val="continue"/>
            <w:shd w:val="clear" w:color="auto" w:fill="FFFFFF"/>
            <w:vAlign w:val="center"/>
          </w:tcPr>
          <w:p>
            <w:pPr>
              <w:jc w:val="center"/>
              <w:rPr>
                <w:rFonts w:hint="default" w:ascii="Times New Roman" w:hAnsi="Times New Roman" w:cs="Times New Roman"/>
                <w:color w:val="000000"/>
                <w:szCs w:val="21"/>
              </w:rPr>
            </w:pPr>
          </w:p>
        </w:tc>
        <w:tc>
          <w:tcPr>
            <w:tcW w:w="1691"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1h平均浓度范围</w:t>
            </w:r>
          </w:p>
        </w:tc>
        <w:tc>
          <w:tcPr>
            <w:tcW w:w="2670"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一次值</w:t>
            </w:r>
          </w:p>
        </w:tc>
        <w:tc>
          <w:tcPr>
            <w:tcW w:w="1249"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标准指数值</w:t>
            </w:r>
          </w:p>
        </w:tc>
        <w:tc>
          <w:tcPr>
            <w:tcW w:w="1215"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超标数/个</w:t>
            </w:r>
          </w:p>
        </w:tc>
        <w:tc>
          <w:tcPr>
            <w:tcW w:w="978"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57" w:type="dxa"/>
            <w:bottom w:w="0" w:type="dxa"/>
            <w:right w:w="57" w:type="dxa"/>
          </w:tblCellMar>
        </w:tblPrEx>
        <w:trPr>
          <w:trHeight w:val="319" w:hRule="atLeast"/>
          <w:jc w:val="center"/>
        </w:trPr>
        <w:tc>
          <w:tcPr>
            <w:tcW w:w="785" w:type="dxa"/>
            <w:vMerge w:val="restart"/>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012"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NH</w:t>
            </w:r>
            <w:r>
              <w:rPr>
                <w:rFonts w:hint="default" w:ascii="Times New Roman" w:hAnsi="Times New Roman" w:cs="Times New Roman"/>
                <w:color w:val="000000"/>
                <w:szCs w:val="21"/>
                <w:vertAlign w:val="subscript"/>
              </w:rPr>
              <w:t>3</w:t>
            </w:r>
          </w:p>
        </w:tc>
        <w:tc>
          <w:tcPr>
            <w:tcW w:w="1691"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0.03-0.09</w:t>
            </w:r>
          </w:p>
        </w:tc>
        <w:tc>
          <w:tcPr>
            <w:tcW w:w="2670"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w:t>
            </w:r>
          </w:p>
        </w:tc>
        <w:tc>
          <w:tcPr>
            <w:tcW w:w="1249"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0.15-0.45</w:t>
            </w:r>
          </w:p>
        </w:tc>
        <w:tc>
          <w:tcPr>
            <w:tcW w:w="1215"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978"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57" w:type="dxa"/>
            <w:bottom w:w="0" w:type="dxa"/>
            <w:right w:w="57" w:type="dxa"/>
          </w:tblCellMar>
        </w:tblPrEx>
        <w:trPr>
          <w:trHeight w:val="319" w:hRule="atLeast"/>
          <w:jc w:val="center"/>
        </w:trPr>
        <w:tc>
          <w:tcPr>
            <w:tcW w:w="785" w:type="dxa"/>
            <w:vMerge w:val="continue"/>
            <w:shd w:val="clear" w:color="auto" w:fill="FFFFFF"/>
            <w:vAlign w:val="center"/>
          </w:tcPr>
          <w:p>
            <w:pPr>
              <w:jc w:val="center"/>
              <w:rPr>
                <w:rFonts w:hint="default" w:ascii="Times New Roman" w:hAnsi="Times New Roman" w:cs="Times New Roman"/>
                <w:color w:val="000000"/>
                <w:szCs w:val="21"/>
              </w:rPr>
            </w:pPr>
          </w:p>
        </w:tc>
        <w:tc>
          <w:tcPr>
            <w:tcW w:w="1012"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H</w:t>
            </w:r>
            <w:r>
              <w:rPr>
                <w:rFonts w:hint="default" w:ascii="Times New Roman" w:hAnsi="Times New Roman" w:cs="Times New Roman"/>
                <w:color w:val="000000"/>
                <w:szCs w:val="21"/>
                <w:vertAlign w:val="subscript"/>
              </w:rPr>
              <w:t>2</w:t>
            </w:r>
            <w:r>
              <w:rPr>
                <w:rFonts w:hint="default" w:ascii="Times New Roman" w:hAnsi="Times New Roman" w:cs="Times New Roman"/>
                <w:color w:val="000000"/>
                <w:szCs w:val="21"/>
              </w:rPr>
              <w:t>S</w:t>
            </w:r>
          </w:p>
        </w:tc>
        <w:tc>
          <w:tcPr>
            <w:tcW w:w="1691"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2670"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0.01</w:t>
            </w:r>
          </w:p>
        </w:tc>
        <w:tc>
          <w:tcPr>
            <w:tcW w:w="1249"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215"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978"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57" w:type="dxa"/>
            <w:bottom w:w="0" w:type="dxa"/>
            <w:right w:w="57" w:type="dxa"/>
          </w:tblCellMar>
        </w:tblPrEx>
        <w:trPr>
          <w:trHeight w:val="319" w:hRule="atLeast"/>
          <w:jc w:val="center"/>
        </w:trPr>
        <w:tc>
          <w:tcPr>
            <w:tcW w:w="785" w:type="dxa"/>
            <w:vMerge w:val="restart"/>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012"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NH</w:t>
            </w:r>
            <w:r>
              <w:rPr>
                <w:rFonts w:hint="default" w:ascii="Times New Roman" w:hAnsi="Times New Roman" w:cs="Times New Roman"/>
                <w:color w:val="000000"/>
                <w:szCs w:val="21"/>
                <w:vertAlign w:val="subscript"/>
              </w:rPr>
              <w:t>3</w:t>
            </w:r>
          </w:p>
        </w:tc>
        <w:tc>
          <w:tcPr>
            <w:tcW w:w="1691"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0.03-0.09</w:t>
            </w:r>
          </w:p>
        </w:tc>
        <w:tc>
          <w:tcPr>
            <w:tcW w:w="2670"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w:t>
            </w:r>
          </w:p>
        </w:tc>
        <w:tc>
          <w:tcPr>
            <w:tcW w:w="1249"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0.15-0.45</w:t>
            </w:r>
          </w:p>
        </w:tc>
        <w:tc>
          <w:tcPr>
            <w:tcW w:w="1215"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978"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57" w:type="dxa"/>
            <w:bottom w:w="0" w:type="dxa"/>
            <w:right w:w="57" w:type="dxa"/>
          </w:tblCellMar>
        </w:tblPrEx>
        <w:trPr>
          <w:trHeight w:val="319" w:hRule="atLeast"/>
          <w:jc w:val="center"/>
        </w:trPr>
        <w:tc>
          <w:tcPr>
            <w:tcW w:w="785" w:type="dxa"/>
            <w:vMerge w:val="continue"/>
            <w:shd w:val="clear" w:color="auto" w:fill="FFFFFF"/>
            <w:vAlign w:val="center"/>
          </w:tcPr>
          <w:p>
            <w:pPr>
              <w:jc w:val="center"/>
              <w:rPr>
                <w:rFonts w:hint="default" w:ascii="Times New Roman" w:hAnsi="Times New Roman" w:cs="Times New Roman"/>
                <w:color w:val="000000"/>
                <w:szCs w:val="21"/>
              </w:rPr>
            </w:pPr>
          </w:p>
        </w:tc>
        <w:tc>
          <w:tcPr>
            <w:tcW w:w="1012"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H</w:t>
            </w:r>
            <w:r>
              <w:rPr>
                <w:rFonts w:hint="default" w:ascii="Times New Roman" w:hAnsi="Times New Roman" w:cs="Times New Roman"/>
                <w:color w:val="000000"/>
                <w:szCs w:val="21"/>
                <w:vertAlign w:val="subscript"/>
              </w:rPr>
              <w:t>2</w:t>
            </w:r>
            <w:r>
              <w:rPr>
                <w:rFonts w:hint="default" w:ascii="Times New Roman" w:hAnsi="Times New Roman" w:cs="Times New Roman"/>
                <w:color w:val="000000"/>
                <w:szCs w:val="21"/>
              </w:rPr>
              <w:t>S</w:t>
            </w:r>
          </w:p>
        </w:tc>
        <w:tc>
          <w:tcPr>
            <w:tcW w:w="1691"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0.001</w:t>
            </w:r>
          </w:p>
        </w:tc>
        <w:tc>
          <w:tcPr>
            <w:tcW w:w="2670"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0.01</w:t>
            </w:r>
          </w:p>
        </w:tc>
        <w:tc>
          <w:tcPr>
            <w:tcW w:w="1249"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w:t>
            </w:r>
          </w:p>
        </w:tc>
        <w:tc>
          <w:tcPr>
            <w:tcW w:w="1215"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978"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57" w:type="dxa"/>
            <w:bottom w:w="0" w:type="dxa"/>
            <w:right w:w="57" w:type="dxa"/>
          </w:tblCellMar>
        </w:tblPrEx>
        <w:trPr>
          <w:trHeight w:val="268" w:hRule="atLeast"/>
          <w:jc w:val="center"/>
        </w:trPr>
        <w:tc>
          <w:tcPr>
            <w:tcW w:w="785" w:type="dxa"/>
            <w:vMerge w:val="restart"/>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1012"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NH</w:t>
            </w:r>
            <w:r>
              <w:rPr>
                <w:rFonts w:hint="default" w:ascii="Times New Roman" w:hAnsi="Times New Roman" w:cs="Times New Roman"/>
                <w:color w:val="000000"/>
                <w:szCs w:val="21"/>
                <w:vertAlign w:val="subscript"/>
              </w:rPr>
              <w:t>3</w:t>
            </w:r>
          </w:p>
        </w:tc>
        <w:tc>
          <w:tcPr>
            <w:tcW w:w="1691"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0.04-0.09</w:t>
            </w:r>
          </w:p>
        </w:tc>
        <w:tc>
          <w:tcPr>
            <w:tcW w:w="2670"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w:t>
            </w:r>
          </w:p>
        </w:tc>
        <w:tc>
          <w:tcPr>
            <w:tcW w:w="1249"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0.2-0.45</w:t>
            </w:r>
          </w:p>
        </w:tc>
        <w:tc>
          <w:tcPr>
            <w:tcW w:w="1215"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978"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57" w:type="dxa"/>
            <w:bottom w:w="0" w:type="dxa"/>
            <w:right w:w="57" w:type="dxa"/>
          </w:tblCellMar>
        </w:tblPrEx>
        <w:trPr>
          <w:trHeight w:val="319" w:hRule="atLeast"/>
          <w:jc w:val="center"/>
        </w:trPr>
        <w:tc>
          <w:tcPr>
            <w:tcW w:w="785" w:type="dxa"/>
            <w:vMerge w:val="continue"/>
            <w:shd w:val="clear" w:color="auto" w:fill="FFFFFF"/>
            <w:vAlign w:val="center"/>
          </w:tcPr>
          <w:p>
            <w:pPr>
              <w:ind w:right="122" w:rightChars="58"/>
              <w:jc w:val="center"/>
              <w:rPr>
                <w:rFonts w:hint="default" w:ascii="Times New Roman" w:hAnsi="Times New Roman" w:cs="Times New Roman"/>
                <w:color w:val="000000"/>
                <w:szCs w:val="21"/>
              </w:rPr>
            </w:pPr>
          </w:p>
        </w:tc>
        <w:tc>
          <w:tcPr>
            <w:tcW w:w="1012"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H</w:t>
            </w:r>
            <w:r>
              <w:rPr>
                <w:rFonts w:hint="default" w:ascii="Times New Roman" w:hAnsi="Times New Roman" w:cs="Times New Roman"/>
                <w:color w:val="000000"/>
                <w:szCs w:val="21"/>
                <w:vertAlign w:val="subscript"/>
              </w:rPr>
              <w:t>2</w:t>
            </w:r>
            <w:r>
              <w:rPr>
                <w:rFonts w:hint="default" w:ascii="Times New Roman" w:hAnsi="Times New Roman" w:cs="Times New Roman"/>
                <w:color w:val="000000"/>
                <w:szCs w:val="21"/>
              </w:rPr>
              <w:t>S</w:t>
            </w:r>
          </w:p>
        </w:tc>
        <w:tc>
          <w:tcPr>
            <w:tcW w:w="1691"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2670"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0.01</w:t>
            </w:r>
          </w:p>
        </w:tc>
        <w:tc>
          <w:tcPr>
            <w:tcW w:w="1249"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215"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978" w:type="dxa"/>
            <w:shd w:val="clear" w:color="auto" w:fill="FFFFFF"/>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r>
    </w:tbl>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由上表可知，本项目区域环境空气监测项目NH</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rPr>
        <w:t>、H</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S的监测值均满足《环境影响评价技术导则 大气环境》（HJ2.2-2018）附录D中其他污染物空气质量浓度参考限值（NH</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rPr>
        <w:t>：0.2</w:t>
      </w:r>
      <w:r>
        <w:rPr>
          <w:rFonts w:hint="default" w:ascii="Times New Roman" w:hAnsi="Times New Roman" w:cs="Times New Roman"/>
          <w:bCs/>
          <w:sz w:val="24"/>
          <w:szCs w:val="24"/>
        </w:rPr>
        <w:t>mg/m³</w:t>
      </w:r>
      <w:r>
        <w:rPr>
          <w:rFonts w:hint="default" w:ascii="Times New Roman" w:hAnsi="Times New Roman" w:cs="Times New Roman"/>
          <w:color w:val="000000"/>
          <w:sz w:val="24"/>
          <w:szCs w:val="24"/>
        </w:rPr>
        <w:t>，H</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S：0.01</w:t>
      </w:r>
      <w:r>
        <w:rPr>
          <w:rFonts w:hint="default" w:ascii="Times New Roman" w:hAnsi="Times New Roman" w:cs="Times New Roman"/>
          <w:bCs/>
          <w:sz w:val="24"/>
          <w:szCs w:val="24"/>
        </w:rPr>
        <w:t>mg/m³</w:t>
      </w:r>
      <w:r>
        <w:rPr>
          <w:rFonts w:hint="default" w:ascii="Times New Roman" w:hAnsi="Times New Roman" w:cs="Times New Roman"/>
          <w:color w:val="000000"/>
          <w:sz w:val="24"/>
          <w:szCs w:val="24"/>
        </w:rPr>
        <w:t>），表明评价区域内的环境空气质量现状良好。</w:t>
      </w:r>
      <w:bookmarkEnd w:id="218"/>
      <w:bookmarkStart w:id="221" w:name="_Toc375206178"/>
      <w:bookmarkStart w:id="222" w:name="_Toc24895"/>
    </w:p>
    <w:p>
      <w:pPr>
        <w:pStyle w:val="5"/>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4.2.2 地表水环境质量现状监测与评价</w:t>
      </w:r>
      <w:bookmarkEnd w:id="221"/>
      <w:bookmarkEnd w:id="222"/>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sz w:val="24"/>
          <w:szCs w:val="24"/>
        </w:rPr>
        <w:t>根据项目特征，本项目废水全部综合利用，不外排，不会对周围地表水产生影响。本次环评地表水现状监测目的是为了了解项目所在区域地表水质量现状。</w:t>
      </w:r>
      <w:r>
        <w:rPr>
          <w:rFonts w:hint="default" w:ascii="Times New Roman" w:hAnsi="Times New Roman" w:cs="Times New Roman"/>
          <w:color w:val="000000"/>
          <w:sz w:val="24"/>
          <w:szCs w:val="24"/>
        </w:rPr>
        <w:t>本次环评引用乐山市亚庆农牧科技有限责任公司“新建80万只蛋鸡规模化养殖场项目”对项目所在区域的地表水环境质量状况</w:t>
      </w:r>
      <w:r>
        <w:rPr>
          <w:rFonts w:hint="default" w:ascii="Times New Roman" w:hAnsi="Times New Roman" w:cs="Times New Roman"/>
          <w:bCs/>
          <w:color w:val="000000"/>
          <w:sz w:val="24"/>
          <w:szCs w:val="24"/>
        </w:rPr>
        <w:t>进行了监测。</w:t>
      </w:r>
      <w:r>
        <w:rPr>
          <w:rFonts w:hint="default" w:ascii="Times New Roman" w:hAnsi="Times New Roman" w:cs="Times New Roman"/>
          <w:color w:val="000000"/>
          <w:sz w:val="24"/>
          <w:szCs w:val="24"/>
        </w:rPr>
        <w:t>乐山市亚庆农牧科技有限责任公司位于本项目东侧170m，与本项目为同一区域，监测河流为金牛河，且监测时间为2018年11月，引用有效。</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（1）监测点位设置：项目地表水监测点位见表4.2-</w:t>
      </w:r>
      <w:r>
        <w:rPr>
          <w:rFonts w:hint="default" w:ascii="Times New Roman" w:hAnsi="Times New Roman" w:cs="Times New Roman"/>
          <w:color w:val="000000"/>
          <w:sz w:val="24"/>
          <w:szCs w:val="24"/>
          <w:lang w:val="en-US" w:eastAsia="zh-CN"/>
        </w:rPr>
        <w:t>5</w:t>
      </w:r>
      <w:r>
        <w:rPr>
          <w:rFonts w:hint="default" w:ascii="Times New Roman" w:hAnsi="Times New Roman" w:cs="Times New Roman"/>
          <w:color w:val="000000"/>
          <w:sz w:val="24"/>
          <w:szCs w:val="24"/>
        </w:rPr>
        <w:t>。</w:t>
      </w:r>
    </w:p>
    <w:p>
      <w:pPr>
        <w:ind w:firstLine="480" w:firstLineChars="20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表4.2-</w:t>
      </w:r>
      <w:r>
        <w:rPr>
          <w:rFonts w:hint="default" w:ascii="Times New Roman" w:hAnsi="Times New Roman" w:eastAsia="黑体" w:cs="Times New Roman"/>
          <w:bCs/>
          <w:sz w:val="24"/>
          <w:szCs w:val="24"/>
          <w:lang w:val="en-US" w:eastAsia="zh-CN"/>
        </w:rPr>
        <w:t>5</w:t>
      </w:r>
      <w:r>
        <w:rPr>
          <w:rFonts w:hint="default" w:ascii="Times New Roman" w:hAnsi="Times New Roman" w:eastAsia="黑体" w:cs="Times New Roman"/>
          <w:bCs/>
          <w:sz w:val="24"/>
          <w:szCs w:val="24"/>
        </w:rPr>
        <w:t xml:space="preserve">   地表水环境现状监测断面布设一览表</w:t>
      </w:r>
    </w:p>
    <w:tbl>
      <w:tblPr>
        <w:tblStyle w:val="33"/>
        <w:tblW w:w="8816" w:type="dxa"/>
        <w:jc w:val="center"/>
        <w:tblInd w:w="964"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500"/>
        <w:gridCol w:w="57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1541" w:type="dxa"/>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监测点编号</w:t>
            </w:r>
          </w:p>
        </w:tc>
        <w:tc>
          <w:tcPr>
            <w:tcW w:w="1500" w:type="dxa"/>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地表水体</w:t>
            </w:r>
          </w:p>
        </w:tc>
        <w:tc>
          <w:tcPr>
            <w:tcW w:w="5775" w:type="dxa"/>
            <w:tcBorders>
              <w:tl2br w:val="nil"/>
              <w:tr2bl w:val="nil"/>
            </w:tcBorders>
            <w:vAlign w:val="center"/>
          </w:tcPr>
          <w:p>
            <w:pPr>
              <w:spacing w:line="320" w:lineRule="exact"/>
              <w:jc w:val="center"/>
              <w:rPr>
                <w:rFonts w:hint="default" w:ascii="Times New Roman" w:hAnsi="Times New Roman" w:cs="Times New Roman"/>
                <w:b/>
                <w:szCs w:val="21"/>
              </w:rPr>
            </w:pPr>
            <w:r>
              <w:rPr>
                <w:rFonts w:hint="default" w:ascii="Times New Roman" w:hAnsi="Times New Roman" w:cs="Times New Roman"/>
                <w:b/>
                <w:szCs w:val="21"/>
              </w:rPr>
              <w:t>位置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1541" w:type="dxa"/>
            <w:tcBorders>
              <w:tl2br w:val="nil"/>
              <w:tr2bl w:val="nil"/>
            </w:tcBorders>
            <w:vAlign w:val="center"/>
          </w:tcPr>
          <w:p>
            <w:pPr>
              <w:ind w:right="122" w:rightChars="58"/>
              <w:jc w:val="center"/>
              <w:rPr>
                <w:rFonts w:hint="default" w:ascii="Times New Roman" w:hAnsi="Times New Roman" w:cs="Times New Roman"/>
                <w:szCs w:val="21"/>
              </w:rPr>
            </w:pP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 1 \* ROMAN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I</w:t>
            </w:r>
            <w:r>
              <w:rPr>
                <w:rFonts w:hint="default" w:ascii="Times New Roman" w:hAnsi="Times New Roman" w:cs="Times New Roman"/>
                <w:color w:val="000000"/>
                <w:szCs w:val="21"/>
              </w:rPr>
              <w:fldChar w:fldCharType="end"/>
            </w:r>
          </w:p>
        </w:tc>
        <w:tc>
          <w:tcPr>
            <w:tcW w:w="1500" w:type="dxa"/>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金牛河</w:t>
            </w:r>
          </w:p>
        </w:tc>
        <w:tc>
          <w:tcPr>
            <w:tcW w:w="5775" w:type="dxa"/>
            <w:tcBorders>
              <w:tl2br w:val="nil"/>
              <w:tr2bl w:val="nil"/>
            </w:tcBorders>
            <w:vAlign w:val="center"/>
          </w:tcPr>
          <w:p>
            <w:pPr>
              <w:ind w:right="122" w:rightChars="58"/>
              <w:jc w:val="center"/>
              <w:rPr>
                <w:rFonts w:hint="default" w:ascii="Times New Roman" w:hAnsi="Times New Roman" w:cs="Times New Roman"/>
                <w:szCs w:val="21"/>
              </w:rPr>
            </w:pPr>
            <w:r>
              <w:rPr>
                <w:rFonts w:hint="default" w:ascii="Times New Roman" w:hAnsi="Times New Roman" w:cs="Times New Roman"/>
                <w:szCs w:val="21"/>
              </w:rPr>
              <w:t>乐山市亚庆农牧科技有限责任公司项目地</w:t>
            </w:r>
            <w:r>
              <w:rPr>
                <w:rFonts w:hint="default" w:ascii="Times New Roman" w:hAnsi="Times New Roman" w:cs="Times New Roman"/>
                <w:color w:val="000000"/>
                <w:szCs w:val="21"/>
              </w:rPr>
              <w:t>与东侧约450m处金牛河的最近断面的上游约500m处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jc w:val="center"/>
        </w:trPr>
        <w:tc>
          <w:tcPr>
            <w:tcW w:w="1541" w:type="dxa"/>
            <w:tcBorders>
              <w:tl2br w:val="nil"/>
              <w:tr2bl w:val="nil"/>
            </w:tcBorders>
            <w:vAlign w:val="center"/>
          </w:tcPr>
          <w:p>
            <w:pPr>
              <w:ind w:right="122" w:rightChars="58"/>
              <w:jc w:val="center"/>
              <w:rPr>
                <w:rFonts w:hint="default" w:ascii="Times New Roman" w:hAnsi="Times New Roman" w:cs="Times New Roman"/>
                <w:szCs w:val="21"/>
              </w:rPr>
            </w:pP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 1 \* ROMAN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I</w:t>
            </w:r>
            <w:r>
              <w:rPr>
                <w:rFonts w:hint="default" w:ascii="Times New Roman" w:hAnsi="Times New Roman" w:cs="Times New Roman"/>
                <w:color w:val="000000"/>
                <w:szCs w:val="21"/>
              </w:rPr>
              <w:fldChar w:fldCharType="end"/>
            </w: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 1 \* ROMAN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I</w:t>
            </w:r>
            <w:r>
              <w:rPr>
                <w:rFonts w:hint="default" w:ascii="Times New Roman" w:hAnsi="Times New Roman" w:cs="Times New Roman"/>
                <w:color w:val="000000"/>
                <w:szCs w:val="21"/>
              </w:rPr>
              <w:fldChar w:fldCharType="end"/>
            </w:r>
          </w:p>
        </w:tc>
        <w:tc>
          <w:tcPr>
            <w:tcW w:w="1500" w:type="dxa"/>
            <w:vMerge w:val="continue"/>
            <w:tcBorders>
              <w:tl2br w:val="nil"/>
              <w:tr2bl w:val="nil"/>
            </w:tcBorders>
            <w:vAlign w:val="center"/>
          </w:tcPr>
          <w:p>
            <w:pPr>
              <w:jc w:val="center"/>
              <w:rPr>
                <w:rFonts w:hint="default" w:ascii="Times New Roman" w:hAnsi="Times New Roman" w:cs="Times New Roman"/>
                <w:szCs w:val="21"/>
              </w:rPr>
            </w:pPr>
          </w:p>
        </w:tc>
        <w:tc>
          <w:tcPr>
            <w:tcW w:w="5775" w:type="dxa"/>
            <w:tcBorders>
              <w:tl2br w:val="nil"/>
              <w:tr2bl w:val="nil"/>
            </w:tcBorders>
            <w:vAlign w:val="center"/>
          </w:tcPr>
          <w:p>
            <w:pPr>
              <w:ind w:right="122" w:rightChars="58"/>
              <w:jc w:val="center"/>
              <w:rPr>
                <w:rFonts w:hint="default" w:ascii="Times New Roman" w:hAnsi="Times New Roman" w:cs="Times New Roman"/>
                <w:szCs w:val="21"/>
              </w:rPr>
            </w:pPr>
            <w:r>
              <w:rPr>
                <w:rFonts w:hint="default" w:ascii="Times New Roman" w:hAnsi="Times New Roman" w:cs="Times New Roman"/>
                <w:szCs w:val="21"/>
              </w:rPr>
              <w:t>乐山市亚庆农牧科技有限责任公司项目地</w:t>
            </w:r>
            <w:r>
              <w:rPr>
                <w:rFonts w:hint="default" w:ascii="Times New Roman" w:hAnsi="Times New Roman" w:cs="Times New Roman"/>
                <w:color w:val="000000"/>
                <w:szCs w:val="21"/>
              </w:rPr>
              <w:t>与东侧约450m处金牛河的最近断面的下游约500m处</w:t>
            </w:r>
          </w:p>
        </w:tc>
      </w:tr>
    </w:tbl>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（2）监测项目：pH、CODcr、BOD</w:t>
      </w:r>
      <w:r>
        <w:rPr>
          <w:rFonts w:hint="default" w:ascii="Times New Roman" w:hAnsi="Times New Roman" w:cs="Times New Roman"/>
          <w:color w:val="000000"/>
          <w:sz w:val="24"/>
          <w:szCs w:val="24"/>
          <w:vertAlign w:val="subscript"/>
        </w:rPr>
        <w:t>5</w:t>
      </w:r>
      <w:r>
        <w:rPr>
          <w:rFonts w:hint="default" w:ascii="Times New Roman" w:hAnsi="Times New Roman" w:cs="Times New Roman"/>
          <w:color w:val="000000"/>
          <w:sz w:val="24"/>
          <w:szCs w:val="24"/>
        </w:rPr>
        <w:t>、NH</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rPr>
        <w:t>-N、总氮、总磷、溶解氧、石油类、粪大肠菌群。</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（3）监测时间及频率：监测3天，每天监测1次。</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（4）评价标准：执行《地表水环境质量标准》（GB3838-2002）中Ⅲ类水域水质标准。</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（5）评价方法：</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① 对于一般污染物：</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采用单项标准指数法对各评价因子进行单项水质参数评价，计算方法如下：</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Sij=Cij/Csi</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式中：Sij——i污染物在第j点的标准指数；</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Cij——i污染物在第j点的实测浓度（mg/L）；</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Csi——i污染物的标准限值（mg/L)。</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pH的标准指数为：</w:t>
      </w:r>
    </w:p>
    <w:p>
      <w:pPr>
        <w:spacing w:line="360" w:lineRule="auto"/>
        <w:ind w:right="122" w:rightChars="58"/>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SpH</w:t>
      </w:r>
      <w:r>
        <w:rPr>
          <w:rFonts w:hint="default" w:ascii="Times New Roman" w:hAnsi="Times New Roman" w:cs="Times New Roman"/>
          <w:color w:val="000000"/>
          <w:sz w:val="24"/>
          <w:szCs w:val="24"/>
          <w:vertAlign w:val="subscript"/>
        </w:rPr>
        <w:t>,j</w:t>
      </w:r>
      <w:r>
        <w:rPr>
          <w:rFonts w:hint="default" w:ascii="Times New Roman" w:hAnsi="Times New Roman" w:cs="Times New Roman"/>
          <w:color w:val="000000"/>
          <w:sz w:val="24"/>
          <w:szCs w:val="24"/>
        </w:rPr>
        <w:t>=(7.0-pH</w:t>
      </w:r>
      <w:r>
        <w:rPr>
          <w:rFonts w:hint="default" w:ascii="Times New Roman" w:hAnsi="Times New Roman" w:cs="Times New Roman"/>
          <w:color w:val="000000"/>
          <w:sz w:val="24"/>
          <w:szCs w:val="24"/>
          <w:vertAlign w:val="subscript"/>
        </w:rPr>
        <w:t>j</w:t>
      </w:r>
      <w:r>
        <w:rPr>
          <w:rFonts w:hint="default" w:ascii="Times New Roman" w:hAnsi="Times New Roman" w:cs="Times New Roman"/>
          <w:color w:val="000000"/>
          <w:sz w:val="24"/>
          <w:szCs w:val="24"/>
        </w:rPr>
        <w:t>)/7.0-pH</w:t>
      </w:r>
      <w:r>
        <w:rPr>
          <w:rFonts w:hint="default" w:ascii="Times New Roman" w:hAnsi="Times New Roman" w:cs="Times New Roman"/>
          <w:color w:val="000000"/>
          <w:sz w:val="24"/>
          <w:szCs w:val="24"/>
          <w:vertAlign w:val="subscript"/>
        </w:rPr>
        <w:t>sd</w:t>
      </w:r>
      <w:r>
        <w:rPr>
          <w:rFonts w:hint="default" w:ascii="Times New Roman" w:hAnsi="Times New Roman" w:cs="Times New Roman"/>
          <w:color w:val="000000"/>
          <w:sz w:val="24"/>
          <w:szCs w:val="24"/>
        </w:rPr>
        <w:t xml:space="preserve">     (pH</w:t>
      </w:r>
      <w:r>
        <w:rPr>
          <w:rFonts w:hint="default" w:ascii="Times New Roman" w:hAnsi="Times New Roman" w:cs="Times New Roman"/>
          <w:color w:val="000000"/>
          <w:sz w:val="24"/>
          <w:szCs w:val="24"/>
          <w:vertAlign w:val="subscript"/>
        </w:rPr>
        <w:t>i</w:t>
      </w:r>
      <w:r>
        <w:rPr>
          <w:rFonts w:hint="default" w:ascii="Times New Roman" w:hAnsi="Times New Roman" w:cs="Times New Roman"/>
          <w:color w:val="000000"/>
          <w:sz w:val="24"/>
          <w:szCs w:val="24"/>
        </w:rPr>
        <w:t>≤7.0时)</w:t>
      </w:r>
    </w:p>
    <w:p>
      <w:pPr>
        <w:spacing w:line="360" w:lineRule="auto"/>
        <w:ind w:right="122" w:rightChars="58"/>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SpH</w:t>
      </w:r>
      <w:r>
        <w:rPr>
          <w:rFonts w:hint="default" w:ascii="Times New Roman" w:hAnsi="Times New Roman" w:cs="Times New Roman"/>
          <w:color w:val="000000"/>
          <w:sz w:val="24"/>
          <w:szCs w:val="24"/>
          <w:vertAlign w:val="subscript"/>
        </w:rPr>
        <w:t>,j</w:t>
      </w:r>
      <w:r>
        <w:rPr>
          <w:rFonts w:hint="default" w:ascii="Times New Roman" w:hAnsi="Times New Roman" w:cs="Times New Roman"/>
          <w:color w:val="000000"/>
          <w:sz w:val="24"/>
          <w:szCs w:val="24"/>
        </w:rPr>
        <w:t>=(pH</w:t>
      </w:r>
      <w:r>
        <w:rPr>
          <w:rFonts w:hint="default" w:ascii="Times New Roman" w:hAnsi="Times New Roman" w:cs="Times New Roman"/>
          <w:color w:val="000000"/>
          <w:sz w:val="24"/>
          <w:szCs w:val="24"/>
          <w:vertAlign w:val="subscript"/>
        </w:rPr>
        <w:t>j</w:t>
      </w:r>
      <w:r>
        <w:rPr>
          <w:rFonts w:hint="default" w:ascii="Times New Roman" w:hAnsi="Times New Roman" w:cs="Times New Roman"/>
          <w:color w:val="000000"/>
          <w:sz w:val="24"/>
          <w:szCs w:val="24"/>
        </w:rPr>
        <w:t>-7.0)/pH</w:t>
      </w:r>
      <w:r>
        <w:rPr>
          <w:rFonts w:hint="default" w:ascii="Times New Roman" w:hAnsi="Times New Roman" w:cs="Times New Roman"/>
          <w:color w:val="000000"/>
          <w:sz w:val="24"/>
          <w:szCs w:val="24"/>
          <w:vertAlign w:val="subscript"/>
        </w:rPr>
        <w:t>su</w:t>
      </w:r>
      <w:r>
        <w:rPr>
          <w:rFonts w:hint="default" w:ascii="Times New Roman" w:hAnsi="Times New Roman" w:cs="Times New Roman"/>
          <w:color w:val="000000"/>
          <w:sz w:val="24"/>
          <w:szCs w:val="24"/>
        </w:rPr>
        <w:t>-7.0     (pH</w:t>
      </w:r>
      <w:r>
        <w:rPr>
          <w:rFonts w:hint="default" w:ascii="Times New Roman" w:hAnsi="Times New Roman" w:cs="Times New Roman"/>
          <w:color w:val="000000"/>
          <w:sz w:val="24"/>
          <w:szCs w:val="24"/>
          <w:vertAlign w:val="subscript"/>
        </w:rPr>
        <w:t>i</w:t>
      </w:r>
      <w:r>
        <w:rPr>
          <w:rFonts w:hint="default" w:ascii="Times New Roman" w:hAnsi="Times New Roman" w:cs="Times New Roman"/>
          <w:color w:val="000000"/>
          <w:sz w:val="24"/>
          <w:szCs w:val="24"/>
        </w:rPr>
        <w:t>＞7.0时)</w:t>
      </w:r>
    </w:p>
    <w:p>
      <w:pPr>
        <w:spacing w:line="360" w:lineRule="auto"/>
        <w:ind w:right="122" w:rightChars="58" w:firstLine="720" w:firstLineChars="3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式中：SpH</w:t>
      </w:r>
      <w:r>
        <w:rPr>
          <w:rFonts w:hint="default" w:ascii="Times New Roman" w:hAnsi="Times New Roman" w:cs="Times New Roman"/>
          <w:color w:val="000000"/>
          <w:sz w:val="24"/>
          <w:szCs w:val="24"/>
          <w:vertAlign w:val="subscript"/>
        </w:rPr>
        <w:t>,j</w:t>
      </w:r>
      <w:r>
        <w:rPr>
          <w:rFonts w:hint="default" w:ascii="Times New Roman" w:hAnsi="Times New Roman" w:cs="Times New Roman"/>
          <w:color w:val="000000"/>
          <w:sz w:val="24"/>
          <w:szCs w:val="24"/>
        </w:rPr>
        <w:t>——第j点pH的标准指数；</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pH</w:t>
      </w:r>
      <w:r>
        <w:rPr>
          <w:rFonts w:hint="default" w:ascii="Times New Roman" w:hAnsi="Times New Roman" w:cs="Times New Roman"/>
          <w:color w:val="000000"/>
          <w:sz w:val="24"/>
          <w:szCs w:val="24"/>
          <w:vertAlign w:val="subscript"/>
        </w:rPr>
        <w:t>j</w:t>
      </w:r>
      <w:r>
        <w:rPr>
          <w:rFonts w:hint="default" w:ascii="Times New Roman" w:hAnsi="Times New Roman" w:cs="Times New Roman"/>
          <w:color w:val="000000"/>
          <w:sz w:val="24"/>
          <w:szCs w:val="24"/>
        </w:rPr>
        <w:t>——第j点的监测值；</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pH</w:t>
      </w:r>
      <w:r>
        <w:rPr>
          <w:rFonts w:hint="default" w:ascii="Times New Roman" w:hAnsi="Times New Roman" w:cs="Times New Roman"/>
          <w:color w:val="000000"/>
          <w:sz w:val="24"/>
          <w:szCs w:val="24"/>
          <w:vertAlign w:val="subscript"/>
        </w:rPr>
        <w:t>su</w:t>
      </w:r>
      <w:r>
        <w:rPr>
          <w:rFonts w:hint="default" w:ascii="Times New Roman" w:hAnsi="Times New Roman" w:cs="Times New Roman"/>
          <w:color w:val="000000"/>
          <w:sz w:val="24"/>
          <w:szCs w:val="24"/>
        </w:rPr>
        <w:t>、pH</w:t>
      </w:r>
      <w:r>
        <w:rPr>
          <w:rFonts w:hint="default" w:ascii="Times New Roman" w:hAnsi="Times New Roman" w:cs="Times New Roman"/>
          <w:color w:val="000000"/>
          <w:sz w:val="24"/>
          <w:szCs w:val="24"/>
          <w:vertAlign w:val="subscript"/>
        </w:rPr>
        <w:t>sd</w:t>
      </w:r>
      <w:r>
        <w:rPr>
          <w:rFonts w:hint="default" w:ascii="Times New Roman" w:hAnsi="Times New Roman" w:cs="Times New Roman"/>
          <w:color w:val="000000"/>
          <w:sz w:val="24"/>
          <w:szCs w:val="24"/>
        </w:rPr>
        <w:t>——pH标准限值的上、下限值。</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（6）监测结果统计及评价</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表4.2-</w:t>
      </w:r>
      <w:r>
        <w:rPr>
          <w:rFonts w:hint="default" w:ascii="Times New Roman" w:hAnsi="Times New Roman" w:eastAsia="黑体" w:cs="Times New Roman"/>
          <w:bCs/>
          <w:sz w:val="24"/>
          <w:szCs w:val="24"/>
          <w:lang w:val="en-US" w:eastAsia="zh-CN"/>
        </w:rPr>
        <w:t>6</w:t>
      </w:r>
      <w:r>
        <w:rPr>
          <w:rFonts w:hint="default" w:ascii="Times New Roman" w:hAnsi="Times New Roman" w:eastAsia="黑体" w:cs="Times New Roman"/>
          <w:bCs/>
          <w:sz w:val="24"/>
          <w:szCs w:val="24"/>
        </w:rPr>
        <w:t xml:space="preserve">  地表水现状监测结果评价表  单位：mg/L，pH标准指数值无量纲</w:t>
      </w:r>
    </w:p>
    <w:tbl>
      <w:tblPr>
        <w:tblStyle w:val="33"/>
        <w:tblpPr w:leftFromText="180" w:rightFromText="180" w:vertAnchor="text" w:tblpXSpec="center" w:tblpY="1"/>
        <w:tblOverlap w:val="never"/>
        <w:tblW w:w="104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2"/>
        <w:gridCol w:w="923"/>
        <w:gridCol w:w="1190"/>
        <w:gridCol w:w="698"/>
        <w:gridCol w:w="839"/>
        <w:gridCol w:w="834"/>
        <w:gridCol w:w="819"/>
        <w:gridCol w:w="864"/>
        <w:gridCol w:w="776"/>
        <w:gridCol w:w="902"/>
        <w:gridCol w:w="850"/>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435" w:type="dxa"/>
            <w:gridSpan w:val="2"/>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点位</w:t>
            </w: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指标</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pH</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COD</w:t>
            </w:r>
            <w:r>
              <w:rPr>
                <w:rFonts w:hint="default" w:ascii="Times New Roman" w:hAnsi="Times New Roman" w:cs="Times New Roman"/>
                <w:color w:val="000000"/>
                <w:szCs w:val="21"/>
                <w:vertAlign w:val="subscript"/>
              </w:rPr>
              <w:t>Cr</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BOD</w:t>
            </w:r>
            <w:r>
              <w:rPr>
                <w:rFonts w:hint="default" w:ascii="Times New Roman" w:hAnsi="Times New Roman" w:cs="Times New Roman"/>
                <w:color w:val="000000"/>
                <w:szCs w:val="21"/>
                <w:vertAlign w:val="subscript"/>
              </w:rPr>
              <w:t>5</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NH</w:t>
            </w:r>
            <w:r>
              <w:rPr>
                <w:rFonts w:hint="default" w:ascii="Times New Roman" w:hAnsi="Times New Roman" w:cs="Times New Roman"/>
                <w:color w:val="000000"/>
                <w:szCs w:val="21"/>
                <w:vertAlign w:val="subscript"/>
              </w:rPr>
              <w:t>3</w:t>
            </w:r>
            <w:r>
              <w:rPr>
                <w:rFonts w:hint="default" w:ascii="Times New Roman" w:hAnsi="Times New Roman" w:cs="Times New Roman"/>
                <w:color w:val="000000"/>
                <w:szCs w:val="21"/>
              </w:rPr>
              <w:t>-N</w:t>
            </w:r>
          </w:p>
        </w:tc>
        <w:tc>
          <w:tcPr>
            <w:tcW w:w="86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总氮</w:t>
            </w:r>
          </w:p>
        </w:tc>
        <w:tc>
          <w:tcPr>
            <w:tcW w:w="7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总磷</w:t>
            </w:r>
          </w:p>
        </w:tc>
        <w:tc>
          <w:tcPr>
            <w:tcW w:w="9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溶解氧</w:t>
            </w:r>
          </w:p>
        </w:tc>
        <w:tc>
          <w:tcPr>
            <w:tcW w:w="8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石油类</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粪大肠菌群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1435" w:type="dxa"/>
            <w:gridSpan w:val="2"/>
            <w:vMerge w:val="continue"/>
            <w:vAlign w:val="center"/>
          </w:tcPr>
          <w:p>
            <w:pPr>
              <w:jc w:val="center"/>
              <w:rPr>
                <w:rFonts w:hint="default" w:ascii="Times New Roman" w:hAnsi="Times New Roman" w:cs="Times New Roman"/>
                <w:color w:val="000000"/>
                <w:szCs w:val="21"/>
              </w:rPr>
            </w:pP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Ⅲ类水域标准值</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6～9</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c>
          <w:tcPr>
            <w:tcW w:w="86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c>
          <w:tcPr>
            <w:tcW w:w="77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≤0.2</w:t>
            </w:r>
          </w:p>
        </w:tc>
        <w:tc>
          <w:tcPr>
            <w:tcW w:w="90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850"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≤0.05</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≤10000（个/L）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 1 \* ROMAN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I</w:t>
            </w:r>
            <w:r>
              <w:rPr>
                <w:rFonts w:hint="default" w:ascii="Times New Roman" w:hAnsi="Times New Roman" w:cs="Times New Roman"/>
                <w:color w:val="000000"/>
                <w:szCs w:val="21"/>
              </w:rPr>
              <w:fldChar w:fldCharType="end"/>
            </w:r>
          </w:p>
        </w:tc>
        <w:tc>
          <w:tcPr>
            <w:tcW w:w="923"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2018.11.23</w:t>
            </w: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监测浓度</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6.50</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15</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3.7</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0.536</w:t>
            </w:r>
          </w:p>
        </w:tc>
        <w:tc>
          <w:tcPr>
            <w:tcW w:w="86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0.97</w:t>
            </w:r>
          </w:p>
        </w:tc>
        <w:tc>
          <w:tcPr>
            <w:tcW w:w="7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0.20</w:t>
            </w:r>
          </w:p>
        </w:tc>
        <w:tc>
          <w:tcPr>
            <w:tcW w:w="9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9.35</w:t>
            </w:r>
          </w:p>
        </w:tc>
        <w:tc>
          <w:tcPr>
            <w:tcW w:w="8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0.03</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continue"/>
            <w:vAlign w:val="center"/>
          </w:tcPr>
          <w:p>
            <w:pPr>
              <w:jc w:val="center"/>
              <w:rPr>
                <w:rFonts w:hint="default" w:ascii="Times New Roman" w:hAnsi="Times New Roman" w:cs="Times New Roman"/>
                <w:color w:val="000000"/>
                <w:szCs w:val="21"/>
              </w:rPr>
            </w:pP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标准指数</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0.75</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0.925</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0.536</w:t>
            </w:r>
          </w:p>
        </w:tc>
        <w:tc>
          <w:tcPr>
            <w:tcW w:w="86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0.97</w:t>
            </w:r>
          </w:p>
        </w:tc>
        <w:tc>
          <w:tcPr>
            <w:tcW w:w="7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9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0.6</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continue"/>
            <w:vAlign w:val="center"/>
          </w:tcPr>
          <w:p>
            <w:pPr>
              <w:jc w:val="center"/>
              <w:rPr>
                <w:rFonts w:hint="default" w:ascii="Times New Roman" w:hAnsi="Times New Roman" w:cs="Times New Roman"/>
                <w:color w:val="000000"/>
                <w:szCs w:val="21"/>
              </w:rPr>
            </w:pP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超标倍数</w:t>
            </w:r>
          </w:p>
        </w:tc>
        <w:tc>
          <w:tcPr>
            <w:tcW w:w="698" w:type="dxa"/>
            <w:vAlign w:val="center"/>
          </w:tcPr>
          <w:p>
            <w:pPr>
              <w:jc w:val="center"/>
              <w:rPr>
                <w:rFonts w:hint="default" w:ascii="Times New Roman" w:hAnsi="Times New Roman" w:cs="Times New Roman"/>
              </w:rPr>
            </w:pPr>
            <w:r>
              <w:rPr>
                <w:rFonts w:hint="default" w:ascii="Times New Roman" w:hAnsi="Times New Roman" w:cs="Times New Roman"/>
              </w:rPr>
              <w:t>0</w:t>
            </w:r>
          </w:p>
        </w:tc>
        <w:tc>
          <w:tcPr>
            <w:tcW w:w="839" w:type="dxa"/>
            <w:vAlign w:val="center"/>
          </w:tcPr>
          <w:p>
            <w:pPr>
              <w:jc w:val="center"/>
              <w:rPr>
                <w:rFonts w:hint="default" w:ascii="Times New Roman" w:hAnsi="Times New Roman" w:cs="Times New Roman"/>
              </w:rPr>
            </w:pPr>
            <w:r>
              <w:rPr>
                <w:rFonts w:hint="default" w:ascii="Times New Roman" w:hAnsi="Times New Roman" w:cs="Times New Roman"/>
              </w:rPr>
              <w:t>0</w:t>
            </w:r>
          </w:p>
        </w:tc>
        <w:tc>
          <w:tcPr>
            <w:tcW w:w="834" w:type="dxa"/>
            <w:vAlign w:val="center"/>
          </w:tcPr>
          <w:p>
            <w:pPr>
              <w:jc w:val="center"/>
              <w:rPr>
                <w:rFonts w:hint="default" w:ascii="Times New Roman" w:hAnsi="Times New Roman" w:cs="Times New Roman"/>
              </w:rPr>
            </w:pPr>
            <w:r>
              <w:rPr>
                <w:rFonts w:hint="default" w:ascii="Times New Roman" w:hAnsi="Times New Roman" w:cs="Times New Roman"/>
              </w:rPr>
              <w:t>0</w:t>
            </w:r>
          </w:p>
        </w:tc>
        <w:tc>
          <w:tcPr>
            <w:tcW w:w="819" w:type="dxa"/>
            <w:vAlign w:val="center"/>
          </w:tcPr>
          <w:p>
            <w:pPr>
              <w:jc w:val="center"/>
              <w:rPr>
                <w:rFonts w:hint="default" w:ascii="Times New Roman" w:hAnsi="Times New Roman" w:cs="Times New Roman"/>
              </w:rPr>
            </w:pPr>
            <w:r>
              <w:rPr>
                <w:rFonts w:hint="default" w:ascii="Times New Roman" w:hAnsi="Times New Roman" w:cs="Times New Roman"/>
              </w:rPr>
              <w:t>0</w:t>
            </w:r>
          </w:p>
        </w:tc>
        <w:tc>
          <w:tcPr>
            <w:tcW w:w="864" w:type="dxa"/>
            <w:vAlign w:val="center"/>
          </w:tcPr>
          <w:p>
            <w:pPr>
              <w:jc w:val="center"/>
              <w:rPr>
                <w:rFonts w:hint="default" w:ascii="Times New Roman" w:hAnsi="Times New Roman" w:cs="Times New Roman"/>
              </w:rPr>
            </w:pPr>
            <w:r>
              <w:rPr>
                <w:rFonts w:hint="default" w:ascii="Times New Roman" w:hAnsi="Times New Roman" w:cs="Times New Roman"/>
              </w:rPr>
              <w:t>0</w:t>
            </w:r>
          </w:p>
        </w:tc>
        <w:tc>
          <w:tcPr>
            <w:tcW w:w="776" w:type="dxa"/>
            <w:vAlign w:val="center"/>
          </w:tcPr>
          <w:p>
            <w:pPr>
              <w:jc w:val="center"/>
              <w:rPr>
                <w:rFonts w:hint="default" w:ascii="Times New Roman" w:hAnsi="Times New Roman" w:cs="Times New Roman"/>
              </w:rPr>
            </w:pPr>
            <w:r>
              <w:rPr>
                <w:rFonts w:hint="default" w:ascii="Times New Roman" w:hAnsi="Times New Roman" w:cs="Times New Roman"/>
              </w:rPr>
              <w:t>0</w:t>
            </w:r>
          </w:p>
        </w:tc>
        <w:tc>
          <w:tcPr>
            <w:tcW w:w="902" w:type="dxa"/>
            <w:vAlign w:val="center"/>
          </w:tcPr>
          <w:p>
            <w:pPr>
              <w:jc w:val="center"/>
              <w:rPr>
                <w:rFonts w:hint="default" w:ascii="Times New Roman" w:hAnsi="Times New Roman" w:cs="Times New Roman"/>
              </w:rPr>
            </w:pPr>
            <w:r>
              <w:rPr>
                <w:rFonts w:hint="default" w:ascii="Times New Roman" w:hAnsi="Times New Roman" w:cs="Times New Roman"/>
              </w:rPr>
              <w:t>0</w:t>
            </w:r>
          </w:p>
        </w:tc>
        <w:tc>
          <w:tcPr>
            <w:tcW w:w="850" w:type="dxa"/>
            <w:vAlign w:val="center"/>
          </w:tcPr>
          <w:p>
            <w:pPr>
              <w:jc w:val="center"/>
              <w:rPr>
                <w:rFonts w:hint="default" w:ascii="Times New Roman" w:hAnsi="Times New Roman" w:cs="Times New Roman"/>
              </w:rPr>
            </w:pPr>
            <w:r>
              <w:rPr>
                <w:rFonts w:hint="default" w:ascii="Times New Roman" w:hAnsi="Times New Roman" w:cs="Times New Roman"/>
              </w:rPr>
              <w:t>0</w:t>
            </w:r>
          </w:p>
        </w:tc>
        <w:tc>
          <w:tcPr>
            <w:tcW w:w="1273" w:type="dxa"/>
            <w:vAlign w:val="center"/>
          </w:tcPr>
          <w:p>
            <w:pPr>
              <w:jc w:val="center"/>
              <w:rPr>
                <w:rFonts w:hint="default" w:ascii="Times New Roman" w:hAnsi="Times New Roman" w:cs="Times New Roman"/>
              </w:rPr>
            </w:pPr>
            <w:r>
              <w:rPr>
                <w:rFonts w:hint="default" w:ascii="Times New Roman" w:hAnsi="Times New Roman" w:cs="Times New Roma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2018.11.24</w:t>
            </w: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监测浓度</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6.42</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15</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4.0</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0.591</w:t>
            </w:r>
          </w:p>
        </w:tc>
        <w:tc>
          <w:tcPr>
            <w:tcW w:w="86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0.87</w:t>
            </w:r>
          </w:p>
        </w:tc>
        <w:tc>
          <w:tcPr>
            <w:tcW w:w="7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0.17</w:t>
            </w:r>
          </w:p>
        </w:tc>
        <w:tc>
          <w:tcPr>
            <w:tcW w:w="9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9.09</w:t>
            </w:r>
          </w:p>
        </w:tc>
        <w:tc>
          <w:tcPr>
            <w:tcW w:w="8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0.01</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continue"/>
            <w:vAlign w:val="center"/>
          </w:tcPr>
          <w:p>
            <w:pPr>
              <w:jc w:val="center"/>
              <w:rPr>
                <w:rFonts w:hint="default" w:ascii="Times New Roman" w:hAnsi="Times New Roman" w:cs="Times New Roman"/>
                <w:color w:val="000000"/>
                <w:szCs w:val="21"/>
              </w:rPr>
            </w:pP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标准指数</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0.58</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0.75</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0.591</w:t>
            </w:r>
          </w:p>
        </w:tc>
        <w:tc>
          <w:tcPr>
            <w:tcW w:w="86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0.87</w:t>
            </w:r>
          </w:p>
        </w:tc>
        <w:tc>
          <w:tcPr>
            <w:tcW w:w="7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0.85</w:t>
            </w:r>
          </w:p>
        </w:tc>
        <w:tc>
          <w:tcPr>
            <w:tcW w:w="9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continue"/>
            <w:vAlign w:val="center"/>
          </w:tcPr>
          <w:p>
            <w:pPr>
              <w:jc w:val="center"/>
              <w:rPr>
                <w:rFonts w:hint="default" w:ascii="Times New Roman" w:hAnsi="Times New Roman" w:cs="Times New Roman"/>
                <w:color w:val="000000"/>
                <w:szCs w:val="21"/>
              </w:rPr>
            </w:pP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超标倍数</w:t>
            </w:r>
          </w:p>
        </w:tc>
        <w:tc>
          <w:tcPr>
            <w:tcW w:w="698"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39"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34"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19"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64"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776"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902"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50"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1273"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2018.11.25</w:t>
            </w: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监测浓度</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6.44</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14</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3.7</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0.672</w:t>
            </w:r>
          </w:p>
        </w:tc>
        <w:tc>
          <w:tcPr>
            <w:tcW w:w="86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0.52</w:t>
            </w:r>
          </w:p>
        </w:tc>
        <w:tc>
          <w:tcPr>
            <w:tcW w:w="7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0.20</w:t>
            </w:r>
          </w:p>
        </w:tc>
        <w:tc>
          <w:tcPr>
            <w:tcW w:w="9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9.25</w:t>
            </w:r>
          </w:p>
        </w:tc>
        <w:tc>
          <w:tcPr>
            <w:tcW w:w="8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0.01</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continue"/>
            <w:vAlign w:val="center"/>
          </w:tcPr>
          <w:p>
            <w:pPr>
              <w:jc w:val="center"/>
              <w:rPr>
                <w:rFonts w:hint="default" w:ascii="Times New Roman" w:hAnsi="Times New Roman" w:cs="Times New Roman"/>
                <w:color w:val="000000"/>
                <w:szCs w:val="21"/>
              </w:rPr>
            </w:pP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标准指数</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0.56</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0.7</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0.925</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0.672</w:t>
            </w:r>
          </w:p>
        </w:tc>
        <w:tc>
          <w:tcPr>
            <w:tcW w:w="86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0.52</w:t>
            </w:r>
          </w:p>
        </w:tc>
        <w:tc>
          <w:tcPr>
            <w:tcW w:w="7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9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continue"/>
            <w:vAlign w:val="center"/>
          </w:tcPr>
          <w:p>
            <w:pPr>
              <w:jc w:val="center"/>
              <w:rPr>
                <w:rFonts w:hint="default" w:ascii="Times New Roman" w:hAnsi="Times New Roman" w:cs="Times New Roman"/>
                <w:color w:val="000000"/>
                <w:szCs w:val="21"/>
              </w:rPr>
            </w:pP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超标倍数</w:t>
            </w:r>
          </w:p>
        </w:tc>
        <w:tc>
          <w:tcPr>
            <w:tcW w:w="698"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39"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34"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19"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64"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776"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902"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50"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1273"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 1 \* ROMAN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I</w:t>
            </w:r>
            <w:r>
              <w:rPr>
                <w:rFonts w:hint="default" w:ascii="Times New Roman" w:hAnsi="Times New Roman" w:cs="Times New Roman"/>
                <w:color w:val="000000"/>
                <w:szCs w:val="21"/>
              </w:rPr>
              <w:fldChar w:fldCharType="end"/>
            </w: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 1 \* ROMAN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I</w:t>
            </w:r>
            <w:r>
              <w:rPr>
                <w:rFonts w:hint="default" w:ascii="Times New Roman" w:hAnsi="Times New Roman" w:cs="Times New Roman"/>
                <w:color w:val="000000"/>
                <w:szCs w:val="21"/>
              </w:rPr>
              <w:fldChar w:fldCharType="end"/>
            </w:r>
          </w:p>
        </w:tc>
        <w:tc>
          <w:tcPr>
            <w:tcW w:w="923"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2018.11.23</w:t>
            </w: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监测浓度</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6.44</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15</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3.9</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0.295</w:t>
            </w:r>
          </w:p>
        </w:tc>
        <w:tc>
          <w:tcPr>
            <w:tcW w:w="86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0.92</w:t>
            </w:r>
          </w:p>
        </w:tc>
        <w:tc>
          <w:tcPr>
            <w:tcW w:w="7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0.20</w:t>
            </w:r>
          </w:p>
        </w:tc>
        <w:tc>
          <w:tcPr>
            <w:tcW w:w="9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9.10</w:t>
            </w:r>
          </w:p>
        </w:tc>
        <w:tc>
          <w:tcPr>
            <w:tcW w:w="8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0.02</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continue"/>
            <w:vAlign w:val="center"/>
          </w:tcPr>
          <w:p>
            <w:pPr>
              <w:jc w:val="center"/>
              <w:rPr>
                <w:rFonts w:hint="default" w:ascii="Times New Roman" w:hAnsi="Times New Roman" w:cs="Times New Roman"/>
                <w:color w:val="000000"/>
                <w:szCs w:val="21"/>
              </w:rPr>
            </w:pP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标准指数</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0.56</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0.75</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0.975</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0.295</w:t>
            </w:r>
          </w:p>
        </w:tc>
        <w:tc>
          <w:tcPr>
            <w:tcW w:w="86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0.92</w:t>
            </w:r>
          </w:p>
        </w:tc>
        <w:tc>
          <w:tcPr>
            <w:tcW w:w="7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9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0.4</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continue"/>
            <w:vAlign w:val="center"/>
          </w:tcPr>
          <w:p>
            <w:pPr>
              <w:jc w:val="center"/>
              <w:rPr>
                <w:rFonts w:hint="default" w:ascii="Times New Roman" w:hAnsi="Times New Roman" w:cs="Times New Roman"/>
                <w:color w:val="000000"/>
                <w:szCs w:val="21"/>
              </w:rPr>
            </w:pP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超标倍数</w:t>
            </w:r>
          </w:p>
        </w:tc>
        <w:tc>
          <w:tcPr>
            <w:tcW w:w="698"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39"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34"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19"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64"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776"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902"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50"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1273"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2018.11.24</w:t>
            </w: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监测浓度</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6.55</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14</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3.8</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0.313</w:t>
            </w:r>
          </w:p>
        </w:tc>
        <w:tc>
          <w:tcPr>
            <w:tcW w:w="86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0.54</w:t>
            </w:r>
          </w:p>
        </w:tc>
        <w:tc>
          <w:tcPr>
            <w:tcW w:w="7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0.19</w:t>
            </w:r>
          </w:p>
        </w:tc>
        <w:tc>
          <w:tcPr>
            <w:tcW w:w="9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9.18</w:t>
            </w:r>
          </w:p>
        </w:tc>
        <w:tc>
          <w:tcPr>
            <w:tcW w:w="8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0.02</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continue"/>
            <w:vAlign w:val="center"/>
          </w:tcPr>
          <w:p>
            <w:pPr>
              <w:jc w:val="center"/>
              <w:rPr>
                <w:rFonts w:hint="default" w:ascii="Times New Roman" w:hAnsi="Times New Roman" w:cs="Times New Roman"/>
                <w:color w:val="000000"/>
                <w:szCs w:val="21"/>
              </w:rPr>
            </w:pP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标准指数</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0.45</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0.7</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0.95</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0.313</w:t>
            </w:r>
          </w:p>
        </w:tc>
        <w:tc>
          <w:tcPr>
            <w:tcW w:w="86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0.54</w:t>
            </w:r>
          </w:p>
        </w:tc>
        <w:tc>
          <w:tcPr>
            <w:tcW w:w="7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0.95</w:t>
            </w:r>
          </w:p>
        </w:tc>
        <w:tc>
          <w:tcPr>
            <w:tcW w:w="9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0.4</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continue"/>
            <w:vAlign w:val="center"/>
          </w:tcPr>
          <w:p>
            <w:pPr>
              <w:jc w:val="center"/>
              <w:rPr>
                <w:rFonts w:hint="default" w:ascii="Times New Roman" w:hAnsi="Times New Roman" w:cs="Times New Roman"/>
                <w:color w:val="000000"/>
                <w:szCs w:val="21"/>
              </w:rPr>
            </w:pP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超标倍数</w:t>
            </w:r>
          </w:p>
        </w:tc>
        <w:tc>
          <w:tcPr>
            <w:tcW w:w="698"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39"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34"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19"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64"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776"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902"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50"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1273"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2018.11.25</w:t>
            </w: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监测浓度</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6.35</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14</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3.6</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0.669</w:t>
            </w:r>
          </w:p>
        </w:tc>
        <w:tc>
          <w:tcPr>
            <w:tcW w:w="86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0.48</w:t>
            </w:r>
          </w:p>
        </w:tc>
        <w:tc>
          <w:tcPr>
            <w:tcW w:w="7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0.18</w:t>
            </w:r>
          </w:p>
        </w:tc>
        <w:tc>
          <w:tcPr>
            <w:tcW w:w="9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9.14</w:t>
            </w:r>
          </w:p>
        </w:tc>
        <w:tc>
          <w:tcPr>
            <w:tcW w:w="8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0.01</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continue"/>
            <w:vAlign w:val="center"/>
          </w:tcPr>
          <w:p>
            <w:pPr>
              <w:jc w:val="center"/>
              <w:rPr>
                <w:rFonts w:hint="default" w:ascii="Times New Roman" w:hAnsi="Times New Roman" w:cs="Times New Roman"/>
                <w:color w:val="000000"/>
                <w:szCs w:val="21"/>
              </w:rPr>
            </w:pP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标准指数</w:t>
            </w:r>
          </w:p>
        </w:tc>
        <w:tc>
          <w:tcPr>
            <w:tcW w:w="69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0.65</w:t>
            </w:r>
          </w:p>
        </w:tc>
        <w:tc>
          <w:tcPr>
            <w:tcW w:w="83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0.7</w:t>
            </w:r>
          </w:p>
        </w:tc>
        <w:tc>
          <w:tcPr>
            <w:tcW w:w="83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0.9</w:t>
            </w:r>
          </w:p>
        </w:tc>
        <w:tc>
          <w:tcPr>
            <w:tcW w:w="81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0.669</w:t>
            </w:r>
          </w:p>
        </w:tc>
        <w:tc>
          <w:tcPr>
            <w:tcW w:w="86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0.48</w:t>
            </w:r>
          </w:p>
        </w:tc>
        <w:tc>
          <w:tcPr>
            <w:tcW w:w="7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0.9</w:t>
            </w:r>
          </w:p>
        </w:tc>
        <w:tc>
          <w:tcPr>
            <w:tcW w:w="9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0.4</w:t>
            </w:r>
          </w:p>
        </w:tc>
        <w:tc>
          <w:tcPr>
            <w:tcW w:w="12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512" w:type="dxa"/>
            <w:vMerge w:val="continue"/>
            <w:vAlign w:val="center"/>
          </w:tcPr>
          <w:p>
            <w:pPr>
              <w:jc w:val="center"/>
              <w:rPr>
                <w:rFonts w:hint="default" w:ascii="Times New Roman" w:hAnsi="Times New Roman" w:cs="Times New Roman"/>
                <w:color w:val="000000"/>
                <w:szCs w:val="21"/>
              </w:rPr>
            </w:pPr>
          </w:p>
        </w:tc>
        <w:tc>
          <w:tcPr>
            <w:tcW w:w="923" w:type="dxa"/>
            <w:vMerge w:val="continue"/>
            <w:vAlign w:val="center"/>
          </w:tcPr>
          <w:p>
            <w:pPr>
              <w:jc w:val="center"/>
              <w:rPr>
                <w:rFonts w:hint="default" w:ascii="Times New Roman" w:hAnsi="Times New Roman" w:cs="Times New Roman"/>
                <w:color w:val="000000"/>
                <w:szCs w:val="21"/>
              </w:rPr>
            </w:pPr>
          </w:p>
        </w:tc>
        <w:tc>
          <w:tcPr>
            <w:tcW w:w="119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超标倍数</w:t>
            </w:r>
          </w:p>
        </w:tc>
        <w:tc>
          <w:tcPr>
            <w:tcW w:w="698"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39"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34"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19"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64"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776"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902"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850"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c>
          <w:tcPr>
            <w:tcW w:w="1273"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0</w:t>
            </w:r>
          </w:p>
        </w:tc>
      </w:tr>
    </w:tbl>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由上述监测结果可知，各监测断面的各项监测因子均能满足《地表水环境质量标准》（GB3838-2002）中Ⅲ类水质标准要求。</w:t>
      </w:r>
      <w:bookmarkStart w:id="223" w:name="_Toc5255"/>
      <w:bookmarkStart w:id="224" w:name="_Toc375206180"/>
    </w:p>
    <w:p>
      <w:pPr>
        <w:pStyle w:val="5"/>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4.2.3 地下水质量现状监测与评价</w:t>
      </w:r>
      <w:bookmarkEnd w:id="223"/>
      <w:bookmarkEnd w:id="224"/>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本次环评引用乐山市亚庆农牧科技有限责任公司“新建80万只蛋鸡规模化养殖场项目”对项目所在区域的地表水环境质量状况</w:t>
      </w:r>
      <w:r>
        <w:rPr>
          <w:rFonts w:hint="default" w:ascii="Times New Roman" w:hAnsi="Times New Roman" w:cs="Times New Roman"/>
          <w:bCs/>
          <w:color w:val="000000"/>
          <w:sz w:val="24"/>
          <w:szCs w:val="24"/>
        </w:rPr>
        <w:t>进行了监测。</w:t>
      </w:r>
      <w:r>
        <w:rPr>
          <w:rFonts w:hint="default" w:ascii="Times New Roman" w:hAnsi="Times New Roman" w:cs="Times New Roman"/>
          <w:color w:val="000000"/>
          <w:sz w:val="24"/>
          <w:szCs w:val="24"/>
        </w:rPr>
        <w:t>乐山市亚庆农牧科技有限责任公司位于本项目东侧170m，与本项目为同一区域，监测时间为2018年11月，引用有效。</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（1）监测布点：地下水监测布点设置见表4.2-</w:t>
      </w:r>
      <w:r>
        <w:rPr>
          <w:rFonts w:hint="default" w:ascii="Times New Roman" w:hAnsi="Times New Roman" w:cs="Times New Roman"/>
          <w:color w:val="000000"/>
          <w:sz w:val="24"/>
          <w:szCs w:val="24"/>
          <w:lang w:val="en-US" w:eastAsia="zh-CN"/>
        </w:rPr>
        <w:t>7</w:t>
      </w:r>
      <w:r>
        <w:rPr>
          <w:rFonts w:hint="default" w:ascii="Times New Roman" w:hAnsi="Times New Roman" w:cs="Times New Roman"/>
          <w:color w:val="000000"/>
          <w:sz w:val="24"/>
          <w:szCs w:val="24"/>
        </w:rPr>
        <w:t>。</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表4.2-</w:t>
      </w:r>
      <w:r>
        <w:rPr>
          <w:rFonts w:hint="default" w:ascii="Times New Roman" w:hAnsi="Times New Roman" w:eastAsia="黑体" w:cs="Times New Roman"/>
          <w:bCs/>
          <w:sz w:val="24"/>
          <w:szCs w:val="24"/>
          <w:lang w:val="en-US" w:eastAsia="zh-CN"/>
        </w:rPr>
        <w:t>7</w:t>
      </w:r>
      <w:r>
        <w:rPr>
          <w:rFonts w:hint="default" w:ascii="Times New Roman" w:hAnsi="Times New Roman" w:eastAsia="黑体" w:cs="Times New Roman"/>
          <w:bCs/>
          <w:sz w:val="24"/>
          <w:szCs w:val="24"/>
        </w:rPr>
        <w:t xml:space="preserve">   地下水现状监测点位布设一览表</w:t>
      </w:r>
    </w:p>
    <w:tbl>
      <w:tblPr>
        <w:tblStyle w:val="33"/>
        <w:tblW w:w="98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7113"/>
        <w:gridCol w:w="1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1110" w:type="dxa"/>
            <w:vAlign w:val="center"/>
          </w:tcPr>
          <w:p>
            <w:pPr>
              <w:autoSpaceDE w:val="0"/>
              <w:autoSpaceDN w:val="0"/>
              <w:adjustRightInd w:val="0"/>
              <w:jc w:val="center"/>
              <w:rPr>
                <w:rFonts w:hint="default" w:ascii="Times New Roman" w:hAnsi="Times New Roman" w:cs="Times New Roman"/>
                <w:b/>
                <w:kern w:val="0"/>
                <w:szCs w:val="21"/>
              </w:rPr>
            </w:pPr>
            <w:r>
              <w:rPr>
                <w:rFonts w:hint="default" w:ascii="Times New Roman" w:hAnsi="Times New Roman" w:cs="Times New Roman"/>
                <w:b/>
                <w:kern w:val="0"/>
                <w:szCs w:val="21"/>
              </w:rPr>
              <w:t>点号</w:t>
            </w:r>
          </w:p>
        </w:tc>
        <w:tc>
          <w:tcPr>
            <w:tcW w:w="7113" w:type="dxa"/>
            <w:vAlign w:val="center"/>
          </w:tcPr>
          <w:p>
            <w:pPr>
              <w:autoSpaceDE w:val="0"/>
              <w:autoSpaceDN w:val="0"/>
              <w:adjustRightInd w:val="0"/>
              <w:jc w:val="center"/>
              <w:rPr>
                <w:rFonts w:hint="default" w:ascii="Times New Roman" w:hAnsi="Times New Roman" w:cs="Times New Roman"/>
                <w:b/>
                <w:kern w:val="0"/>
                <w:szCs w:val="21"/>
              </w:rPr>
            </w:pPr>
            <w:r>
              <w:rPr>
                <w:rFonts w:hint="default" w:ascii="Times New Roman" w:hAnsi="Times New Roman" w:cs="Times New Roman"/>
                <w:b/>
                <w:kern w:val="0"/>
                <w:szCs w:val="21"/>
              </w:rPr>
              <w:t>监测点位</w:t>
            </w:r>
          </w:p>
        </w:tc>
        <w:tc>
          <w:tcPr>
            <w:tcW w:w="1577" w:type="dxa"/>
            <w:vAlign w:val="center"/>
          </w:tcPr>
          <w:p>
            <w:pPr>
              <w:autoSpaceDE w:val="0"/>
              <w:autoSpaceDN w:val="0"/>
              <w:adjustRightInd w:val="0"/>
              <w:jc w:val="center"/>
              <w:rPr>
                <w:rFonts w:hint="default" w:ascii="Times New Roman" w:hAnsi="Times New Roman" w:cs="Times New Roman"/>
                <w:b/>
                <w:kern w:val="0"/>
                <w:szCs w:val="21"/>
              </w:rPr>
            </w:pPr>
            <w:r>
              <w:rPr>
                <w:rFonts w:hint="default" w:ascii="Times New Roman" w:hAnsi="Times New Roman" w:cs="Times New Roman"/>
                <w:b/>
                <w:kern w:val="0"/>
                <w:szCs w:val="21"/>
              </w:rPr>
              <w:t>有效日数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110" w:type="dxa"/>
            <w:vAlign w:val="center"/>
          </w:tcPr>
          <w:p>
            <w:pPr>
              <w:autoSpaceDE w:val="0"/>
              <w:autoSpaceDN w:val="0"/>
              <w:adjustRightInd w:val="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7113" w:type="dxa"/>
            <w:vAlign w:val="center"/>
          </w:tcPr>
          <w:p>
            <w:pPr>
              <w:ind w:right="122" w:rightChars="58"/>
              <w:jc w:val="center"/>
              <w:rPr>
                <w:rFonts w:hint="default" w:ascii="Times New Roman" w:hAnsi="Times New Roman" w:cs="Times New Roman"/>
                <w:kern w:val="0"/>
                <w:szCs w:val="21"/>
              </w:rPr>
            </w:pPr>
            <w:r>
              <w:rPr>
                <w:rFonts w:hint="default" w:ascii="Times New Roman" w:hAnsi="Times New Roman" w:cs="Times New Roman"/>
                <w:color w:val="000000"/>
                <w:szCs w:val="21"/>
              </w:rPr>
              <w:t>夹江县旺鑫农牧科技有限公司拟建地内</w:t>
            </w:r>
          </w:p>
        </w:tc>
        <w:tc>
          <w:tcPr>
            <w:tcW w:w="1577" w:type="dxa"/>
            <w:vAlign w:val="center"/>
          </w:tcPr>
          <w:p>
            <w:pPr>
              <w:autoSpaceDE w:val="0"/>
              <w:autoSpaceDN w:val="0"/>
              <w:adjustRightInd w:val="0"/>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1110" w:type="dxa"/>
            <w:vAlign w:val="center"/>
          </w:tcPr>
          <w:p>
            <w:pPr>
              <w:autoSpaceDE w:val="0"/>
              <w:autoSpaceDN w:val="0"/>
              <w:adjustRightInd w:val="0"/>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7113" w:type="dxa"/>
            <w:vAlign w:val="center"/>
          </w:tcPr>
          <w:p>
            <w:pPr>
              <w:ind w:right="122" w:rightChars="58"/>
              <w:jc w:val="center"/>
              <w:rPr>
                <w:rFonts w:hint="default" w:ascii="Times New Roman" w:hAnsi="Times New Roman" w:cs="Times New Roman"/>
                <w:kern w:val="0"/>
                <w:szCs w:val="21"/>
              </w:rPr>
            </w:pPr>
            <w:r>
              <w:rPr>
                <w:rFonts w:hint="default" w:ascii="Times New Roman" w:hAnsi="Times New Roman" w:cs="Times New Roman"/>
                <w:szCs w:val="21"/>
              </w:rPr>
              <w:t>乐山市亚庆农牧科技有限责任公司</w:t>
            </w:r>
            <w:r>
              <w:rPr>
                <w:rFonts w:hint="default" w:ascii="Times New Roman" w:hAnsi="Times New Roman" w:cs="Times New Roman"/>
                <w:color w:val="000000"/>
                <w:szCs w:val="21"/>
              </w:rPr>
              <w:t>项目所在地内</w:t>
            </w:r>
          </w:p>
        </w:tc>
        <w:tc>
          <w:tcPr>
            <w:tcW w:w="1577" w:type="dxa"/>
            <w:vAlign w:val="center"/>
          </w:tcPr>
          <w:p>
            <w:pPr>
              <w:autoSpaceDE w:val="0"/>
              <w:autoSpaceDN w:val="0"/>
              <w:adjustRightInd w:val="0"/>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110" w:type="dxa"/>
            <w:vAlign w:val="center"/>
          </w:tcPr>
          <w:p>
            <w:pPr>
              <w:autoSpaceDE w:val="0"/>
              <w:autoSpaceDN w:val="0"/>
              <w:adjustRightInd w:val="0"/>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7113" w:type="dxa"/>
            <w:vAlign w:val="center"/>
          </w:tcPr>
          <w:p>
            <w:pPr>
              <w:ind w:right="122" w:rightChars="58"/>
              <w:jc w:val="center"/>
              <w:rPr>
                <w:rFonts w:hint="default" w:ascii="Times New Roman" w:hAnsi="Times New Roman" w:cs="Times New Roman"/>
                <w:kern w:val="0"/>
                <w:szCs w:val="21"/>
              </w:rPr>
            </w:pPr>
            <w:r>
              <w:rPr>
                <w:rFonts w:hint="default" w:ascii="Times New Roman" w:hAnsi="Times New Roman" w:cs="Times New Roman"/>
                <w:szCs w:val="21"/>
              </w:rPr>
              <w:t>乐山市亚庆农牧科技有限责任公司</w:t>
            </w:r>
            <w:r>
              <w:rPr>
                <w:rFonts w:hint="default" w:ascii="Times New Roman" w:hAnsi="Times New Roman" w:cs="Times New Roman"/>
                <w:color w:val="000000"/>
                <w:szCs w:val="21"/>
              </w:rPr>
              <w:t>项目所在地地下水下游约400米住户处</w:t>
            </w:r>
          </w:p>
        </w:tc>
        <w:tc>
          <w:tcPr>
            <w:tcW w:w="1577" w:type="dxa"/>
            <w:vAlign w:val="center"/>
          </w:tcPr>
          <w:p>
            <w:pPr>
              <w:autoSpaceDE w:val="0"/>
              <w:autoSpaceDN w:val="0"/>
              <w:adjustRightInd w:val="0"/>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r>
    </w:tbl>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（2）监测因子：pH、耗氧量、钾、钠、钙、镁、碳酸根、碳酸氢根、硫酸根、氨氮、氯化物、总硬度、硝酸盐、亚硝酸盐、总大肠菌群。</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（3）监测时间：监测2天，每天1次。</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（4）评价标准：执行《地下水质量标准》（GB/T14848-2017）中Ⅲ类水质标准。</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（5）评价方法：</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① 对于一般污染物：</w:t>
      </w:r>
    </w:p>
    <w:p>
      <w:pPr>
        <w:spacing w:line="360" w:lineRule="auto"/>
        <w:ind w:right="122" w:rightChars="58" w:firstLine="480" w:firstLineChars="20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0" distR="0">
            <wp:extent cx="516890" cy="461010"/>
            <wp:effectExtent l="19050" t="0" r="0" b="0"/>
            <wp:docPr id="19" name="_x0000_s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x0000_s1029"/>
                    <pic:cNvPicPr>
                      <a:picLocks noChangeAspect="1" noChangeArrowheads="1"/>
                    </pic:cNvPicPr>
                  </pic:nvPicPr>
                  <pic:blipFill>
                    <a:blip r:embed="rId47"/>
                    <a:srcRect/>
                    <a:stretch>
                      <a:fillRect/>
                    </a:stretch>
                  </pic:blipFill>
                  <pic:spPr>
                    <a:xfrm>
                      <a:off x="0" y="0"/>
                      <a:ext cx="516890" cy="461010"/>
                    </a:xfrm>
                    <a:prstGeom prst="rect">
                      <a:avLst/>
                    </a:prstGeom>
                    <a:noFill/>
                    <a:ln w="9525">
                      <a:noFill/>
                      <a:miter lim="800000"/>
                      <a:headEnd/>
                      <a:tailEnd/>
                    </a:ln>
                    <a:effectLst/>
                  </pic:spPr>
                </pic:pic>
              </a:graphicData>
            </a:graphic>
          </wp:inline>
        </w:drawing>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式中：Sij——单项水质参数i在第j点的标准指数；</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Cij——污染物i在监测点j的浓度(mg/L)；</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Csi——水质参数i的地面水水质标准(mg/L)。</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②特殊水质因子： </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pH标准指数，计算式为：</w:t>
      </w:r>
    </w:p>
    <w:p>
      <w:pPr>
        <w:spacing w:line="360" w:lineRule="auto"/>
        <w:ind w:right="122" w:rightChars="58" w:firstLine="480" w:firstLineChars="20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0" distR="0">
            <wp:extent cx="1837055" cy="349885"/>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a:xfrm>
                      <a:off x="0" y="0"/>
                      <a:ext cx="1837055" cy="349885"/>
                    </a:xfrm>
                    <a:prstGeom prst="rect">
                      <a:avLst/>
                    </a:prstGeom>
                    <a:noFill/>
                    <a:ln w="9525">
                      <a:noFill/>
                      <a:miter lim="800000"/>
                      <a:headEnd/>
                      <a:tailEnd/>
                    </a:ln>
                    <a:effectLst/>
                  </pic:spPr>
                </pic:pic>
              </a:graphicData>
            </a:graphic>
          </wp:inline>
        </w:drawing>
      </w: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rPr>
        <w:drawing>
          <wp:inline distT="0" distB="0" distL="0" distR="0">
            <wp:extent cx="1868805" cy="349885"/>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a:xfrm>
                      <a:off x="0" y="0"/>
                      <a:ext cx="1868805" cy="349885"/>
                    </a:xfrm>
                    <a:prstGeom prst="rect">
                      <a:avLst/>
                    </a:prstGeom>
                    <a:noFill/>
                    <a:ln w="9525">
                      <a:noFill/>
                      <a:miter lim="800000"/>
                      <a:headEnd/>
                      <a:tailEnd/>
                    </a:ln>
                    <a:effectLst/>
                  </pic:spPr>
                </pic:pic>
              </a:graphicData>
            </a:graphic>
          </wp:inline>
        </w:drawing>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式中：pHj——第j点的监测平均值；</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pHsd——为水质标准pH的下限值；</w:t>
      </w:r>
    </w:p>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pHsu——为水质标准pH的上限值。</w:t>
      </w:r>
    </w:p>
    <w:p>
      <w:pPr>
        <w:spacing w:line="360" w:lineRule="auto"/>
        <w:ind w:right="122" w:rightChars="58" w:firstLine="480" w:firstLineChars="200"/>
        <w:rPr>
          <w:rFonts w:hint="default" w:ascii="Times New Roman" w:hAnsi="Times New Roman" w:cs="Times New Roman"/>
          <w:color w:val="000000"/>
          <w:sz w:val="24"/>
          <w:szCs w:val="24"/>
        </w:rPr>
        <w:sectPr>
          <w:pgSz w:w="11907" w:h="16840"/>
          <w:pgMar w:top="940" w:right="1134" w:bottom="900" w:left="1276" w:header="567" w:footer="851"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color w:val="000000"/>
          <w:sz w:val="24"/>
          <w:szCs w:val="24"/>
        </w:rPr>
        <w:t>监测及评价结果见表4.2-</w:t>
      </w:r>
      <w:r>
        <w:rPr>
          <w:rFonts w:hint="default" w:ascii="Times New Roman" w:hAnsi="Times New Roman" w:cs="Times New Roman"/>
          <w:color w:val="000000"/>
          <w:sz w:val="24"/>
          <w:szCs w:val="24"/>
          <w:lang w:val="en-US" w:eastAsia="zh-CN"/>
        </w:rPr>
        <w:t>8</w:t>
      </w:r>
      <w:r>
        <w:rPr>
          <w:rFonts w:hint="default" w:ascii="Times New Roman" w:hAnsi="Times New Roman" w:cs="Times New Roman"/>
          <w:color w:val="000000"/>
          <w:sz w:val="24"/>
          <w:szCs w:val="24"/>
        </w:rPr>
        <w:t>。</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表4.2-</w:t>
      </w:r>
      <w:r>
        <w:rPr>
          <w:rFonts w:hint="default" w:ascii="Times New Roman" w:hAnsi="Times New Roman" w:eastAsia="黑体" w:cs="Times New Roman"/>
          <w:bCs/>
          <w:sz w:val="24"/>
          <w:szCs w:val="24"/>
          <w:lang w:val="en-US" w:eastAsia="zh-CN"/>
        </w:rPr>
        <w:t>8</w:t>
      </w:r>
      <w:r>
        <w:rPr>
          <w:rFonts w:hint="default" w:ascii="Times New Roman" w:hAnsi="Times New Roman" w:eastAsia="黑体" w:cs="Times New Roman"/>
          <w:bCs/>
          <w:sz w:val="24"/>
          <w:szCs w:val="24"/>
        </w:rPr>
        <w:t xml:space="preserve"> 地下水监测及评价结果  单位 mg/L，pH、标准指数值无量纲</w:t>
      </w:r>
    </w:p>
    <w:tbl>
      <w:tblPr>
        <w:tblStyle w:val="33"/>
        <w:tblW w:w="152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0"/>
        <w:gridCol w:w="746"/>
        <w:gridCol w:w="1100"/>
        <w:gridCol w:w="1050"/>
        <w:gridCol w:w="812"/>
        <w:gridCol w:w="686"/>
        <w:gridCol w:w="855"/>
        <w:gridCol w:w="686"/>
        <w:gridCol w:w="766"/>
        <w:gridCol w:w="726"/>
        <w:gridCol w:w="886"/>
        <w:gridCol w:w="909"/>
        <w:gridCol w:w="894"/>
        <w:gridCol w:w="766"/>
        <w:gridCol w:w="702"/>
        <w:gridCol w:w="766"/>
        <w:gridCol w:w="910"/>
        <w:gridCol w:w="13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2426" w:type="dxa"/>
            <w:gridSpan w:val="3"/>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监测点位</w:t>
            </w:r>
          </w:p>
        </w:tc>
        <w:tc>
          <w:tcPr>
            <w:tcW w:w="12790" w:type="dxa"/>
            <w:gridSpan w:val="15"/>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426" w:type="dxa"/>
            <w:gridSpan w:val="3"/>
            <w:vMerge w:val="continue"/>
            <w:vAlign w:val="center"/>
          </w:tcPr>
          <w:p>
            <w:pPr>
              <w:jc w:val="center"/>
              <w:rPr>
                <w:rFonts w:hint="default" w:ascii="Times New Roman" w:hAnsi="Times New Roman" w:cs="Times New Roman"/>
                <w:color w:val="000000"/>
                <w:szCs w:val="21"/>
              </w:rPr>
            </w:pP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pH</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耗氧量</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钾</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钠</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钙</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镁</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碳酸根</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碳酸氢根</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硫酸根</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NH</w:t>
            </w:r>
            <w:r>
              <w:rPr>
                <w:rFonts w:hint="default" w:ascii="Times New Roman" w:hAnsi="Times New Roman" w:cs="Times New Roman"/>
                <w:color w:val="000000"/>
                <w:szCs w:val="21"/>
                <w:vertAlign w:val="subscript"/>
              </w:rPr>
              <w:t>3</w:t>
            </w:r>
            <w:r>
              <w:rPr>
                <w:rFonts w:hint="default" w:ascii="Times New Roman" w:hAnsi="Times New Roman" w:cs="Times New Roman"/>
                <w:color w:val="000000"/>
                <w:szCs w:val="21"/>
              </w:rPr>
              <w:t>-N</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氯化物</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总硬度</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硝酸盐</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亚硝酸盐</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总大肠菌群（个/L）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746"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2018.11.23</w:t>
            </w: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监测浓度</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6.69</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0.54</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3.23</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5.75</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2.02</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2.383</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69.8</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247.6</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2.83</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0.131</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3.43</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41</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4.79</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continue"/>
            <w:vAlign w:val="center"/>
          </w:tcPr>
          <w:p>
            <w:pPr>
              <w:jc w:val="center"/>
              <w:rPr>
                <w:rFonts w:hint="default" w:ascii="Times New Roman" w:hAnsi="Times New Roman" w:cs="Times New Roman"/>
                <w:color w:val="000000"/>
                <w:szCs w:val="21"/>
              </w:rPr>
            </w:pP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标准指数</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0.62</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0.18</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0.029</w:t>
            </w:r>
          </w:p>
        </w:tc>
        <w:tc>
          <w:tcPr>
            <w:tcW w:w="686" w:type="dxa"/>
            <w:vAlign w:val="center"/>
          </w:tcPr>
          <w:p>
            <w:pPr>
              <w:jc w:val="center"/>
              <w:rPr>
                <w:rFonts w:hint="default" w:ascii="Times New Roman" w:hAnsi="Times New Roman" w:cs="Times New Roman"/>
                <w:color w:val="000000"/>
                <w:szCs w:val="21"/>
              </w:rPr>
            </w:pP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0.262</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0.014</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0.24</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continue"/>
            <w:vAlign w:val="center"/>
          </w:tcPr>
          <w:p>
            <w:pPr>
              <w:jc w:val="center"/>
              <w:rPr>
                <w:rFonts w:hint="default" w:ascii="Times New Roman" w:hAnsi="Times New Roman" w:cs="Times New Roman"/>
                <w:color w:val="000000"/>
                <w:szCs w:val="21"/>
              </w:rPr>
            </w:pP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超标倍数</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restar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2018.11.24</w:t>
            </w: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监测浓度</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6.740</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0.53</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3.24</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5.81</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2.01</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2.378</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70.8</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282.6</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3.15</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0.113</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3.96</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41</w:t>
            </w:r>
          </w:p>
        </w:tc>
        <w:tc>
          <w:tcPr>
            <w:tcW w:w="7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5.03</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continue"/>
            <w:vAlign w:val="center"/>
          </w:tcPr>
          <w:p>
            <w:pPr>
              <w:jc w:val="center"/>
              <w:rPr>
                <w:rFonts w:hint="default" w:ascii="Times New Roman" w:hAnsi="Times New Roman" w:cs="Times New Roman"/>
                <w:color w:val="000000"/>
                <w:szCs w:val="21"/>
              </w:rPr>
            </w:pP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标准指数</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0..52</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0.177</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0.029</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0.226</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0.016</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0.25</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continue"/>
            <w:vAlign w:val="center"/>
          </w:tcPr>
          <w:p>
            <w:pPr>
              <w:jc w:val="center"/>
              <w:rPr>
                <w:rFonts w:hint="default" w:ascii="Times New Roman" w:hAnsi="Times New Roman" w:cs="Times New Roman"/>
                <w:color w:val="000000"/>
                <w:szCs w:val="21"/>
              </w:rPr>
            </w:pP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超标倍数</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746"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2018.11.23</w:t>
            </w: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监测浓度</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6.70</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0.44</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3.53</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5.79</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2.07</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2.397</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79.8</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267.9</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2.92</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0.153</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3.58</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41</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11.2</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continue"/>
            <w:vAlign w:val="center"/>
          </w:tcPr>
          <w:p>
            <w:pPr>
              <w:jc w:val="center"/>
              <w:rPr>
                <w:rFonts w:hint="default" w:ascii="Times New Roman" w:hAnsi="Times New Roman" w:cs="Times New Roman"/>
                <w:color w:val="000000"/>
                <w:szCs w:val="21"/>
              </w:rPr>
            </w:pP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标准指数</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0.6</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0.147</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0.029</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0.306</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0.014</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0.56</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continue"/>
            <w:vAlign w:val="center"/>
          </w:tcPr>
          <w:p>
            <w:pPr>
              <w:jc w:val="center"/>
              <w:rPr>
                <w:rFonts w:hint="default" w:ascii="Times New Roman" w:hAnsi="Times New Roman" w:cs="Times New Roman"/>
                <w:color w:val="000000"/>
                <w:szCs w:val="21"/>
              </w:rPr>
            </w:pP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超标倍数</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restar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2018.11.24</w:t>
            </w: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监测浓度</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6.696</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0.48</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3.56</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5.79</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2.09</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2.417</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82.3</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279.0</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2.57</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0.148</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3.37</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41</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10.40</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continue"/>
            <w:vAlign w:val="center"/>
          </w:tcPr>
          <w:p>
            <w:pPr>
              <w:jc w:val="center"/>
              <w:rPr>
                <w:rFonts w:hint="default" w:ascii="Times New Roman" w:hAnsi="Times New Roman" w:cs="Times New Roman"/>
                <w:color w:val="000000"/>
                <w:szCs w:val="21"/>
              </w:rPr>
            </w:pP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标准指数</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0.608</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0.16</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0.029</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0.296</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0.013</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0.52</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continue"/>
            <w:vAlign w:val="center"/>
          </w:tcPr>
          <w:p>
            <w:pPr>
              <w:jc w:val="center"/>
              <w:rPr>
                <w:rFonts w:hint="default" w:ascii="Times New Roman" w:hAnsi="Times New Roman" w:cs="Times New Roman"/>
                <w:color w:val="000000"/>
                <w:szCs w:val="21"/>
              </w:rPr>
            </w:pP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超标倍数</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746"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2018.11.23</w:t>
            </w: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监测浓度</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6.743</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0.46</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3.46</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5.78</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2.21</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2.374</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72.9</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314.5</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2.88</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0.191</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3.75</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41</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4.59</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continue"/>
            <w:vAlign w:val="center"/>
          </w:tcPr>
          <w:p>
            <w:pPr>
              <w:jc w:val="center"/>
              <w:rPr>
                <w:rFonts w:hint="default" w:ascii="Times New Roman" w:hAnsi="Times New Roman" w:cs="Times New Roman"/>
                <w:color w:val="000000"/>
                <w:szCs w:val="21"/>
              </w:rPr>
            </w:pP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标准指数</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0.514</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0.153</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0.029</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0.382</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0.015</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0.23</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continue"/>
            <w:vAlign w:val="center"/>
          </w:tcPr>
          <w:p>
            <w:pPr>
              <w:jc w:val="center"/>
              <w:rPr>
                <w:rFonts w:hint="default" w:ascii="Times New Roman" w:hAnsi="Times New Roman" w:cs="Times New Roman"/>
                <w:color w:val="000000"/>
                <w:szCs w:val="21"/>
              </w:rPr>
            </w:pP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超标倍数</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restart"/>
            <w:vAlign w:val="center"/>
          </w:tcPr>
          <w:p>
            <w:pPr>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2018.11.24</w:t>
            </w: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监测浓度</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6.792</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0.46</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3.45</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5.81</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2.24</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2.385</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77.5</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278.6</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2.84</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0.168</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3.57</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4.92</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未检出</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continue"/>
            <w:vAlign w:val="center"/>
          </w:tcPr>
          <w:p>
            <w:pPr>
              <w:jc w:val="center"/>
              <w:rPr>
                <w:rFonts w:hint="default" w:ascii="Times New Roman" w:hAnsi="Times New Roman" w:cs="Times New Roman"/>
                <w:color w:val="000000"/>
                <w:szCs w:val="21"/>
              </w:rPr>
            </w:pP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标准指数</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0.416</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0.153</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0.029</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0.336</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0.014</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0.09</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0.25</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&lt;1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580" w:type="dxa"/>
            <w:vMerge w:val="continue"/>
            <w:vAlign w:val="center"/>
          </w:tcPr>
          <w:p>
            <w:pPr>
              <w:jc w:val="center"/>
              <w:rPr>
                <w:rFonts w:hint="default" w:ascii="Times New Roman" w:hAnsi="Times New Roman" w:cs="Times New Roman"/>
                <w:color w:val="000000"/>
                <w:szCs w:val="21"/>
              </w:rPr>
            </w:pPr>
          </w:p>
        </w:tc>
        <w:tc>
          <w:tcPr>
            <w:tcW w:w="746" w:type="dxa"/>
            <w:vMerge w:val="continue"/>
            <w:vAlign w:val="center"/>
          </w:tcPr>
          <w:p>
            <w:pPr>
              <w:jc w:val="center"/>
              <w:rPr>
                <w:rFonts w:hint="default" w:ascii="Times New Roman" w:hAnsi="Times New Roman" w:cs="Times New Roman"/>
                <w:color w:val="000000"/>
                <w:szCs w:val="21"/>
              </w:rPr>
            </w:pPr>
          </w:p>
        </w:tc>
        <w:tc>
          <w:tcPr>
            <w:tcW w:w="110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超标倍数</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2426" w:type="dxa"/>
            <w:gridSpan w:val="3"/>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Ⅲ类水质标准</w:t>
            </w:r>
          </w:p>
        </w:tc>
        <w:tc>
          <w:tcPr>
            <w:tcW w:w="105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6.5～8.5</w:t>
            </w:r>
          </w:p>
        </w:tc>
        <w:tc>
          <w:tcPr>
            <w:tcW w:w="81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5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≤200</w:t>
            </w:r>
          </w:p>
        </w:tc>
        <w:tc>
          <w:tcPr>
            <w:tcW w:w="6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72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8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90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9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≤250</w:t>
            </w:r>
          </w:p>
        </w:tc>
        <w:tc>
          <w:tcPr>
            <w:tcW w:w="702"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≤450</w:t>
            </w:r>
          </w:p>
        </w:tc>
        <w:tc>
          <w:tcPr>
            <w:tcW w:w="76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≤20.0</w:t>
            </w:r>
          </w:p>
        </w:tc>
        <w:tc>
          <w:tcPr>
            <w:tcW w:w="9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≤1.00</w:t>
            </w:r>
          </w:p>
        </w:tc>
        <w:tc>
          <w:tcPr>
            <w:tcW w:w="1376"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≤3.0</w:t>
            </w:r>
          </w:p>
        </w:tc>
      </w:tr>
    </w:tbl>
    <w:p>
      <w:pPr>
        <w:spacing w:line="360" w:lineRule="auto"/>
        <w:ind w:right="122" w:rightChars="58"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周边地下水主要用于居民生活使用及农业灌溉，属于地下水环境质量分类的III类，执行III类标准限值。由上表可知，本项目区域地下水监测因子的标准指数值均≤1，评价因子均满足《地下水质量标准》(GB/T14848-93)中的III类标准限值要求。</w:t>
      </w:r>
    </w:p>
    <w:p>
      <w:pPr>
        <w:spacing w:line="360" w:lineRule="auto"/>
        <w:ind w:right="122" w:rightChars="58"/>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br w:type="textWrapping"/>
      </w:r>
    </w:p>
    <w:p>
      <w:pPr>
        <w:spacing w:line="360" w:lineRule="auto"/>
        <w:ind w:right="122" w:rightChars="58" w:firstLine="480" w:firstLineChars="200"/>
        <w:rPr>
          <w:rFonts w:hint="default" w:ascii="Times New Roman" w:hAnsi="Times New Roman" w:cs="Times New Roman"/>
          <w:color w:val="000000"/>
          <w:sz w:val="24"/>
          <w:szCs w:val="24"/>
        </w:rPr>
      </w:pPr>
    </w:p>
    <w:p>
      <w:pPr>
        <w:spacing w:line="360" w:lineRule="auto"/>
        <w:ind w:right="122" w:rightChars="58" w:firstLine="480" w:firstLineChars="200"/>
        <w:rPr>
          <w:rFonts w:hint="default" w:ascii="Times New Roman" w:hAnsi="Times New Roman" w:cs="Times New Roman"/>
          <w:color w:val="000000"/>
          <w:sz w:val="24"/>
          <w:szCs w:val="24"/>
        </w:rPr>
      </w:pPr>
    </w:p>
    <w:p>
      <w:pPr>
        <w:spacing w:line="360" w:lineRule="auto"/>
        <w:ind w:right="122" w:rightChars="58"/>
        <w:rPr>
          <w:rFonts w:hint="default" w:ascii="Times New Roman" w:hAnsi="Times New Roman" w:cs="Times New Roman"/>
          <w:color w:val="000000"/>
          <w:sz w:val="24"/>
          <w:szCs w:val="24"/>
        </w:rPr>
        <w:sectPr>
          <w:pgSz w:w="16840" w:h="11907" w:orient="landscape"/>
          <w:pgMar w:top="1276" w:right="940" w:bottom="1134" w:left="900" w:header="851" w:footer="851" w:gutter="0"/>
          <w:pgBorders>
            <w:top w:val="none" w:sz="0" w:space="0"/>
            <w:left w:val="none" w:sz="0" w:space="0"/>
            <w:bottom w:val="none" w:sz="0" w:space="0"/>
            <w:right w:val="none" w:sz="0" w:space="0"/>
          </w:pgBorders>
          <w:pgNumType w:fmt="decimal"/>
          <w:cols w:space="720" w:num="1"/>
        </w:sectPr>
      </w:pPr>
    </w:p>
    <w:p>
      <w:pPr>
        <w:pStyle w:val="5"/>
        <w:spacing w:before="0" w:after="0" w:line="360" w:lineRule="auto"/>
        <w:ind w:firstLine="482" w:firstLineChars="200"/>
        <w:rPr>
          <w:rFonts w:hint="default" w:ascii="Times New Roman" w:hAnsi="Times New Roman" w:cs="Times New Roman"/>
          <w:sz w:val="24"/>
          <w:szCs w:val="24"/>
        </w:rPr>
      </w:pPr>
      <w:bookmarkStart w:id="225" w:name="_Toc27848"/>
      <w:r>
        <w:rPr>
          <w:rFonts w:hint="default" w:ascii="Times New Roman" w:hAnsi="Times New Roman" w:cs="Times New Roman"/>
          <w:sz w:val="24"/>
          <w:szCs w:val="24"/>
        </w:rPr>
        <w:t>4.2.4 声环境质量现状监测与评价</w:t>
      </w:r>
      <w:bookmarkEnd w:id="225"/>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（1）监测点位布设：项目噪声监测点位布设见表4.2-</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，监测布点图见附图3</w:t>
      </w:r>
      <w:r>
        <w:rPr>
          <w:rFonts w:hint="default" w:ascii="Times New Roman" w:hAnsi="Times New Roman" w:cs="Times New Roman"/>
          <w:color w:val="000000"/>
          <w:sz w:val="24"/>
          <w:szCs w:val="24"/>
        </w:rPr>
        <w:t>。</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表4.2-</w:t>
      </w:r>
      <w:r>
        <w:rPr>
          <w:rFonts w:hint="default" w:ascii="Times New Roman" w:hAnsi="Times New Roman" w:eastAsia="黑体" w:cs="Times New Roman"/>
          <w:bCs/>
          <w:sz w:val="24"/>
          <w:szCs w:val="24"/>
          <w:lang w:val="en-US" w:eastAsia="zh-CN"/>
        </w:rPr>
        <w:t>9</w:t>
      </w:r>
      <w:r>
        <w:rPr>
          <w:rFonts w:hint="default" w:ascii="Times New Roman" w:hAnsi="Times New Roman" w:eastAsia="黑体" w:cs="Times New Roman"/>
          <w:bCs/>
          <w:sz w:val="24"/>
          <w:szCs w:val="24"/>
        </w:rPr>
        <w:t xml:space="preserve">  噪声监测布点</w:t>
      </w:r>
    </w:p>
    <w:tbl>
      <w:tblPr>
        <w:tblStyle w:val="33"/>
        <w:tblW w:w="890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53"/>
        <w:gridCol w:w="3706"/>
        <w:gridCol w:w="27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3" w:hRule="atLeast"/>
          <w:jc w:val="center"/>
        </w:trPr>
        <w:tc>
          <w:tcPr>
            <w:tcW w:w="245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编号</w:t>
            </w:r>
          </w:p>
        </w:tc>
        <w:tc>
          <w:tcPr>
            <w:tcW w:w="3706"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监测点位置</w:t>
            </w:r>
          </w:p>
        </w:tc>
        <w:tc>
          <w:tcPr>
            <w:tcW w:w="2741"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245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3706"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拟建厂区东侧厂界外</w:t>
            </w:r>
          </w:p>
        </w:tc>
        <w:tc>
          <w:tcPr>
            <w:tcW w:w="2741"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LeqdB(A)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45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3706"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拟建厂区南侧厂界外</w:t>
            </w:r>
          </w:p>
        </w:tc>
        <w:tc>
          <w:tcPr>
            <w:tcW w:w="2741"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LeqdB(A)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45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3706"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拟建厂区西侧厂界外</w:t>
            </w:r>
          </w:p>
        </w:tc>
        <w:tc>
          <w:tcPr>
            <w:tcW w:w="2741"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LeqdB(A)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0" w:hRule="atLeast"/>
          <w:jc w:val="center"/>
        </w:trPr>
        <w:tc>
          <w:tcPr>
            <w:tcW w:w="245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3706"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拟建厂区北侧厂界外</w:t>
            </w:r>
          </w:p>
        </w:tc>
        <w:tc>
          <w:tcPr>
            <w:tcW w:w="2741"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LeqdB(A)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3" w:hRule="atLeast"/>
          <w:jc w:val="center"/>
        </w:trPr>
        <w:tc>
          <w:tcPr>
            <w:tcW w:w="245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5#</w:t>
            </w:r>
          </w:p>
        </w:tc>
        <w:tc>
          <w:tcPr>
            <w:tcW w:w="3706"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项目西北面145m住户处</w:t>
            </w:r>
          </w:p>
        </w:tc>
        <w:tc>
          <w:tcPr>
            <w:tcW w:w="2741"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LeqdB(A)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4" w:hRule="atLeast"/>
          <w:jc w:val="center"/>
        </w:trPr>
        <w:tc>
          <w:tcPr>
            <w:tcW w:w="245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6#</w:t>
            </w:r>
          </w:p>
        </w:tc>
        <w:tc>
          <w:tcPr>
            <w:tcW w:w="3706"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项目西南面130m住户处</w:t>
            </w:r>
          </w:p>
        </w:tc>
        <w:tc>
          <w:tcPr>
            <w:tcW w:w="2741"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LeqdB(A)</w:t>
            </w:r>
          </w:p>
        </w:tc>
      </w:tr>
    </w:tbl>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（2）监测项目：昼夜等效连续A声级，LAeq。</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（3）监测时间与频率：监测2天，各监测点昼间和夜间各监测1次。</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（4）评价标准：执行《声环境质量标准》（GB3096-2008）中2类标准。</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（5）监测方法：按有关规定和方法执行。</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表4.2-</w:t>
      </w:r>
      <w:r>
        <w:rPr>
          <w:rFonts w:hint="default" w:ascii="Times New Roman" w:hAnsi="Times New Roman" w:eastAsia="黑体" w:cs="Times New Roman"/>
          <w:bCs/>
          <w:sz w:val="24"/>
          <w:szCs w:val="24"/>
          <w:lang w:val="en-US" w:eastAsia="zh-CN"/>
        </w:rPr>
        <w:t>10</w:t>
      </w:r>
      <w:r>
        <w:rPr>
          <w:rFonts w:hint="default" w:ascii="Times New Roman" w:hAnsi="Times New Roman" w:eastAsia="黑体" w:cs="Times New Roman"/>
          <w:bCs/>
          <w:sz w:val="24"/>
          <w:szCs w:val="24"/>
        </w:rPr>
        <w:t xml:space="preserve">  噪声监测结果统计    单位：dB(A)</w:t>
      </w:r>
    </w:p>
    <w:tbl>
      <w:tblPr>
        <w:tblStyle w:val="33"/>
        <w:tblW w:w="89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713"/>
        <w:gridCol w:w="1031"/>
        <w:gridCol w:w="1145"/>
        <w:gridCol w:w="973"/>
        <w:gridCol w:w="9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123"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监测点位</w:t>
            </w:r>
          </w:p>
        </w:tc>
        <w:tc>
          <w:tcPr>
            <w:tcW w:w="3713"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监测点位置</w:t>
            </w:r>
          </w:p>
        </w:tc>
        <w:tc>
          <w:tcPr>
            <w:tcW w:w="4110" w:type="dxa"/>
            <w:gridSpan w:val="4"/>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jc w:val="center"/>
        </w:trPr>
        <w:tc>
          <w:tcPr>
            <w:tcW w:w="1123" w:type="dxa"/>
            <w:vMerge w:val="continue"/>
            <w:vAlign w:val="center"/>
          </w:tcPr>
          <w:p>
            <w:pPr>
              <w:ind w:right="122" w:rightChars="58"/>
              <w:jc w:val="center"/>
              <w:rPr>
                <w:rFonts w:hint="default" w:ascii="Times New Roman" w:hAnsi="Times New Roman" w:cs="Times New Roman"/>
                <w:color w:val="000000"/>
                <w:szCs w:val="21"/>
              </w:rPr>
            </w:pPr>
          </w:p>
        </w:tc>
        <w:tc>
          <w:tcPr>
            <w:tcW w:w="3713" w:type="dxa"/>
            <w:vMerge w:val="continue"/>
            <w:vAlign w:val="center"/>
          </w:tcPr>
          <w:p>
            <w:pPr>
              <w:ind w:right="122" w:rightChars="58"/>
              <w:jc w:val="center"/>
              <w:rPr>
                <w:rFonts w:hint="default" w:ascii="Times New Roman" w:hAnsi="Times New Roman" w:cs="Times New Roman"/>
                <w:color w:val="000000"/>
                <w:szCs w:val="21"/>
              </w:rPr>
            </w:pPr>
          </w:p>
        </w:tc>
        <w:tc>
          <w:tcPr>
            <w:tcW w:w="2176"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2018.11.20</w:t>
            </w:r>
          </w:p>
        </w:tc>
        <w:tc>
          <w:tcPr>
            <w:tcW w:w="1934"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2018.11.21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1123" w:type="dxa"/>
            <w:vMerge w:val="continue"/>
            <w:vAlign w:val="center"/>
          </w:tcPr>
          <w:p>
            <w:pPr>
              <w:ind w:right="122" w:rightChars="58" w:firstLine="420" w:firstLineChars="200"/>
              <w:jc w:val="center"/>
              <w:rPr>
                <w:rFonts w:hint="default" w:ascii="Times New Roman" w:hAnsi="Times New Roman" w:cs="Times New Roman"/>
                <w:color w:val="000000"/>
                <w:szCs w:val="21"/>
              </w:rPr>
            </w:pPr>
          </w:p>
        </w:tc>
        <w:tc>
          <w:tcPr>
            <w:tcW w:w="3713" w:type="dxa"/>
            <w:vMerge w:val="continue"/>
            <w:vAlign w:val="center"/>
          </w:tcPr>
          <w:p>
            <w:pPr>
              <w:ind w:right="122" w:rightChars="58" w:firstLine="420" w:firstLineChars="200"/>
              <w:jc w:val="center"/>
              <w:rPr>
                <w:rFonts w:hint="default" w:ascii="Times New Roman" w:hAnsi="Times New Roman" w:cs="Times New Roman"/>
                <w:color w:val="000000"/>
                <w:szCs w:val="21"/>
              </w:rPr>
            </w:pPr>
          </w:p>
        </w:tc>
        <w:tc>
          <w:tcPr>
            <w:tcW w:w="103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昼间</w:t>
            </w:r>
          </w:p>
        </w:tc>
        <w:tc>
          <w:tcPr>
            <w:tcW w:w="114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夜间</w:t>
            </w:r>
          </w:p>
        </w:tc>
        <w:tc>
          <w:tcPr>
            <w:tcW w:w="9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昼间</w:t>
            </w:r>
          </w:p>
        </w:tc>
        <w:tc>
          <w:tcPr>
            <w:tcW w:w="96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112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371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拟建厂区东侧厂界外</w:t>
            </w:r>
          </w:p>
        </w:tc>
        <w:tc>
          <w:tcPr>
            <w:tcW w:w="103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57.7</w:t>
            </w:r>
          </w:p>
        </w:tc>
        <w:tc>
          <w:tcPr>
            <w:tcW w:w="114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42.0</w:t>
            </w:r>
          </w:p>
        </w:tc>
        <w:tc>
          <w:tcPr>
            <w:tcW w:w="9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53.6</w:t>
            </w:r>
          </w:p>
        </w:tc>
        <w:tc>
          <w:tcPr>
            <w:tcW w:w="96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12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3713"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拟建厂区南侧厂界外</w:t>
            </w:r>
          </w:p>
        </w:tc>
        <w:tc>
          <w:tcPr>
            <w:tcW w:w="103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52.5</w:t>
            </w:r>
          </w:p>
        </w:tc>
        <w:tc>
          <w:tcPr>
            <w:tcW w:w="114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44.2</w:t>
            </w:r>
          </w:p>
        </w:tc>
        <w:tc>
          <w:tcPr>
            <w:tcW w:w="9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54.5</w:t>
            </w:r>
          </w:p>
        </w:tc>
        <w:tc>
          <w:tcPr>
            <w:tcW w:w="96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12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3713"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拟建厂区西侧厂界外</w:t>
            </w:r>
          </w:p>
        </w:tc>
        <w:tc>
          <w:tcPr>
            <w:tcW w:w="103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55.7</w:t>
            </w:r>
          </w:p>
        </w:tc>
        <w:tc>
          <w:tcPr>
            <w:tcW w:w="114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44.5</w:t>
            </w:r>
          </w:p>
        </w:tc>
        <w:tc>
          <w:tcPr>
            <w:tcW w:w="9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53.4</w:t>
            </w:r>
          </w:p>
        </w:tc>
        <w:tc>
          <w:tcPr>
            <w:tcW w:w="96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12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3713" w:type="dxa"/>
            <w:vAlign w:val="center"/>
          </w:tcPr>
          <w:p>
            <w:pPr>
              <w:jc w:val="center"/>
              <w:rPr>
                <w:rFonts w:hint="default" w:ascii="Times New Roman" w:hAnsi="Times New Roman" w:cs="Times New Roman"/>
              </w:rPr>
            </w:pPr>
            <w:r>
              <w:rPr>
                <w:rFonts w:hint="default" w:ascii="Times New Roman" w:hAnsi="Times New Roman" w:cs="Times New Roman"/>
                <w:color w:val="000000"/>
                <w:szCs w:val="21"/>
              </w:rPr>
              <w:t>拟建厂区北侧厂界外</w:t>
            </w:r>
          </w:p>
        </w:tc>
        <w:tc>
          <w:tcPr>
            <w:tcW w:w="103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56.1</w:t>
            </w:r>
          </w:p>
        </w:tc>
        <w:tc>
          <w:tcPr>
            <w:tcW w:w="1145" w:type="dxa"/>
            <w:vAlign w:val="center"/>
          </w:tcPr>
          <w:p>
            <w:pPr>
              <w:tabs>
                <w:tab w:val="center" w:pos="589"/>
              </w:tabs>
              <w:jc w:val="center"/>
              <w:rPr>
                <w:rFonts w:hint="default" w:ascii="Times New Roman" w:hAnsi="Times New Roman" w:cs="Times New Roman"/>
                <w:color w:val="000000"/>
                <w:szCs w:val="21"/>
              </w:rPr>
            </w:pPr>
            <w:r>
              <w:rPr>
                <w:rFonts w:hint="default" w:ascii="Times New Roman" w:hAnsi="Times New Roman" w:cs="Times New Roman"/>
                <w:color w:val="000000"/>
                <w:szCs w:val="21"/>
              </w:rPr>
              <w:t>44.0</w:t>
            </w:r>
          </w:p>
        </w:tc>
        <w:tc>
          <w:tcPr>
            <w:tcW w:w="973" w:type="dxa"/>
            <w:vAlign w:val="center"/>
          </w:tcPr>
          <w:p>
            <w:pPr>
              <w:tabs>
                <w:tab w:val="center" w:pos="589"/>
              </w:tabs>
              <w:jc w:val="center"/>
              <w:rPr>
                <w:rFonts w:hint="default" w:ascii="Times New Roman" w:hAnsi="Times New Roman" w:cs="Times New Roman"/>
                <w:color w:val="000000"/>
                <w:szCs w:val="21"/>
              </w:rPr>
            </w:pPr>
            <w:r>
              <w:rPr>
                <w:rFonts w:hint="default" w:ascii="Times New Roman" w:hAnsi="Times New Roman" w:cs="Times New Roman"/>
                <w:color w:val="000000"/>
                <w:szCs w:val="21"/>
              </w:rPr>
              <w:t>56.3</w:t>
            </w:r>
          </w:p>
        </w:tc>
        <w:tc>
          <w:tcPr>
            <w:tcW w:w="961" w:type="dxa"/>
            <w:vAlign w:val="center"/>
          </w:tcPr>
          <w:p>
            <w:pPr>
              <w:tabs>
                <w:tab w:val="center" w:pos="589"/>
              </w:tabs>
              <w:jc w:val="center"/>
              <w:rPr>
                <w:rFonts w:hint="default" w:ascii="Times New Roman" w:hAnsi="Times New Roman" w:cs="Times New Roman"/>
                <w:color w:val="000000"/>
                <w:szCs w:val="21"/>
              </w:rPr>
            </w:pPr>
            <w:r>
              <w:rPr>
                <w:rFonts w:hint="default" w:ascii="Times New Roman" w:hAnsi="Times New Roman" w:cs="Times New Roman"/>
                <w:color w:val="000000"/>
                <w:szCs w:val="21"/>
              </w:rPr>
              <w:t>47.6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12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5#</w:t>
            </w:r>
          </w:p>
        </w:tc>
        <w:tc>
          <w:tcPr>
            <w:tcW w:w="371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项目西北面145m住户处</w:t>
            </w:r>
          </w:p>
        </w:tc>
        <w:tc>
          <w:tcPr>
            <w:tcW w:w="103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52.5</w:t>
            </w:r>
          </w:p>
        </w:tc>
        <w:tc>
          <w:tcPr>
            <w:tcW w:w="1145" w:type="dxa"/>
            <w:vAlign w:val="center"/>
          </w:tcPr>
          <w:p>
            <w:pPr>
              <w:tabs>
                <w:tab w:val="center" w:pos="589"/>
              </w:tabs>
              <w:jc w:val="center"/>
              <w:rPr>
                <w:rFonts w:hint="default" w:ascii="Times New Roman" w:hAnsi="Times New Roman" w:cs="Times New Roman"/>
                <w:color w:val="000000"/>
                <w:szCs w:val="21"/>
              </w:rPr>
            </w:pPr>
            <w:r>
              <w:rPr>
                <w:rFonts w:hint="default" w:ascii="Times New Roman" w:hAnsi="Times New Roman" w:cs="Times New Roman"/>
                <w:color w:val="000000"/>
                <w:szCs w:val="21"/>
              </w:rPr>
              <w:t>42.7</w:t>
            </w:r>
          </w:p>
        </w:tc>
        <w:tc>
          <w:tcPr>
            <w:tcW w:w="973" w:type="dxa"/>
            <w:vAlign w:val="center"/>
          </w:tcPr>
          <w:p>
            <w:pPr>
              <w:tabs>
                <w:tab w:val="center" w:pos="589"/>
              </w:tabs>
              <w:jc w:val="center"/>
              <w:rPr>
                <w:rFonts w:hint="default" w:ascii="Times New Roman" w:hAnsi="Times New Roman" w:cs="Times New Roman"/>
                <w:color w:val="000000"/>
                <w:szCs w:val="21"/>
              </w:rPr>
            </w:pPr>
            <w:r>
              <w:rPr>
                <w:rFonts w:hint="default" w:ascii="Times New Roman" w:hAnsi="Times New Roman" w:cs="Times New Roman"/>
                <w:color w:val="000000"/>
                <w:szCs w:val="21"/>
              </w:rPr>
              <w:t>55.1</w:t>
            </w:r>
          </w:p>
        </w:tc>
        <w:tc>
          <w:tcPr>
            <w:tcW w:w="961" w:type="dxa"/>
            <w:vAlign w:val="center"/>
          </w:tcPr>
          <w:p>
            <w:pPr>
              <w:tabs>
                <w:tab w:val="center" w:pos="589"/>
              </w:tabs>
              <w:jc w:val="center"/>
              <w:rPr>
                <w:rFonts w:hint="default" w:ascii="Times New Roman" w:hAnsi="Times New Roman" w:cs="Times New Roman"/>
                <w:color w:val="000000"/>
                <w:szCs w:val="21"/>
              </w:rPr>
            </w:pPr>
            <w:r>
              <w:rPr>
                <w:rFonts w:hint="default" w:ascii="Times New Roman" w:hAnsi="Times New Roman" w:cs="Times New Roman"/>
                <w:color w:val="000000"/>
                <w:szCs w:val="21"/>
              </w:rPr>
              <w:t>43.4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12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6#</w:t>
            </w:r>
          </w:p>
        </w:tc>
        <w:tc>
          <w:tcPr>
            <w:tcW w:w="3713" w:type="dxa"/>
            <w:vAlign w:val="center"/>
          </w:tcPr>
          <w:p>
            <w:pPr>
              <w:ind w:right="122" w:rightChars="58"/>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项目西南面130m住户处</w:t>
            </w:r>
          </w:p>
        </w:tc>
        <w:tc>
          <w:tcPr>
            <w:tcW w:w="103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52.2</w:t>
            </w:r>
          </w:p>
        </w:tc>
        <w:tc>
          <w:tcPr>
            <w:tcW w:w="1145" w:type="dxa"/>
            <w:vAlign w:val="center"/>
          </w:tcPr>
          <w:p>
            <w:pPr>
              <w:tabs>
                <w:tab w:val="center" w:pos="589"/>
              </w:tabs>
              <w:jc w:val="center"/>
              <w:rPr>
                <w:rFonts w:hint="default" w:ascii="Times New Roman" w:hAnsi="Times New Roman" w:cs="Times New Roman"/>
                <w:color w:val="000000"/>
                <w:szCs w:val="21"/>
              </w:rPr>
            </w:pPr>
            <w:r>
              <w:rPr>
                <w:rFonts w:hint="default" w:ascii="Times New Roman" w:hAnsi="Times New Roman" w:cs="Times New Roman"/>
                <w:color w:val="000000"/>
                <w:szCs w:val="21"/>
              </w:rPr>
              <w:t>45.3</w:t>
            </w:r>
          </w:p>
        </w:tc>
        <w:tc>
          <w:tcPr>
            <w:tcW w:w="973" w:type="dxa"/>
            <w:vAlign w:val="center"/>
          </w:tcPr>
          <w:p>
            <w:pPr>
              <w:tabs>
                <w:tab w:val="center" w:pos="589"/>
              </w:tabs>
              <w:jc w:val="center"/>
              <w:rPr>
                <w:rFonts w:hint="default" w:ascii="Times New Roman" w:hAnsi="Times New Roman" w:cs="Times New Roman"/>
                <w:color w:val="000000"/>
                <w:szCs w:val="21"/>
              </w:rPr>
            </w:pPr>
            <w:r>
              <w:rPr>
                <w:rFonts w:hint="default" w:ascii="Times New Roman" w:hAnsi="Times New Roman" w:cs="Times New Roman"/>
                <w:color w:val="000000"/>
                <w:szCs w:val="21"/>
              </w:rPr>
              <w:t>54.8</w:t>
            </w:r>
          </w:p>
        </w:tc>
        <w:tc>
          <w:tcPr>
            <w:tcW w:w="961" w:type="dxa"/>
            <w:vAlign w:val="center"/>
          </w:tcPr>
          <w:p>
            <w:pPr>
              <w:tabs>
                <w:tab w:val="center" w:pos="589"/>
              </w:tabs>
              <w:jc w:val="center"/>
              <w:rPr>
                <w:rFonts w:hint="default" w:ascii="Times New Roman" w:hAnsi="Times New Roman" w:cs="Times New Roman"/>
                <w:color w:val="000000"/>
                <w:szCs w:val="21"/>
              </w:rPr>
            </w:pPr>
            <w:r>
              <w:rPr>
                <w:rFonts w:hint="default" w:ascii="Times New Roman" w:hAnsi="Times New Roman" w:cs="Times New Roman"/>
                <w:color w:val="000000"/>
                <w:szCs w:val="21"/>
              </w:rPr>
              <w:t>44.7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4836"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《声环境质量标准》(GB3096-2008)2类标准限值</w:t>
            </w:r>
          </w:p>
        </w:tc>
        <w:tc>
          <w:tcPr>
            <w:tcW w:w="103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≤60</w:t>
            </w:r>
          </w:p>
        </w:tc>
        <w:tc>
          <w:tcPr>
            <w:tcW w:w="114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≤50</w:t>
            </w:r>
          </w:p>
        </w:tc>
        <w:tc>
          <w:tcPr>
            <w:tcW w:w="973"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≤60</w:t>
            </w:r>
          </w:p>
        </w:tc>
        <w:tc>
          <w:tcPr>
            <w:tcW w:w="96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≤50</w:t>
            </w:r>
          </w:p>
        </w:tc>
      </w:tr>
    </w:tbl>
    <w:p>
      <w:pPr>
        <w:pStyle w:val="12"/>
        <w:overflowPunct w:val="0"/>
        <w:spacing w:after="0"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从上表可以看出，</w:t>
      </w:r>
      <w:r>
        <w:rPr>
          <w:rFonts w:hint="default" w:ascii="Times New Roman" w:hAnsi="Times New Roman" w:cs="Times New Roman"/>
          <w:bCs/>
          <w:color w:val="000000"/>
          <w:sz w:val="24"/>
          <w:szCs w:val="24"/>
        </w:rPr>
        <w:t>各点位噪声满足《声环境质量标准》（GB3096-2008）中2类标准，</w:t>
      </w:r>
      <w:r>
        <w:rPr>
          <w:rFonts w:hint="default" w:ascii="Times New Roman" w:hAnsi="Times New Roman" w:cs="Times New Roman"/>
          <w:color w:val="000000"/>
          <w:sz w:val="24"/>
          <w:szCs w:val="24"/>
        </w:rPr>
        <w:t>表明项目所在地声环境质量良好。</w:t>
      </w:r>
    </w:p>
    <w:p>
      <w:pPr>
        <w:pStyle w:val="5"/>
        <w:spacing w:before="0" w:after="0" w:line="360" w:lineRule="auto"/>
        <w:ind w:firstLine="482" w:firstLineChars="200"/>
        <w:rPr>
          <w:rFonts w:hint="default" w:ascii="Times New Roman" w:hAnsi="Times New Roman" w:cs="Times New Roman"/>
          <w:sz w:val="24"/>
          <w:szCs w:val="24"/>
        </w:rPr>
      </w:pPr>
      <w:bookmarkStart w:id="226" w:name="_Toc489290418"/>
      <w:r>
        <w:rPr>
          <w:rFonts w:hint="default" w:ascii="Times New Roman" w:hAnsi="Times New Roman" w:cs="Times New Roman"/>
          <w:sz w:val="24"/>
          <w:szCs w:val="24"/>
        </w:rPr>
        <w:t xml:space="preserve">4.2.5 </w:t>
      </w:r>
      <w:r>
        <w:rPr>
          <w:rFonts w:hint="default" w:ascii="Times New Roman" w:hAnsi="Times New Roman" w:cs="Times New Roman"/>
          <w:sz w:val="24"/>
          <w:szCs w:val="24"/>
          <w:lang w:eastAsia="zh-CN"/>
        </w:rPr>
        <w:t>土壤</w:t>
      </w:r>
      <w:r>
        <w:rPr>
          <w:rFonts w:hint="default" w:ascii="Times New Roman" w:hAnsi="Times New Roman" w:cs="Times New Roman"/>
          <w:sz w:val="24"/>
          <w:szCs w:val="24"/>
        </w:rPr>
        <w:t>环境质量现状</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项目监测点位如下表示：</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default" w:ascii="Times New Roman" w:hAnsi="Times New Roman" w:eastAsia="黑体" w:cs="Times New Roman"/>
          <w:bCs/>
          <w:sz w:val="24"/>
          <w:szCs w:val="24"/>
          <w:lang w:val="en-US" w:eastAsia="zh-CN"/>
        </w:rPr>
        <w:t>4.2</w:t>
      </w:r>
      <w:r>
        <w:rPr>
          <w:rFonts w:hint="default" w:ascii="Times New Roman" w:hAnsi="Times New Roman" w:eastAsia="黑体" w:cs="Times New Roman"/>
          <w:bCs/>
          <w:sz w:val="24"/>
          <w:szCs w:val="24"/>
        </w:rPr>
        <w:t>-1</w:t>
      </w:r>
      <w:r>
        <w:rPr>
          <w:rFonts w:hint="default" w:ascii="Times New Roman" w:hAnsi="Times New Roman" w:eastAsia="黑体" w:cs="Times New Roman"/>
          <w:bCs/>
          <w:sz w:val="24"/>
          <w:szCs w:val="24"/>
          <w:lang w:val="en-US" w:eastAsia="zh-CN"/>
        </w:rPr>
        <w:t>1</w:t>
      </w:r>
      <w:r>
        <w:rPr>
          <w:rFonts w:hint="default" w:ascii="Times New Roman" w:hAnsi="Times New Roman" w:eastAsia="黑体" w:cs="Times New Roman"/>
          <w:bCs/>
          <w:sz w:val="24"/>
          <w:szCs w:val="24"/>
        </w:rPr>
        <w:t xml:space="preserve">   土壤现状监测点位布设一览表</w:t>
      </w:r>
    </w:p>
    <w:tbl>
      <w:tblPr>
        <w:tblStyle w:val="33"/>
        <w:tblW w:w="8676" w:type="dxa"/>
        <w:jc w:val="center"/>
        <w:tblInd w:w="103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66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045" w:type="dxa"/>
            <w:noWrap w:val="0"/>
            <w:vAlign w:val="center"/>
          </w:tcPr>
          <w:p>
            <w:pPr>
              <w:autoSpaceDE w:val="0"/>
              <w:autoSpaceDN w:val="0"/>
              <w:adjustRightIn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点号</w:t>
            </w:r>
          </w:p>
        </w:tc>
        <w:tc>
          <w:tcPr>
            <w:tcW w:w="6631" w:type="dxa"/>
            <w:noWrap w:val="0"/>
            <w:vAlign w:val="center"/>
          </w:tcPr>
          <w:p>
            <w:pPr>
              <w:autoSpaceDE w:val="0"/>
              <w:autoSpaceDN w:val="0"/>
              <w:adjustRightIn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监测点位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2045" w:type="dxa"/>
            <w:noWrap w:val="0"/>
            <w:vAlign w:val="center"/>
          </w:tcPr>
          <w:p>
            <w:pPr>
              <w:autoSpaceDE w:val="0"/>
              <w:autoSpaceDN w:val="0"/>
              <w:adjustRightIn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631" w:type="dxa"/>
            <w:noWrap w:val="0"/>
            <w:vAlign w:val="center"/>
          </w:tcPr>
          <w:p>
            <w:pPr>
              <w:ind w:firstLine="42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1#项目所在地内表层样0~20cm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2045" w:type="dxa"/>
            <w:noWrap w:val="0"/>
            <w:vAlign w:val="center"/>
          </w:tcPr>
          <w:p>
            <w:pPr>
              <w:autoSpaceDE w:val="0"/>
              <w:autoSpaceDN w:val="0"/>
              <w:adjustRightIn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6631" w:type="dxa"/>
            <w:noWrap w:val="0"/>
            <w:vAlign w:val="center"/>
          </w:tcPr>
          <w:p>
            <w:pPr>
              <w:ind w:firstLine="42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2#项目所在地内表层样0~20cm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2045" w:type="dxa"/>
            <w:noWrap w:val="0"/>
            <w:vAlign w:val="center"/>
          </w:tcPr>
          <w:p>
            <w:pPr>
              <w:autoSpaceDE w:val="0"/>
              <w:autoSpaceDN w:val="0"/>
              <w:adjustRightIn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6631" w:type="dxa"/>
            <w:noWrap w:val="0"/>
            <w:vAlign w:val="center"/>
          </w:tcPr>
          <w:p>
            <w:pPr>
              <w:ind w:firstLine="42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3#项目所在地内表层样0~20cm</w:t>
            </w:r>
          </w:p>
        </w:tc>
      </w:tr>
    </w:tbl>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监测指标及监测分析方法见下表。</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default" w:ascii="Times New Roman" w:hAnsi="Times New Roman" w:eastAsia="黑体" w:cs="Times New Roman"/>
          <w:bCs/>
          <w:sz w:val="24"/>
          <w:szCs w:val="24"/>
          <w:lang w:val="en-US" w:eastAsia="zh-CN"/>
        </w:rPr>
        <w:t>4.2</w:t>
      </w:r>
      <w:r>
        <w:rPr>
          <w:rFonts w:hint="default" w:ascii="Times New Roman" w:hAnsi="Times New Roman" w:eastAsia="黑体" w:cs="Times New Roman"/>
          <w:bCs/>
          <w:sz w:val="24"/>
          <w:szCs w:val="24"/>
        </w:rPr>
        <w:t>-</w:t>
      </w:r>
      <w:r>
        <w:rPr>
          <w:rFonts w:hint="default" w:ascii="Times New Roman" w:hAnsi="Times New Roman" w:eastAsia="黑体" w:cs="Times New Roman"/>
          <w:bCs/>
          <w:sz w:val="24"/>
          <w:szCs w:val="24"/>
          <w:lang w:val="en-US" w:eastAsia="zh-CN"/>
        </w:rPr>
        <w:t>12</w:t>
      </w:r>
      <w:r>
        <w:rPr>
          <w:rFonts w:hint="default" w:ascii="Times New Roman" w:hAnsi="Times New Roman" w:eastAsia="黑体" w:cs="Times New Roman"/>
          <w:bCs/>
          <w:sz w:val="24"/>
          <w:szCs w:val="24"/>
        </w:rPr>
        <w:t xml:space="preserve">   土壤监测分析方法</w:t>
      </w:r>
    </w:p>
    <w:tbl>
      <w:tblPr>
        <w:tblStyle w:val="33"/>
        <w:tblW w:w="87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41"/>
        <w:gridCol w:w="3123"/>
        <w:gridCol w:w="1918"/>
        <w:gridCol w:w="1471"/>
        <w:gridCol w:w="13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53" w:hRule="exact"/>
          <w:jc w:val="center"/>
        </w:trPr>
        <w:tc>
          <w:tcPr>
            <w:tcW w:w="94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指标</w:t>
            </w:r>
          </w:p>
        </w:tc>
        <w:tc>
          <w:tcPr>
            <w:tcW w:w="312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检测方法及依据</w:t>
            </w:r>
          </w:p>
        </w:tc>
        <w:tc>
          <w:tcPr>
            <w:tcW w:w="1918"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所用仪器</w:t>
            </w:r>
          </w:p>
        </w:tc>
        <w:tc>
          <w:tcPr>
            <w:tcW w:w="1471"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仪器编号</w:t>
            </w:r>
          </w:p>
        </w:tc>
        <w:tc>
          <w:tcPr>
            <w:tcW w:w="1333"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8" w:hRule="atLeast"/>
          <w:jc w:val="center"/>
        </w:trPr>
        <w:tc>
          <w:tcPr>
            <w:tcW w:w="941" w:type="dxa"/>
            <w:noWrap w:val="0"/>
            <w:vAlign w:val="center"/>
          </w:tcPr>
          <w:p>
            <w:pPr>
              <w:pStyle w:val="27"/>
              <w:adjustRightIn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pH</w:t>
            </w:r>
          </w:p>
        </w:tc>
        <w:tc>
          <w:tcPr>
            <w:tcW w:w="3123" w:type="dxa"/>
            <w:noWrap w:val="0"/>
            <w:vAlign w:val="center"/>
          </w:tcPr>
          <w:p>
            <w:pPr>
              <w:pStyle w:val="27"/>
              <w:adjustRightIn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土壤 pH的测定NY/T 1377-2007</w:t>
            </w:r>
          </w:p>
        </w:tc>
        <w:tc>
          <w:tcPr>
            <w:tcW w:w="191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PHSJ-4A型pH计</w:t>
            </w:r>
          </w:p>
        </w:tc>
        <w:tc>
          <w:tcPr>
            <w:tcW w:w="1471" w:type="dxa"/>
            <w:noWrap w:val="0"/>
            <w:vAlign w:val="center"/>
          </w:tcPr>
          <w:p>
            <w:pPr>
              <w:jc w:val="center"/>
              <w:rPr>
                <w:rFonts w:hint="default" w:ascii="Times New Roman" w:hAnsi="Times New Roman" w:cs="Times New Roman"/>
                <w:sz w:val="21"/>
                <w:szCs w:val="21"/>
                <w:highlight w:val="magenta"/>
              </w:rPr>
            </w:pPr>
            <w:r>
              <w:rPr>
                <w:rFonts w:hint="default" w:ascii="Times New Roman" w:hAnsi="Times New Roman" w:cs="Times New Roman"/>
                <w:sz w:val="21"/>
                <w:szCs w:val="21"/>
              </w:rPr>
              <w:t>XSJS-012-01</w:t>
            </w:r>
          </w:p>
        </w:tc>
        <w:tc>
          <w:tcPr>
            <w:tcW w:w="1333" w:type="dxa"/>
            <w:noWrap w:val="0"/>
            <w:vAlign w:val="center"/>
          </w:tcPr>
          <w:p>
            <w:pPr>
              <w:pStyle w:val="27"/>
              <w:adjustRightIn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0" w:hRule="atLeast"/>
          <w:jc w:val="center"/>
        </w:trPr>
        <w:tc>
          <w:tcPr>
            <w:tcW w:w="941" w:type="dxa"/>
            <w:noWrap w:val="0"/>
            <w:vAlign w:val="center"/>
          </w:tcPr>
          <w:p>
            <w:pPr>
              <w:pStyle w:val="27"/>
              <w:adjustRightIn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镉</w:t>
            </w:r>
          </w:p>
        </w:tc>
        <w:tc>
          <w:tcPr>
            <w:tcW w:w="312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土壤质量 铅、镉的测定石墨炉原子吸收分光光度法GB/T 17141-1997</w:t>
            </w:r>
          </w:p>
        </w:tc>
        <w:tc>
          <w:tcPr>
            <w:tcW w:w="1918" w:type="dxa"/>
            <w:vMerge w:val="restart"/>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GGX-830 石墨炉/火焰原子吸收分光光度计</w:t>
            </w:r>
          </w:p>
        </w:tc>
        <w:tc>
          <w:tcPr>
            <w:tcW w:w="1471" w:type="dxa"/>
            <w:vMerge w:val="restart"/>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XSJS-004</w:t>
            </w:r>
          </w:p>
        </w:tc>
        <w:tc>
          <w:tcPr>
            <w:tcW w:w="133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0.01mg/kg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0" w:hRule="atLeast"/>
          <w:jc w:val="center"/>
        </w:trPr>
        <w:tc>
          <w:tcPr>
            <w:tcW w:w="941" w:type="dxa"/>
            <w:noWrap w:val="0"/>
            <w:vAlign w:val="center"/>
          </w:tcPr>
          <w:p>
            <w:pPr>
              <w:pStyle w:val="27"/>
              <w:adjustRightIn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铅</w:t>
            </w:r>
          </w:p>
        </w:tc>
        <w:tc>
          <w:tcPr>
            <w:tcW w:w="312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土壤质量 铅、镉的测定石墨炉原子吸收分光光度法GB/T 17141-1997</w:t>
            </w:r>
          </w:p>
        </w:tc>
        <w:tc>
          <w:tcPr>
            <w:tcW w:w="1918" w:type="dxa"/>
            <w:vMerge w:val="continue"/>
            <w:noWrap w:val="0"/>
            <w:vAlign w:val="center"/>
          </w:tcPr>
          <w:p>
            <w:pPr>
              <w:jc w:val="center"/>
              <w:rPr>
                <w:rFonts w:hint="default" w:ascii="Times New Roman" w:hAnsi="Times New Roman" w:cs="Times New Roman"/>
                <w:color w:val="000000"/>
                <w:sz w:val="21"/>
                <w:szCs w:val="21"/>
              </w:rPr>
            </w:pPr>
          </w:p>
        </w:tc>
        <w:tc>
          <w:tcPr>
            <w:tcW w:w="1471" w:type="dxa"/>
            <w:vMerge w:val="continue"/>
            <w:noWrap w:val="0"/>
            <w:vAlign w:val="center"/>
          </w:tcPr>
          <w:p>
            <w:pPr>
              <w:jc w:val="center"/>
              <w:rPr>
                <w:rFonts w:hint="default" w:ascii="Times New Roman" w:hAnsi="Times New Roman" w:cs="Times New Roman"/>
                <w:color w:val="000000"/>
                <w:sz w:val="21"/>
                <w:szCs w:val="21"/>
              </w:rPr>
            </w:pPr>
          </w:p>
        </w:tc>
        <w:tc>
          <w:tcPr>
            <w:tcW w:w="133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0.1mg/kg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0" w:hRule="atLeast"/>
          <w:jc w:val="center"/>
        </w:trPr>
        <w:tc>
          <w:tcPr>
            <w:tcW w:w="941" w:type="dxa"/>
            <w:noWrap w:val="0"/>
            <w:vAlign w:val="center"/>
          </w:tcPr>
          <w:p>
            <w:pPr>
              <w:pStyle w:val="27"/>
              <w:adjustRightIn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铬</w:t>
            </w:r>
          </w:p>
        </w:tc>
        <w:tc>
          <w:tcPr>
            <w:tcW w:w="312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土壤 总铬的测定 火焰原子吸收分光光度法HJ 491-2009</w:t>
            </w:r>
          </w:p>
        </w:tc>
        <w:tc>
          <w:tcPr>
            <w:tcW w:w="1918" w:type="dxa"/>
            <w:vMerge w:val="continue"/>
            <w:noWrap w:val="0"/>
            <w:vAlign w:val="center"/>
          </w:tcPr>
          <w:p>
            <w:pPr>
              <w:jc w:val="center"/>
              <w:rPr>
                <w:rFonts w:hint="default" w:ascii="Times New Roman" w:hAnsi="Times New Roman" w:cs="Times New Roman"/>
                <w:sz w:val="21"/>
                <w:szCs w:val="21"/>
                <w:highlight w:val="magenta"/>
              </w:rPr>
            </w:pPr>
          </w:p>
        </w:tc>
        <w:tc>
          <w:tcPr>
            <w:tcW w:w="1471" w:type="dxa"/>
            <w:vMerge w:val="continue"/>
            <w:noWrap w:val="0"/>
            <w:vAlign w:val="center"/>
          </w:tcPr>
          <w:p>
            <w:pPr>
              <w:jc w:val="center"/>
              <w:rPr>
                <w:rFonts w:hint="default" w:ascii="Times New Roman" w:hAnsi="Times New Roman" w:cs="Times New Roman"/>
                <w:sz w:val="21"/>
                <w:szCs w:val="21"/>
                <w:highlight w:val="magenta"/>
              </w:rPr>
            </w:pPr>
          </w:p>
        </w:tc>
        <w:tc>
          <w:tcPr>
            <w:tcW w:w="133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0" w:hRule="atLeast"/>
          <w:jc w:val="center"/>
        </w:trPr>
        <w:tc>
          <w:tcPr>
            <w:tcW w:w="941" w:type="dxa"/>
            <w:noWrap w:val="0"/>
            <w:vAlign w:val="center"/>
          </w:tcPr>
          <w:p>
            <w:pPr>
              <w:pStyle w:val="27"/>
              <w:adjustRightIn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镍</w:t>
            </w:r>
          </w:p>
        </w:tc>
        <w:tc>
          <w:tcPr>
            <w:tcW w:w="312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土壤质量 镍的测定火焰原子吸收分光光度法GB/T 17139-1997</w:t>
            </w:r>
          </w:p>
        </w:tc>
        <w:tc>
          <w:tcPr>
            <w:tcW w:w="1918" w:type="dxa"/>
            <w:vMerge w:val="continue"/>
            <w:noWrap w:val="0"/>
            <w:vAlign w:val="center"/>
          </w:tcPr>
          <w:p>
            <w:pPr>
              <w:jc w:val="center"/>
              <w:rPr>
                <w:rFonts w:hint="default" w:ascii="Times New Roman" w:hAnsi="Times New Roman" w:cs="Times New Roman"/>
                <w:color w:val="000000"/>
                <w:sz w:val="21"/>
                <w:szCs w:val="21"/>
              </w:rPr>
            </w:pPr>
          </w:p>
        </w:tc>
        <w:tc>
          <w:tcPr>
            <w:tcW w:w="1471" w:type="dxa"/>
            <w:vMerge w:val="continue"/>
            <w:noWrap w:val="0"/>
            <w:vAlign w:val="center"/>
          </w:tcPr>
          <w:p>
            <w:pPr>
              <w:jc w:val="center"/>
              <w:rPr>
                <w:rFonts w:hint="default" w:ascii="Times New Roman" w:hAnsi="Times New Roman" w:cs="Times New Roman"/>
                <w:color w:val="000000"/>
                <w:sz w:val="21"/>
                <w:szCs w:val="21"/>
              </w:rPr>
            </w:pPr>
          </w:p>
        </w:tc>
        <w:tc>
          <w:tcPr>
            <w:tcW w:w="133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0" w:hRule="atLeast"/>
          <w:jc w:val="center"/>
        </w:trPr>
        <w:tc>
          <w:tcPr>
            <w:tcW w:w="941" w:type="dxa"/>
            <w:noWrap w:val="0"/>
            <w:vAlign w:val="center"/>
          </w:tcPr>
          <w:p>
            <w:pPr>
              <w:pStyle w:val="27"/>
              <w:adjustRightIn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铜</w:t>
            </w:r>
          </w:p>
        </w:tc>
        <w:tc>
          <w:tcPr>
            <w:tcW w:w="312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土壤质量 铜、锌的测定火焰原子吸收分光光度法GB/T 17138-1997</w:t>
            </w:r>
          </w:p>
        </w:tc>
        <w:tc>
          <w:tcPr>
            <w:tcW w:w="1918" w:type="dxa"/>
            <w:vMerge w:val="continue"/>
            <w:noWrap w:val="0"/>
            <w:vAlign w:val="center"/>
          </w:tcPr>
          <w:p>
            <w:pPr>
              <w:jc w:val="center"/>
              <w:rPr>
                <w:rFonts w:hint="default" w:ascii="Times New Roman" w:hAnsi="Times New Roman" w:cs="Times New Roman"/>
                <w:color w:val="000000"/>
                <w:sz w:val="21"/>
                <w:szCs w:val="21"/>
              </w:rPr>
            </w:pPr>
          </w:p>
        </w:tc>
        <w:tc>
          <w:tcPr>
            <w:tcW w:w="1471" w:type="dxa"/>
            <w:vMerge w:val="continue"/>
            <w:noWrap w:val="0"/>
            <w:vAlign w:val="center"/>
          </w:tcPr>
          <w:p>
            <w:pPr>
              <w:jc w:val="center"/>
              <w:rPr>
                <w:rFonts w:hint="default" w:ascii="Times New Roman" w:hAnsi="Times New Roman" w:cs="Times New Roman"/>
                <w:color w:val="000000"/>
                <w:sz w:val="21"/>
                <w:szCs w:val="21"/>
              </w:rPr>
            </w:pPr>
          </w:p>
        </w:tc>
        <w:tc>
          <w:tcPr>
            <w:tcW w:w="133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0" w:hRule="atLeast"/>
          <w:jc w:val="center"/>
        </w:trPr>
        <w:tc>
          <w:tcPr>
            <w:tcW w:w="941" w:type="dxa"/>
            <w:noWrap w:val="0"/>
            <w:vAlign w:val="center"/>
          </w:tcPr>
          <w:p>
            <w:pPr>
              <w:pStyle w:val="27"/>
              <w:adjustRightIn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锌</w:t>
            </w:r>
          </w:p>
        </w:tc>
        <w:tc>
          <w:tcPr>
            <w:tcW w:w="312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土壤质量 铜、锌的测定火焰原子吸收分光光度法GB/T 17138-1997</w:t>
            </w:r>
          </w:p>
        </w:tc>
        <w:tc>
          <w:tcPr>
            <w:tcW w:w="1918" w:type="dxa"/>
            <w:vMerge w:val="continue"/>
            <w:noWrap w:val="0"/>
            <w:vAlign w:val="center"/>
          </w:tcPr>
          <w:p>
            <w:pPr>
              <w:jc w:val="center"/>
              <w:rPr>
                <w:rFonts w:hint="default" w:ascii="Times New Roman" w:hAnsi="Times New Roman" w:cs="Times New Roman"/>
                <w:color w:val="000000"/>
                <w:sz w:val="21"/>
                <w:szCs w:val="21"/>
              </w:rPr>
            </w:pPr>
          </w:p>
        </w:tc>
        <w:tc>
          <w:tcPr>
            <w:tcW w:w="1471" w:type="dxa"/>
            <w:vMerge w:val="continue"/>
            <w:noWrap w:val="0"/>
            <w:vAlign w:val="center"/>
          </w:tcPr>
          <w:p>
            <w:pPr>
              <w:jc w:val="center"/>
              <w:rPr>
                <w:rFonts w:hint="default" w:ascii="Times New Roman" w:hAnsi="Times New Roman" w:cs="Times New Roman"/>
                <w:color w:val="000000"/>
                <w:sz w:val="21"/>
                <w:szCs w:val="21"/>
              </w:rPr>
            </w:pPr>
          </w:p>
        </w:tc>
        <w:tc>
          <w:tcPr>
            <w:tcW w:w="133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0.5mg/kg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0" w:hRule="atLeast"/>
          <w:jc w:val="center"/>
        </w:trPr>
        <w:tc>
          <w:tcPr>
            <w:tcW w:w="941" w:type="dxa"/>
            <w:noWrap w:val="0"/>
            <w:vAlign w:val="center"/>
          </w:tcPr>
          <w:p>
            <w:pPr>
              <w:pStyle w:val="27"/>
              <w:adjustRightIn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汞</w:t>
            </w:r>
          </w:p>
        </w:tc>
        <w:tc>
          <w:tcPr>
            <w:tcW w:w="312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土壤质量 总汞、总砷、总铅的测定 原子荧光 第一部分：土壤总汞的测定GB/T 22105.1-2008</w:t>
            </w:r>
          </w:p>
        </w:tc>
        <w:tc>
          <w:tcPr>
            <w:tcW w:w="1918" w:type="dxa"/>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原子荧光光度计 AFS-230E</w:t>
            </w:r>
          </w:p>
        </w:tc>
        <w:tc>
          <w:tcPr>
            <w:tcW w:w="1471" w:type="dxa"/>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XSJS-001</w:t>
            </w:r>
          </w:p>
        </w:tc>
        <w:tc>
          <w:tcPr>
            <w:tcW w:w="1333"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0.002mg/kg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70" w:hRule="atLeast"/>
          <w:jc w:val="center"/>
        </w:trPr>
        <w:tc>
          <w:tcPr>
            <w:tcW w:w="941" w:type="dxa"/>
            <w:noWrap w:val="0"/>
            <w:vAlign w:val="center"/>
          </w:tcPr>
          <w:p>
            <w:pPr>
              <w:pStyle w:val="27"/>
              <w:adjustRightIn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砷</w:t>
            </w:r>
          </w:p>
        </w:tc>
        <w:tc>
          <w:tcPr>
            <w:tcW w:w="312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土壤质量 总汞、总砷、总铅的测定 原子荧光 第一部分：土壤总砷的测定GB/T 22105.1-2008</w:t>
            </w:r>
          </w:p>
        </w:tc>
        <w:tc>
          <w:tcPr>
            <w:tcW w:w="1918" w:type="dxa"/>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原子荧光光度计 AFS-230E</w:t>
            </w:r>
          </w:p>
        </w:tc>
        <w:tc>
          <w:tcPr>
            <w:tcW w:w="1471" w:type="dxa"/>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XSJS-005</w:t>
            </w:r>
          </w:p>
        </w:tc>
        <w:tc>
          <w:tcPr>
            <w:tcW w:w="1333"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0.01mg/kg</w:t>
            </w:r>
          </w:p>
        </w:tc>
      </w:tr>
    </w:tbl>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监测时间及监测频率</w:t>
      </w:r>
      <w:r>
        <w:rPr>
          <w:rFonts w:hint="default" w:ascii="Times New Roman" w:hAnsi="Times New Roman" w:cs="Times New Roman"/>
          <w:lang w:eastAsia="zh-CN"/>
        </w:rPr>
        <w:t>：</w:t>
      </w:r>
      <w:r>
        <w:rPr>
          <w:rFonts w:hint="default" w:ascii="Times New Roman" w:hAnsi="Times New Roman" w:cs="Times New Roman"/>
        </w:rPr>
        <w:t>2019年</w:t>
      </w:r>
      <w:r>
        <w:rPr>
          <w:rFonts w:hint="default" w:ascii="Times New Roman" w:hAnsi="Times New Roman" w:cs="Times New Roman"/>
          <w:lang w:val="en-US" w:eastAsia="zh-CN"/>
        </w:rPr>
        <w:t>0</w:t>
      </w:r>
      <w:r>
        <w:rPr>
          <w:rFonts w:hint="default" w:ascii="Times New Roman" w:hAnsi="Times New Roman" w:cs="Times New Roman"/>
        </w:rPr>
        <w:t>6月</w:t>
      </w:r>
      <w:r>
        <w:rPr>
          <w:rFonts w:hint="default" w:ascii="Times New Roman" w:hAnsi="Times New Roman" w:cs="Times New Roman"/>
          <w:lang w:val="en-US" w:eastAsia="zh-CN"/>
        </w:rPr>
        <w:t>26</w:t>
      </w:r>
      <w:r>
        <w:rPr>
          <w:rFonts w:hint="default" w:ascii="Times New Roman" w:hAnsi="Times New Roman" w:cs="Times New Roman"/>
        </w:rPr>
        <w:t>日</w:t>
      </w:r>
      <w:r>
        <w:rPr>
          <w:rFonts w:hint="default" w:ascii="Times New Roman" w:hAnsi="Times New Roman" w:cs="Times New Roman"/>
          <w:lang w:eastAsia="zh-CN"/>
        </w:rPr>
        <w:t>，</w:t>
      </w:r>
      <w:r>
        <w:rPr>
          <w:rFonts w:hint="default" w:ascii="Times New Roman" w:hAnsi="Times New Roman" w:cs="Times New Roman"/>
        </w:rPr>
        <w:t>监测1天，每天采样1次。</w:t>
      </w:r>
    </w:p>
    <w:p>
      <w:pPr>
        <w:pStyle w:val="2"/>
        <w:spacing w:line="360" w:lineRule="auto"/>
        <w:ind w:firstLine="480" w:firstLineChars="200"/>
        <w:rPr>
          <w:rFonts w:hint="default" w:ascii="Times New Roman" w:hAnsi="Times New Roman" w:cs="Times New Roman"/>
          <w:bCs/>
          <w:spacing w:val="10"/>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评价标准</w:t>
      </w:r>
      <w:r>
        <w:rPr>
          <w:rFonts w:hint="default" w:ascii="Times New Roman" w:hAnsi="Times New Roman" w:cs="Times New Roman"/>
          <w:lang w:eastAsia="zh-CN"/>
        </w:rPr>
        <w:t>：</w:t>
      </w:r>
      <w:r>
        <w:rPr>
          <w:rFonts w:hint="default" w:ascii="Times New Roman" w:hAnsi="Times New Roman" w:cs="Times New Roman"/>
          <w:bCs/>
        </w:rPr>
        <w:t>本次土壤环境现状评价执行《土壤环境质量 农用地土壤污染风险管控标准（试行）》（GB 15618-2018）</w:t>
      </w:r>
      <w:r>
        <w:rPr>
          <w:rFonts w:hint="default" w:ascii="Times New Roman" w:hAnsi="Times New Roman" w:cs="Times New Roman"/>
          <w:bCs/>
          <w:spacing w:val="10"/>
        </w:rPr>
        <w:t>表1</w:t>
      </w:r>
      <w:r>
        <w:rPr>
          <w:rFonts w:hint="default" w:ascii="Times New Roman" w:hAnsi="Times New Roman" w:cs="Times New Roman"/>
          <w:bCs/>
          <w:spacing w:val="10"/>
          <w:lang w:eastAsia="zh-CN"/>
        </w:rPr>
        <w:t>中相关限值</w:t>
      </w:r>
      <w:r>
        <w:rPr>
          <w:rFonts w:hint="default" w:ascii="Times New Roman" w:hAnsi="Times New Roman" w:cs="Times New Roman"/>
          <w:bCs/>
          <w:spacing w:val="10"/>
        </w:rPr>
        <w:t>：</w:t>
      </w:r>
    </w:p>
    <w:p>
      <w:pPr>
        <w:pStyle w:val="2"/>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）检测结果</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default" w:ascii="Times New Roman" w:hAnsi="Times New Roman" w:eastAsia="黑体" w:cs="Times New Roman"/>
          <w:bCs/>
          <w:sz w:val="24"/>
          <w:szCs w:val="24"/>
          <w:lang w:val="en-US" w:eastAsia="zh-CN"/>
        </w:rPr>
        <w:t>4.2</w:t>
      </w:r>
      <w:r>
        <w:rPr>
          <w:rFonts w:hint="default" w:ascii="Times New Roman" w:hAnsi="Times New Roman" w:eastAsia="黑体" w:cs="Times New Roman"/>
          <w:bCs/>
          <w:sz w:val="24"/>
          <w:szCs w:val="24"/>
        </w:rPr>
        <w:t>-</w:t>
      </w:r>
      <w:r>
        <w:rPr>
          <w:rFonts w:hint="default" w:ascii="Times New Roman" w:hAnsi="Times New Roman" w:eastAsia="黑体" w:cs="Times New Roman"/>
          <w:bCs/>
          <w:sz w:val="24"/>
          <w:szCs w:val="24"/>
          <w:lang w:val="en-US" w:eastAsia="zh-CN"/>
        </w:rPr>
        <w:t>13</w:t>
      </w:r>
      <w:r>
        <w:rPr>
          <w:rFonts w:hint="default" w:ascii="Times New Roman" w:hAnsi="Times New Roman" w:eastAsia="黑体" w:cs="Times New Roman"/>
          <w:bCs/>
          <w:sz w:val="24"/>
          <w:szCs w:val="24"/>
        </w:rPr>
        <w:t xml:space="preserve">   土壤监测结果统计表        单位：mg/kg</w:t>
      </w:r>
    </w:p>
    <w:tbl>
      <w:tblPr>
        <w:tblStyle w:val="33"/>
        <w:tblW w:w="89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439"/>
        <w:gridCol w:w="1322"/>
        <w:gridCol w:w="1794"/>
        <w:gridCol w:w="1537"/>
        <w:gridCol w:w="1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blHeader/>
          <w:jc w:val="center"/>
        </w:trPr>
        <w:tc>
          <w:tcPr>
            <w:tcW w:w="1491" w:type="dxa"/>
            <w:vMerge w:val="restart"/>
            <w:tcBorders>
              <w:top w:val="single" w:color="auto" w:sz="12" w:space="0"/>
              <w:left w:val="nil"/>
              <w:bottom w:val="single" w:color="auto" w:sz="4" w:space="0"/>
              <w:right w:val="single" w:color="auto" w:sz="4" w:space="0"/>
            </w:tcBorders>
            <w:noWrap w:val="0"/>
            <w:vAlign w:val="center"/>
          </w:tcPr>
          <w:p>
            <w:pPr>
              <w:pStyle w:val="79"/>
              <w:spacing w:line="240" w:lineRule="auto"/>
              <w:ind w:firstLine="210" w:firstLineChars="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采样点位</w:t>
            </w:r>
          </w:p>
        </w:tc>
        <w:tc>
          <w:tcPr>
            <w:tcW w:w="1439" w:type="dxa"/>
            <w:vMerge w:val="restart"/>
            <w:tcBorders>
              <w:top w:val="single" w:color="auto" w:sz="12" w:space="0"/>
              <w:left w:val="single" w:color="auto" w:sz="4" w:space="0"/>
              <w:bottom w:val="single" w:color="auto" w:sz="4" w:space="0"/>
              <w:right w:val="single" w:color="auto" w:sz="4" w:space="0"/>
            </w:tcBorders>
            <w:noWrap w:val="0"/>
            <w:vAlign w:val="center"/>
          </w:tcPr>
          <w:p>
            <w:pPr>
              <w:pStyle w:val="79"/>
              <w:spacing w:line="240" w:lineRule="auto"/>
              <w:ind w:firstLine="210" w:firstLineChars="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1322" w:type="dxa"/>
            <w:vMerge w:val="restart"/>
            <w:tcBorders>
              <w:top w:val="single" w:color="auto" w:sz="12"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794" w:type="dxa"/>
            <w:tcBorders>
              <w:top w:val="single" w:color="auto" w:sz="12"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采样日期</w:t>
            </w:r>
          </w:p>
        </w:tc>
        <w:tc>
          <w:tcPr>
            <w:tcW w:w="1537" w:type="dxa"/>
            <w:vMerge w:val="restart"/>
            <w:tcBorders>
              <w:top w:val="single" w:color="auto" w:sz="12"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1363" w:type="dxa"/>
            <w:vMerge w:val="restart"/>
            <w:tcBorders>
              <w:top w:val="single" w:color="auto" w:sz="12" w:space="0"/>
              <w:left w:val="single" w:color="auto" w:sz="4" w:space="0"/>
              <w:bottom w:val="single" w:color="auto" w:sz="4" w:space="0"/>
              <w:right w:val="nil"/>
            </w:tcBorders>
            <w:noWrap w:val="0"/>
            <w:vAlign w:val="center"/>
          </w:tcPr>
          <w:p>
            <w:pPr>
              <w:pStyle w:val="79"/>
              <w:spacing w:line="240" w:lineRule="auto"/>
              <w:ind w:firstLine="210" w:firstLineChars="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blHeader/>
          <w:jc w:val="center"/>
        </w:trPr>
        <w:tc>
          <w:tcPr>
            <w:tcW w:w="1491" w:type="dxa"/>
            <w:vMerge w:val="continue"/>
            <w:tcBorders>
              <w:top w:val="single" w:color="auto" w:sz="12"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322"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6</w:t>
            </w:r>
            <w:r>
              <w:rPr>
                <w:rFonts w:hint="default" w:ascii="Times New Roman" w:hAnsi="Times New Roman" w:eastAsia="宋体" w:cs="Times New Roman"/>
                <w:color w:val="auto"/>
                <w:sz w:val="21"/>
                <w:szCs w:val="21"/>
              </w:rPr>
              <w:t>月</w:t>
            </w:r>
            <w:r>
              <w:rPr>
                <w:rFonts w:hint="default" w:ascii="Times New Roman" w:hAnsi="Times New Roman" w:eastAsia="宋体" w:cs="Times New Roman"/>
                <w:color w:val="auto"/>
                <w:sz w:val="21"/>
                <w:szCs w:val="21"/>
                <w:lang w:val="en-US" w:eastAsia="zh-CN"/>
              </w:rPr>
              <w:t>26</w:t>
            </w:r>
            <w:r>
              <w:rPr>
                <w:rFonts w:hint="default" w:ascii="Times New Roman" w:hAnsi="Times New Roman" w:eastAsia="宋体" w:cs="Times New Roman"/>
                <w:color w:val="auto"/>
                <w:sz w:val="21"/>
                <w:szCs w:val="21"/>
              </w:rPr>
              <w:t>日</w:t>
            </w:r>
          </w:p>
        </w:tc>
        <w:tc>
          <w:tcPr>
            <w:tcW w:w="1537"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363" w:type="dxa"/>
            <w:vMerge w:val="continue"/>
            <w:tcBorders>
              <w:top w:val="single" w:color="auto" w:sz="12" w:space="0"/>
              <w:left w:val="single" w:color="auto" w:sz="4" w:space="0"/>
              <w:bottom w:val="single" w:color="auto" w:sz="4" w:space="0"/>
              <w:right w:val="nil"/>
            </w:tcBorders>
            <w:noWrap w:val="0"/>
            <w:vAlign w:val="center"/>
          </w:tcPr>
          <w:p>
            <w:pPr>
              <w:widowControl/>
              <w:spacing w:line="240" w:lineRule="auto"/>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491" w:type="dxa"/>
            <w:vMerge w:val="continue"/>
            <w:tcBorders>
              <w:top w:val="single" w:color="auto" w:sz="12"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322"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检测结果</w:t>
            </w:r>
          </w:p>
        </w:tc>
        <w:tc>
          <w:tcPr>
            <w:tcW w:w="1537"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363" w:type="dxa"/>
            <w:vMerge w:val="continue"/>
            <w:tcBorders>
              <w:top w:val="single" w:color="auto" w:sz="12" w:space="0"/>
              <w:left w:val="single" w:color="auto" w:sz="4" w:space="0"/>
              <w:bottom w:val="single" w:color="auto" w:sz="4" w:space="0"/>
              <w:right w:val="nil"/>
            </w:tcBorders>
            <w:noWrap w:val="0"/>
            <w:vAlign w:val="center"/>
          </w:tcPr>
          <w:p>
            <w:pPr>
              <w:widowControl/>
              <w:spacing w:line="240" w:lineRule="auto"/>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491" w:type="dxa"/>
            <w:vMerge w:val="restart"/>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1#项目所在地内表层样0~20cm</w:t>
            </w:r>
          </w:p>
          <w:p>
            <w:pPr>
              <w:pStyle w:val="79"/>
              <w:spacing w:line="240" w:lineRule="auto"/>
              <w:rPr>
                <w:rFonts w:hint="default" w:ascii="Times New Roman" w:hAnsi="Times New Roman" w:eastAsia="宋体" w:cs="Times New Roman"/>
                <w:color w:val="auto"/>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6.32</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63" w:type="dxa"/>
            <w:tcBorders>
              <w:top w:val="single" w:color="auto" w:sz="4" w:space="0"/>
              <w:left w:val="single" w:color="auto" w:sz="4" w:space="0"/>
              <w:bottom w:val="single" w:color="auto" w:sz="4" w:space="0"/>
              <w:right w:val="nil"/>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color w:val="000000"/>
                <w:kern w:val="2"/>
                <w:sz w:val="21"/>
                <w:szCs w:val="21"/>
                <w:lang w:val="en-US" w:eastAsia="zh-CN"/>
              </w:rPr>
            </w:pPr>
            <w:r>
              <w:rPr>
                <w:rFonts w:hint="default" w:ascii="Times New Roman" w:hAnsi="Times New Roman" w:eastAsia="宋体" w:cs="Times New Roman"/>
                <w:bCs/>
                <w:color w:val="000000"/>
                <w:kern w:val="2"/>
                <w:sz w:val="21"/>
                <w:szCs w:val="21"/>
                <w:lang w:val="en-US" w:eastAsia="zh-CN"/>
              </w:rPr>
              <w:t>0.21</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1363" w:type="dxa"/>
            <w:tcBorders>
              <w:top w:val="single" w:color="auto" w:sz="4" w:space="0"/>
              <w:left w:val="single" w:color="auto" w:sz="4" w:space="0"/>
              <w:bottom w:val="single" w:color="auto" w:sz="4" w:space="0"/>
              <w:right w:val="nil"/>
            </w:tcBorders>
            <w:noWrap w:val="0"/>
            <w:vAlign w:val="center"/>
          </w:tcPr>
          <w:p>
            <w:pPr>
              <w:pStyle w:val="79"/>
              <w:spacing w:line="240" w:lineRule="auto"/>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0.206</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11.1</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14.0</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56</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28</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29</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114.9</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491" w:type="dxa"/>
            <w:vMerge w:val="restart"/>
            <w:tcBorders>
              <w:top w:val="single" w:color="auto" w:sz="4" w:space="0"/>
              <w:left w:val="nil"/>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2#项目所在地内表层样0~20cm</w:t>
            </w: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6.25</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363" w:type="dxa"/>
            <w:tcBorders>
              <w:top w:val="single" w:color="auto" w:sz="4" w:space="0"/>
              <w:left w:val="single" w:color="auto" w:sz="4" w:space="0"/>
              <w:bottom w:val="single" w:color="auto" w:sz="4" w:space="0"/>
              <w:right w:val="nil"/>
            </w:tcBorders>
            <w:noWrap w:val="0"/>
            <w:vAlign w:val="center"/>
          </w:tcPr>
          <w:p>
            <w:pPr>
              <w:pStyle w:val="7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0.7</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0.3</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0.278</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1.8</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10.6</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40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27.7</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90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52</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150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20</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50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25</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70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491" w:type="dxa"/>
            <w:vMerge w:val="continue"/>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106.8</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200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91" w:type="dxa"/>
            <w:vMerge w:val="restart"/>
            <w:tcBorders>
              <w:top w:val="single" w:color="auto" w:sz="4" w:space="0"/>
              <w:left w:val="nil"/>
              <w:bottom w:val="single" w:color="auto" w:sz="12"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3#项目所在地内表层样0~20cm</w:t>
            </w: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6.37</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63" w:type="dxa"/>
            <w:tcBorders>
              <w:top w:val="single" w:color="auto" w:sz="4" w:space="0"/>
              <w:left w:val="single" w:color="auto" w:sz="4" w:space="0"/>
              <w:bottom w:val="single" w:color="auto" w:sz="4" w:space="0"/>
              <w:right w:val="nil"/>
            </w:tcBorders>
            <w:noWrap w:val="0"/>
            <w:vAlign w:val="center"/>
          </w:tcPr>
          <w:p>
            <w:pPr>
              <w:pStyle w:val="79"/>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491" w:type="dxa"/>
            <w:vMerge w:val="continue"/>
            <w:tcBorders>
              <w:top w:val="single" w:color="auto" w:sz="4" w:space="0"/>
              <w:left w:val="nil"/>
              <w:bottom w:val="single" w:color="auto" w:sz="12"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0.22</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0.3</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91" w:type="dxa"/>
            <w:vMerge w:val="continue"/>
            <w:tcBorders>
              <w:top w:val="single" w:color="auto" w:sz="4" w:space="0"/>
              <w:left w:val="nil"/>
              <w:bottom w:val="single" w:color="auto" w:sz="12"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0.176</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1.8</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1491" w:type="dxa"/>
            <w:vMerge w:val="continue"/>
            <w:tcBorders>
              <w:top w:val="single" w:color="auto" w:sz="4" w:space="0"/>
              <w:left w:val="nil"/>
              <w:bottom w:val="single" w:color="auto" w:sz="12"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7.9</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40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491" w:type="dxa"/>
            <w:vMerge w:val="continue"/>
            <w:tcBorders>
              <w:top w:val="single" w:color="auto" w:sz="4" w:space="0"/>
              <w:left w:val="nil"/>
              <w:bottom w:val="single" w:color="auto" w:sz="12"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28.5</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90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491" w:type="dxa"/>
            <w:vMerge w:val="continue"/>
            <w:tcBorders>
              <w:top w:val="single" w:color="auto" w:sz="4" w:space="0"/>
              <w:left w:val="nil"/>
              <w:bottom w:val="single" w:color="auto" w:sz="12"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44</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150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491" w:type="dxa"/>
            <w:vMerge w:val="continue"/>
            <w:tcBorders>
              <w:top w:val="single" w:color="auto" w:sz="4" w:space="0"/>
              <w:left w:val="nil"/>
              <w:bottom w:val="single" w:color="auto" w:sz="12"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20</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50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491" w:type="dxa"/>
            <w:vMerge w:val="continue"/>
            <w:tcBorders>
              <w:top w:val="single" w:color="auto" w:sz="4" w:space="0"/>
              <w:left w:val="nil"/>
              <w:bottom w:val="single" w:color="auto" w:sz="12"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1322"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4"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22</w:t>
            </w:r>
          </w:p>
        </w:tc>
        <w:tc>
          <w:tcPr>
            <w:tcW w:w="1537" w:type="dxa"/>
            <w:tcBorders>
              <w:top w:val="single" w:color="auto" w:sz="4" w:space="0"/>
              <w:left w:val="single" w:color="auto" w:sz="4" w:space="0"/>
              <w:bottom w:val="single" w:color="auto" w:sz="4"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70</w:t>
            </w:r>
          </w:p>
        </w:tc>
        <w:tc>
          <w:tcPr>
            <w:tcW w:w="1363" w:type="dxa"/>
            <w:tcBorders>
              <w:top w:val="single" w:color="auto" w:sz="4" w:space="0"/>
              <w:left w:val="single" w:color="auto" w:sz="4" w:space="0"/>
              <w:bottom w:val="single" w:color="auto" w:sz="4"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491" w:type="dxa"/>
            <w:vMerge w:val="continue"/>
            <w:tcBorders>
              <w:top w:val="single" w:color="auto" w:sz="4" w:space="0"/>
              <w:left w:val="nil"/>
              <w:bottom w:val="single" w:color="auto" w:sz="12" w:space="0"/>
              <w:right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1439" w:type="dxa"/>
            <w:tcBorders>
              <w:top w:val="single" w:color="auto" w:sz="4" w:space="0"/>
              <w:left w:val="single" w:color="auto" w:sz="4" w:space="0"/>
              <w:bottom w:val="single" w:color="auto" w:sz="12"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w:t>
            </w:r>
          </w:p>
        </w:tc>
        <w:tc>
          <w:tcPr>
            <w:tcW w:w="1322" w:type="dxa"/>
            <w:tcBorders>
              <w:top w:val="single" w:color="auto" w:sz="4" w:space="0"/>
              <w:left w:val="single" w:color="auto" w:sz="4" w:space="0"/>
              <w:bottom w:val="single" w:color="auto" w:sz="12" w:space="0"/>
              <w:right w:val="single" w:color="auto" w:sz="4" w:space="0"/>
            </w:tcBorders>
            <w:noWrap w:val="0"/>
            <w:vAlign w:val="center"/>
          </w:tcPr>
          <w:p>
            <w:pPr>
              <w:pStyle w:val="79"/>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794" w:type="dxa"/>
            <w:tcBorders>
              <w:top w:val="single" w:color="auto" w:sz="4" w:space="0"/>
              <w:left w:val="single" w:color="auto" w:sz="4" w:space="0"/>
              <w:bottom w:val="single" w:color="auto" w:sz="12" w:space="0"/>
              <w:right w:val="single" w:color="auto" w:sz="4" w:space="0"/>
            </w:tcBorders>
            <w:noWrap w:val="0"/>
            <w:vAlign w:val="center"/>
          </w:tcPr>
          <w:p>
            <w:pPr>
              <w:pStyle w:val="27"/>
              <w:adjustRightInd w:val="0"/>
              <w:spacing w:before="0" w:beforeAutospacing="0" w:after="0" w:afterAutospacing="0" w:line="240" w:lineRule="auto"/>
              <w:jc w:val="center"/>
              <w:rPr>
                <w:rFonts w:hint="default" w:ascii="Times New Roman" w:hAnsi="Times New Roman" w:eastAsia="宋体" w:cs="Times New Roman"/>
                <w:bCs/>
                <w:kern w:val="2"/>
                <w:sz w:val="21"/>
                <w:szCs w:val="21"/>
                <w:lang w:val="en-US" w:eastAsia="zh-CN"/>
              </w:rPr>
            </w:pPr>
            <w:r>
              <w:rPr>
                <w:rFonts w:hint="default" w:ascii="Times New Roman" w:hAnsi="Times New Roman" w:eastAsia="宋体" w:cs="Times New Roman"/>
                <w:bCs/>
                <w:kern w:val="2"/>
                <w:sz w:val="21"/>
                <w:szCs w:val="21"/>
                <w:lang w:val="en-US" w:eastAsia="zh-CN"/>
              </w:rPr>
              <w:t>103.2</w:t>
            </w:r>
          </w:p>
        </w:tc>
        <w:tc>
          <w:tcPr>
            <w:tcW w:w="1537" w:type="dxa"/>
            <w:tcBorders>
              <w:top w:val="single" w:color="auto" w:sz="4" w:space="0"/>
              <w:left w:val="single" w:color="auto" w:sz="4" w:space="0"/>
              <w:bottom w:val="single" w:color="auto" w:sz="12" w:space="0"/>
              <w:right w:val="single" w:color="auto" w:sz="4" w:space="0"/>
            </w:tcBorders>
            <w:noWrap w:val="0"/>
            <w:vAlign w:val="center"/>
          </w:tcPr>
          <w:p>
            <w:pPr>
              <w:pStyle w:val="79"/>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200</w:t>
            </w:r>
          </w:p>
        </w:tc>
        <w:tc>
          <w:tcPr>
            <w:tcW w:w="1363" w:type="dxa"/>
            <w:tcBorders>
              <w:top w:val="single" w:color="auto" w:sz="4" w:space="0"/>
              <w:left w:val="single" w:color="auto" w:sz="4" w:space="0"/>
              <w:bottom w:val="single" w:color="auto" w:sz="12" w:space="0"/>
              <w:right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2"/>
        <w:spacing w:line="360" w:lineRule="auto"/>
        <w:ind w:firstLine="360" w:firstLineChars="150"/>
        <w:rPr>
          <w:rFonts w:hint="default" w:ascii="Times New Roman" w:hAnsi="Times New Roman" w:cs="Times New Roman"/>
          <w:b/>
        </w:rPr>
      </w:pPr>
      <w:r>
        <w:rPr>
          <w:rFonts w:hint="default" w:ascii="Times New Roman" w:hAnsi="Times New Roman" w:cs="Times New Roman"/>
          <w:bCs/>
        </w:rPr>
        <w:t>由上表的监测结果可知，项目土壤各监测因子均满足</w:t>
      </w:r>
      <w:r>
        <w:rPr>
          <w:rFonts w:hint="default" w:ascii="Times New Roman" w:hAnsi="Times New Roman" w:cs="Times New Roman"/>
        </w:rPr>
        <w:t>《土壤环境质量 农用地土壤污染风险管控标准（试行）》（GB 15618-2018）的要求，土壤环境质量良好。</w:t>
      </w:r>
    </w:p>
    <w:p>
      <w:pPr>
        <w:pStyle w:val="5"/>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4.2.</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 xml:space="preserve"> 生态环境质量现状</w:t>
      </w:r>
      <w:bookmarkEnd w:id="226"/>
    </w:p>
    <w:p>
      <w:pPr>
        <w:pStyle w:val="12"/>
        <w:overflowPunct w:val="0"/>
        <w:spacing w:after="0"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位于夹江县三洞镇周冲村6社，周围生态环境现状为一般农村生态环境，受人类活动影响较大，生态系统多样性程度一般，周围植被主要以常见农作植被、灌木和草本植物为主，野生动物主要为蛇类等爬行动物、鼠类等小型啮齿类动物和麻雀等小型鸟类动物。项目所在区域内，无重大文物古迹，无国家重点保护的珍稀动植物等特定生态敏感保护目标。</w:t>
      </w:r>
    </w:p>
    <w:p>
      <w:pPr>
        <w:pStyle w:val="4"/>
        <w:spacing w:before="0" w:after="0" w:line="360" w:lineRule="auto"/>
        <w:rPr>
          <w:rFonts w:hint="default" w:ascii="Times New Roman" w:hAnsi="Times New Roman" w:cs="Times New Roman"/>
          <w:sz w:val="28"/>
          <w:szCs w:val="28"/>
        </w:rPr>
      </w:pPr>
      <w:bookmarkStart w:id="227" w:name="_Toc5023526"/>
      <w:bookmarkStart w:id="228" w:name="_Toc511809606"/>
      <w:bookmarkStart w:id="229" w:name="_Toc10037"/>
      <w:r>
        <w:rPr>
          <w:rFonts w:hint="default" w:ascii="Times New Roman" w:hAnsi="Times New Roman" w:cs="Times New Roman"/>
          <w:sz w:val="28"/>
          <w:szCs w:val="28"/>
        </w:rPr>
        <w:t>4.3 环境污染源调查</w:t>
      </w:r>
      <w:bookmarkEnd w:id="227"/>
      <w:bookmarkEnd w:id="228"/>
      <w:bookmarkEnd w:id="229"/>
    </w:p>
    <w:p>
      <w:pPr>
        <w:spacing w:line="360" w:lineRule="auto"/>
        <w:ind w:firstLine="480"/>
        <w:rPr>
          <w:rFonts w:hint="default" w:ascii="Times New Roman" w:hAnsi="Times New Roman" w:cs="Times New Roman"/>
          <w:kern w:val="0"/>
          <w:sz w:val="24"/>
          <w:szCs w:val="24"/>
        </w:rPr>
      </w:pPr>
      <w:bookmarkStart w:id="230" w:name="_Toc511809607"/>
      <w:r>
        <w:rPr>
          <w:rFonts w:hint="default" w:ascii="Times New Roman" w:hAnsi="Times New Roman" w:cs="Times New Roman"/>
          <w:kern w:val="0"/>
          <w:sz w:val="24"/>
          <w:szCs w:val="24"/>
        </w:rPr>
        <w:t>项目地位于雁江区丹山镇罗高村七组，为农村地区，周边无大型工矿企业，无重大污染源。</w:t>
      </w:r>
      <w:bookmarkEnd w:id="230"/>
    </w:p>
    <w:p>
      <w:pPr>
        <w:pStyle w:val="3"/>
        <w:keepNext/>
        <w:keepLines/>
        <w:pageBreakBefore w:val="0"/>
        <w:widowControl w:val="0"/>
        <w:kinsoku/>
        <w:wordWrap/>
        <w:overflowPunct/>
        <w:topLinePunct w:val="0"/>
        <w:autoSpaceDE/>
        <w:autoSpaceDN/>
        <w:bidi w:val="0"/>
        <w:adjustRightInd/>
        <w:snapToGrid/>
        <w:spacing w:before="313" w:beforeLines="100" w:after="0" w:line="360" w:lineRule="auto"/>
        <w:jc w:val="center"/>
        <w:textAlignment w:val="auto"/>
        <w:outlineLvl w:val="0"/>
        <w:rPr>
          <w:rFonts w:hint="default" w:ascii="Times New Roman" w:hAnsi="Times New Roman" w:cs="Times New Roman"/>
          <w:color w:val="000000"/>
          <w:spacing w:val="1"/>
          <w:sz w:val="32"/>
          <w:szCs w:val="32"/>
        </w:rPr>
      </w:pPr>
      <w:bookmarkStart w:id="231" w:name="_Toc500840321"/>
      <w:bookmarkStart w:id="232" w:name="_Toc489290419"/>
      <w:r>
        <w:rPr>
          <w:rFonts w:hint="default" w:ascii="Times New Roman" w:hAnsi="Times New Roman" w:cs="Times New Roman"/>
          <w:color w:val="000000"/>
          <w:spacing w:val="1"/>
          <w:sz w:val="32"/>
          <w:szCs w:val="32"/>
        </w:rPr>
        <w:br w:type="page"/>
      </w:r>
      <w:bookmarkStart w:id="233" w:name="_Toc3414"/>
      <w:r>
        <w:rPr>
          <w:rFonts w:hint="default" w:ascii="Times New Roman" w:hAnsi="Times New Roman" w:cs="Times New Roman"/>
          <w:color w:val="000000"/>
          <w:spacing w:val="1"/>
          <w:sz w:val="44"/>
          <w:szCs w:val="44"/>
        </w:rPr>
        <w:t>第五章</w:t>
      </w:r>
      <w:r>
        <w:rPr>
          <w:rFonts w:hint="default" w:ascii="Times New Roman" w:hAnsi="Times New Roman" w:cs="Times New Roman"/>
          <w:color w:val="000000"/>
          <w:spacing w:val="1"/>
          <w:sz w:val="44"/>
          <w:szCs w:val="44"/>
        </w:rPr>
        <w:tab/>
      </w:r>
      <w:r>
        <w:rPr>
          <w:rFonts w:hint="default" w:ascii="Times New Roman" w:hAnsi="Times New Roman" w:cs="Times New Roman"/>
          <w:color w:val="000000"/>
          <w:spacing w:val="1"/>
          <w:sz w:val="44"/>
          <w:szCs w:val="44"/>
        </w:rPr>
        <w:t>环境影响分析</w:t>
      </w:r>
      <w:bookmarkEnd w:id="231"/>
      <w:bookmarkEnd w:id="232"/>
      <w:bookmarkEnd w:id="233"/>
    </w:p>
    <w:p>
      <w:pPr>
        <w:pStyle w:val="4"/>
        <w:spacing w:before="0" w:after="0" w:line="360" w:lineRule="auto"/>
        <w:rPr>
          <w:rFonts w:hint="default" w:ascii="Times New Roman" w:hAnsi="Times New Roman" w:cs="Times New Roman"/>
          <w:sz w:val="28"/>
          <w:szCs w:val="28"/>
        </w:rPr>
      </w:pPr>
      <w:bookmarkStart w:id="234" w:name="_Toc2470"/>
      <w:r>
        <w:rPr>
          <w:rFonts w:hint="default" w:ascii="Times New Roman" w:hAnsi="Times New Roman" w:cs="Times New Roman"/>
          <w:sz w:val="28"/>
          <w:szCs w:val="28"/>
        </w:rPr>
        <w:t>5.1 施工期环境影响分析</w:t>
      </w:r>
      <w:bookmarkEnd w:id="234"/>
    </w:p>
    <w:p>
      <w:pPr>
        <w:pStyle w:val="5"/>
        <w:spacing w:before="0" w:after="0" w:line="360" w:lineRule="auto"/>
        <w:ind w:firstLine="482" w:firstLineChars="200"/>
        <w:jc w:val="left"/>
        <w:rPr>
          <w:rFonts w:hint="default" w:ascii="Times New Roman" w:hAnsi="Times New Roman" w:cs="Times New Roman"/>
          <w:sz w:val="24"/>
          <w:szCs w:val="24"/>
        </w:rPr>
      </w:pPr>
      <w:r>
        <w:rPr>
          <w:rFonts w:hint="default" w:ascii="Times New Roman" w:hAnsi="Times New Roman" w:cs="Times New Roman"/>
          <w:sz w:val="24"/>
          <w:szCs w:val="24"/>
        </w:rPr>
        <w:t>5.1.1施工期污染物特点</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本项目为养殖场建设工程，建设期的污染特点与房地产等建设项目相似，主要污染是生态、施工噪声、施工扬尘、施工废水、建筑垃圾等，其对环境的不利影响是短暂的，将随着施工期的结束而消失。</w:t>
      </w:r>
    </w:p>
    <w:p>
      <w:pPr>
        <w:spacing w:line="360" w:lineRule="auto"/>
        <w:ind w:firstLine="522" w:firstLineChars="200"/>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1、冬季施工措施</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（1）根据气候条件，进行砼配合比的确定，提高砼抗冻性、防止开裂。</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（2）砼养护不宜再采用浇水养护，而应采用覆盖进行保温养护。</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（3）电渣压力焊应采取保温措施。</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（4）砂必须清洁，不得含有冻结物和易冻结的矿物质。</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（5）脚手架、走道应有防滑措施。</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（6）加强现场冬季防火工作，严禁场内点火或用电炉取暖，木工房、材料库内禁止吸烟，并配备足够的灭火器材。</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（7）除上条款之外，严格执行施工单位的冬季施工措施。</w:t>
      </w:r>
    </w:p>
    <w:p>
      <w:pPr>
        <w:spacing w:line="360" w:lineRule="auto"/>
        <w:ind w:firstLine="522" w:firstLineChars="200"/>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2、雨季施工措施</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（1）沿建筑物四周设置排水沟，并在雨季来临前进行疏通检查，保证排水畅通。</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（2）大雨大风后，及时对脚手架、塔吊、施工电梯等机械设备进行检查，检查无误后方可继续使用。</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（3）所有机具的配电箱、电机等均应有防雨罩、接地和漏电保护装置。</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（4）在建筑物正式避雷系统未形成前，要采取临时避雷措施，保证施工安全。施工用塔吊、施工电梯、井架应可靠接零接地，接地电阻不大于4欧。</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（5）雨天不得进行防水施工。</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（6）砼浇筑应尽量避免在雨中进行。若中途遇雨，则应立即进行覆盖已浇砼，并继续浇至规定施工缝位置。</w:t>
      </w:r>
    </w:p>
    <w:p>
      <w:pPr>
        <w:pStyle w:val="86"/>
        <w:spacing w:line="360" w:lineRule="auto"/>
        <w:ind w:firstLine="480"/>
        <w:rPr>
          <w:rFonts w:hint="default" w:ascii="Times New Roman" w:hAnsi="Times New Roman" w:cs="Times New Roman"/>
          <w:szCs w:val="24"/>
        </w:rPr>
      </w:pPr>
      <w:r>
        <w:rPr>
          <w:rFonts w:hint="default" w:ascii="Times New Roman" w:hAnsi="Times New Roman" w:cs="Times New Roman"/>
          <w:szCs w:val="24"/>
        </w:rPr>
        <w:t>（7）场地土石方施工避开雨季，降低施工水土流失。</w:t>
      </w:r>
    </w:p>
    <w:p>
      <w:pPr>
        <w:spacing w:line="360" w:lineRule="auto"/>
        <w:ind w:firstLine="522" w:firstLineChars="200"/>
        <w:rPr>
          <w:rFonts w:hint="default" w:ascii="Times New Roman" w:hAnsi="Times New Roman" w:cs="Times New Roman"/>
          <w:bCs/>
          <w:sz w:val="24"/>
          <w:szCs w:val="24"/>
        </w:rPr>
      </w:pPr>
      <w:r>
        <w:rPr>
          <w:rFonts w:hint="default" w:ascii="Times New Roman" w:hAnsi="Times New Roman" w:cs="Times New Roman"/>
          <w:b/>
          <w:bCs/>
          <w:spacing w:val="10"/>
          <w:sz w:val="24"/>
          <w:szCs w:val="24"/>
        </w:rPr>
        <w:t>3、施工期总平面布置</w:t>
      </w:r>
    </w:p>
    <w:p>
      <w:pPr>
        <w:spacing w:line="360" w:lineRule="auto"/>
        <w:ind w:firstLine="482" w:firstLineChars="200"/>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施工总平面布置应遵循以下原则：</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（1）办公区与材料堆场、土方临时堆场、施工场地等分开布置，以减轻噪声及扬尘等对办公的影响；</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（2）相对固定的产噪区尽量布置在远离敏感点处；</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（3）施工场地的大型施工机械布置除考虑安拆方便外，还应满足工程施工需要，交通流畅，尽可能使场内道路环通。</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000000"/>
          <w:sz w:val="24"/>
          <w:szCs w:val="24"/>
        </w:rPr>
        <w:t>（4）要加强施工安全生产并采取必要的防范措施。</w:t>
      </w:r>
    </w:p>
    <w:p>
      <w:pPr>
        <w:pStyle w:val="12"/>
        <w:overflowPunct w:val="0"/>
        <w:spacing w:after="0"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施工期主要是砖混结构建筑的建设，以及设备安装等，包括基础工程、主体工程、装饰工程、设备安装、工程验收等工序，施工过程中将产生噪声、扬尘及废气、固体废物、施工污水等污染物，其排放量随工序和施工强度不同而变化。项目施工期对环境的影响主要体现在以下几个方面：</w:t>
      </w:r>
    </w:p>
    <w:p>
      <w:pPr>
        <w:pStyle w:val="5"/>
        <w:spacing w:before="0" w:after="0" w:line="360" w:lineRule="auto"/>
        <w:ind w:firstLine="478" w:firstLineChars="200"/>
        <w:rPr>
          <w:rFonts w:hint="default" w:ascii="Times New Roman" w:hAnsi="Times New Roman" w:cs="Times New Roman"/>
          <w:bCs w:val="0"/>
          <w:color w:val="000000"/>
          <w:spacing w:val="-1"/>
          <w:sz w:val="24"/>
          <w:szCs w:val="24"/>
        </w:rPr>
      </w:pPr>
      <w:bookmarkStart w:id="235" w:name="_Toc500840322"/>
      <w:bookmarkStart w:id="236" w:name="_Toc489290420"/>
      <w:r>
        <w:rPr>
          <w:rFonts w:hint="default" w:ascii="Times New Roman" w:hAnsi="Times New Roman" w:cs="Times New Roman"/>
          <w:bCs w:val="0"/>
          <w:color w:val="000000"/>
          <w:spacing w:val="-1"/>
          <w:sz w:val="24"/>
          <w:szCs w:val="24"/>
        </w:rPr>
        <w:t>5.1.2 施工期大气环境影响分析</w:t>
      </w:r>
      <w:bookmarkEnd w:id="235"/>
      <w:bookmarkEnd w:id="236"/>
    </w:p>
    <w:p>
      <w:pPr>
        <w:pStyle w:val="12"/>
        <w:overflowPunct w:val="0"/>
        <w:spacing w:after="0"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项目施工期间不同阶段的主要大气污染源及污染物见表5.1-1。</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表5.1-1  施工期主要大气污染源及污染物</w:t>
      </w:r>
    </w:p>
    <w:tbl>
      <w:tblPr>
        <w:tblStyle w:val="33"/>
        <w:tblW w:w="9496"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27"/>
        <w:gridCol w:w="6088"/>
        <w:gridCol w:w="1581"/>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jc w:val="center"/>
        </w:trPr>
        <w:tc>
          <w:tcPr>
            <w:tcW w:w="1827"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施工阶段</w:t>
            </w:r>
          </w:p>
        </w:tc>
        <w:tc>
          <w:tcPr>
            <w:tcW w:w="608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主要污染源</w:t>
            </w:r>
          </w:p>
        </w:tc>
        <w:tc>
          <w:tcPr>
            <w:tcW w:w="158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主要污染物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96" w:hRule="exact"/>
          <w:jc w:val="center"/>
        </w:trPr>
        <w:tc>
          <w:tcPr>
            <w:tcW w:w="1827"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土石方、桩基工</w:t>
            </w:r>
          </w:p>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程阶段</w:t>
            </w:r>
          </w:p>
        </w:tc>
        <w:tc>
          <w:tcPr>
            <w:tcW w:w="608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裸露地面、土方堆场，土方装卸过程</w:t>
            </w:r>
          </w:p>
        </w:tc>
        <w:tc>
          <w:tcPr>
            <w:tcW w:w="158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扬尘</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jc w:val="center"/>
        </w:trPr>
        <w:tc>
          <w:tcPr>
            <w:tcW w:w="1827" w:type="dxa"/>
            <w:vMerge w:val="continue"/>
            <w:vAlign w:val="center"/>
          </w:tcPr>
          <w:p>
            <w:pPr>
              <w:jc w:val="center"/>
              <w:rPr>
                <w:rFonts w:hint="default" w:ascii="Times New Roman" w:hAnsi="Times New Roman" w:cs="Times New Roman"/>
                <w:color w:val="000000"/>
                <w:szCs w:val="21"/>
              </w:rPr>
            </w:pPr>
          </w:p>
        </w:tc>
        <w:tc>
          <w:tcPr>
            <w:tcW w:w="608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挖掘机、铲车、运输卡车等</w:t>
            </w:r>
          </w:p>
        </w:tc>
        <w:tc>
          <w:tcPr>
            <w:tcW w:w="158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NOx、CO、HC</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83" w:hRule="exact"/>
          <w:jc w:val="center"/>
        </w:trPr>
        <w:tc>
          <w:tcPr>
            <w:tcW w:w="1827"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建筑构筑工程阶段</w:t>
            </w:r>
          </w:p>
        </w:tc>
        <w:tc>
          <w:tcPr>
            <w:tcW w:w="608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建材堆场，建材装卸过程、加料过程，进出场地车辆</w:t>
            </w:r>
          </w:p>
        </w:tc>
        <w:tc>
          <w:tcPr>
            <w:tcW w:w="158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扬尘</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jc w:val="center"/>
        </w:trPr>
        <w:tc>
          <w:tcPr>
            <w:tcW w:w="1827" w:type="dxa"/>
            <w:vMerge w:val="continue"/>
            <w:vAlign w:val="center"/>
          </w:tcPr>
          <w:p>
            <w:pPr>
              <w:jc w:val="center"/>
              <w:rPr>
                <w:rFonts w:hint="default" w:ascii="Times New Roman" w:hAnsi="Times New Roman" w:cs="Times New Roman"/>
                <w:color w:val="000000"/>
                <w:szCs w:val="21"/>
              </w:rPr>
            </w:pPr>
          </w:p>
        </w:tc>
        <w:tc>
          <w:tcPr>
            <w:tcW w:w="608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运输卡车、混凝土搅拌机等</w:t>
            </w:r>
          </w:p>
        </w:tc>
        <w:tc>
          <w:tcPr>
            <w:tcW w:w="158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NOx、CO、HC</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jc w:val="center"/>
        </w:trPr>
        <w:tc>
          <w:tcPr>
            <w:tcW w:w="1827"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建筑装修工程阶段</w:t>
            </w:r>
          </w:p>
        </w:tc>
        <w:tc>
          <w:tcPr>
            <w:tcW w:w="608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废料、垃圾</w:t>
            </w:r>
          </w:p>
        </w:tc>
        <w:tc>
          <w:tcPr>
            <w:tcW w:w="158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扬尘</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96" w:hRule="exact"/>
          <w:jc w:val="center"/>
        </w:trPr>
        <w:tc>
          <w:tcPr>
            <w:tcW w:w="1827" w:type="dxa"/>
            <w:vMerge w:val="continue"/>
            <w:vAlign w:val="center"/>
          </w:tcPr>
          <w:p>
            <w:pPr>
              <w:jc w:val="center"/>
              <w:rPr>
                <w:rFonts w:hint="default" w:ascii="Times New Roman" w:hAnsi="Times New Roman" w:cs="Times New Roman"/>
                <w:color w:val="000000"/>
                <w:szCs w:val="21"/>
              </w:rPr>
            </w:pPr>
          </w:p>
        </w:tc>
        <w:tc>
          <w:tcPr>
            <w:tcW w:w="6088"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漆类、涂料</w:t>
            </w:r>
          </w:p>
        </w:tc>
        <w:tc>
          <w:tcPr>
            <w:tcW w:w="1581"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有机废气</w:t>
            </w:r>
          </w:p>
        </w:tc>
      </w:tr>
    </w:tbl>
    <w:p>
      <w:pPr>
        <w:pStyle w:val="12"/>
        <w:overflowPunct w:val="0"/>
        <w:spacing w:after="0"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由上表可知，施工期的大气污染物主要为施工扬尘、施工机械燃油废气和涂料有机废气。</w:t>
      </w:r>
    </w:p>
    <w:p>
      <w:pPr>
        <w:pStyle w:val="12"/>
        <w:overflowPunct w:val="0"/>
        <w:spacing w:after="0" w:line="360" w:lineRule="auto"/>
        <w:ind w:firstLine="482" w:firstLineChars="20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1、施工扬尘</w:t>
      </w:r>
    </w:p>
    <w:p>
      <w:pPr>
        <w:widowControl/>
        <w:tabs>
          <w:tab w:val="left" w:pos="1680"/>
        </w:tabs>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施工扬尘起尘量与许多因素有关。起尘原因主要是场地“三通一平”施工、基础施工、土石方挖掘及弃土运输时产生的扬尘、建筑材料（钢材及少量的沙、石、水泥等）运输进场装卸及堆放过程产生的扬尘。如遇干旱无雨季节，在大风时，施工扬尘将更严重。</w:t>
      </w:r>
    </w:p>
    <w:p>
      <w:pPr>
        <w:widowControl/>
        <w:tabs>
          <w:tab w:val="left" w:pos="1680"/>
        </w:tabs>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对施工工地扬尘而言，据有关调查显示，施工工地的扬尘主要是由运输车辆行驶产生，与道路路面及车辆行驶速度有关，约占扬尘总量的 60%。在完全干燥情况下，可按经验公式计算：</w:t>
      </w:r>
    </w:p>
    <w:p>
      <w:pPr>
        <w:widowControl/>
        <w:tabs>
          <w:tab w:val="left" w:pos="1680"/>
        </w:tabs>
        <w:spacing w:line="360" w:lineRule="auto"/>
        <w:ind w:firstLine="480"/>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695575" cy="548640"/>
            <wp:effectExtent l="19050" t="0" r="9525"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50"/>
                    <a:srcRect/>
                    <a:stretch>
                      <a:fillRect/>
                    </a:stretch>
                  </pic:blipFill>
                  <pic:spPr>
                    <a:xfrm>
                      <a:off x="0" y="0"/>
                      <a:ext cx="2695575" cy="548640"/>
                    </a:xfrm>
                    <a:prstGeom prst="rect">
                      <a:avLst/>
                    </a:prstGeom>
                    <a:noFill/>
                    <a:ln w="9525">
                      <a:noFill/>
                      <a:miter lim="800000"/>
                      <a:headEnd/>
                      <a:tailEnd/>
                    </a:ln>
                    <a:effectLst/>
                  </pic:spPr>
                </pic:pic>
              </a:graphicData>
            </a:graphic>
          </wp:inline>
        </w:drawing>
      </w:r>
    </w:p>
    <w:p>
      <w:pPr>
        <w:widowControl/>
        <w:tabs>
          <w:tab w:val="left" w:pos="1680"/>
        </w:tabs>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式中： Q—汽车行驶的扬尘，kg/km·辆；</w:t>
      </w:r>
    </w:p>
    <w:p>
      <w:pPr>
        <w:widowControl/>
        <w:tabs>
          <w:tab w:val="left" w:pos="1680"/>
        </w:tabs>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 xml:space="preserve">       v—汽车速度，km/h；</w:t>
      </w:r>
    </w:p>
    <w:p>
      <w:pPr>
        <w:widowControl/>
        <w:tabs>
          <w:tab w:val="left" w:pos="1680"/>
        </w:tabs>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 xml:space="preserve">       W—汽车载重量，t；</w:t>
      </w:r>
    </w:p>
    <w:p>
      <w:pPr>
        <w:widowControl/>
        <w:tabs>
          <w:tab w:val="left" w:pos="1680"/>
        </w:tabs>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 xml:space="preserve">       P—道路表面粉尘量，kg/m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p>
    <w:p>
      <w:pPr>
        <w:widowControl/>
        <w:tabs>
          <w:tab w:val="left" w:pos="1680"/>
        </w:tabs>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根据类比调查，一辆载重5t的卡车，通过一段长度为500m的路面时，不同表面清洁程度，不同行驶速度情况下产生的扬尘量见表5.</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-2所示。</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表5.</w:t>
      </w:r>
      <w:r>
        <w:rPr>
          <w:rFonts w:hint="default" w:ascii="Times New Roman" w:hAnsi="Times New Roman" w:eastAsia="黑体" w:cs="Times New Roman"/>
          <w:bCs/>
          <w:sz w:val="24"/>
          <w:szCs w:val="24"/>
          <w:lang w:val="en-US" w:eastAsia="zh-CN"/>
        </w:rPr>
        <w:t>1</w:t>
      </w:r>
      <w:r>
        <w:rPr>
          <w:rFonts w:hint="default" w:ascii="Times New Roman" w:hAnsi="Times New Roman" w:eastAsia="黑体" w:cs="Times New Roman"/>
          <w:bCs/>
          <w:sz w:val="24"/>
          <w:szCs w:val="24"/>
        </w:rPr>
        <w:t>-2 不同车速和地面清洁程度时的汽车扬尘（单位：kg/km·辆）</w:t>
      </w:r>
    </w:p>
    <w:tbl>
      <w:tblPr>
        <w:tblStyle w:val="33"/>
        <w:tblW w:w="971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07"/>
        <w:gridCol w:w="1105"/>
        <w:gridCol w:w="1219"/>
        <w:gridCol w:w="1220"/>
        <w:gridCol w:w="1221"/>
        <w:gridCol w:w="1219"/>
        <w:gridCol w:w="12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8" w:hRule="atLeast"/>
          <w:jc w:val="center"/>
        </w:trPr>
        <w:tc>
          <w:tcPr>
            <w:tcW w:w="2507" w:type="dxa"/>
            <w:tcBorders>
              <w:top w:val="single" w:color="auto" w:sz="12" w:space="0"/>
              <w:left w:val="nil"/>
              <w:bottom w:val="single" w:color="auto" w:sz="6" w:space="0"/>
              <w:tl2br w:val="single" w:color="auto" w:sz="6" w:space="0"/>
            </w:tcBorders>
            <w:vAlign w:val="center"/>
          </w:tcPr>
          <w:p>
            <w:pPr>
              <w:widowControl/>
              <w:ind w:right="420"/>
              <w:rPr>
                <w:rFonts w:hint="default" w:ascii="Times New Roman" w:hAnsi="Times New Roman" w:cs="Times New Roman"/>
                <w:szCs w:val="21"/>
              </w:rPr>
            </w:pPr>
            <w:r>
              <w:rPr>
                <w:rFonts w:hint="default" w:ascii="Times New Roman" w:hAnsi="Times New Roman" w:cs="Times New Roman"/>
                <w:szCs w:val="21"/>
              </w:rPr>
              <w:t xml:space="preserve">          P(kg/m</w:t>
            </w:r>
            <w:r>
              <w:rPr>
                <w:rFonts w:hint="default" w:ascii="Times New Roman" w:hAnsi="Times New Roman" w:cs="Times New Roman"/>
                <w:szCs w:val="21"/>
                <w:vertAlign w:val="superscript"/>
              </w:rPr>
              <w:t>2</w:t>
            </w:r>
            <w:r>
              <w:rPr>
                <w:rFonts w:hint="default" w:ascii="Times New Roman" w:hAnsi="Times New Roman" w:cs="Times New Roman"/>
                <w:szCs w:val="21"/>
              </w:rPr>
              <w:t xml:space="preserve">) </w:t>
            </w:r>
          </w:p>
          <w:p>
            <w:pPr>
              <w:widowControl/>
              <w:ind w:right="420"/>
              <w:rPr>
                <w:rFonts w:hint="default" w:ascii="Times New Roman" w:hAnsi="Times New Roman" w:cs="Times New Roman"/>
                <w:szCs w:val="21"/>
              </w:rPr>
            </w:pPr>
            <w:r>
              <w:rPr>
                <w:rFonts w:hint="default" w:ascii="Times New Roman" w:hAnsi="Times New Roman" w:cs="Times New Roman"/>
                <w:szCs w:val="21"/>
              </w:rPr>
              <w:t>车速(km/h)</w:t>
            </w:r>
          </w:p>
        </w:tc>
        <w:tc>
          <w:tcPr>
            <w:tcW w:w="1105" w:type="dxa"/>
            <w:tcBorders>
              <w:top w:val="single" w:color="auto" w:sz="12"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0.1</w:t>
            </w:r>
          </w:p>
        </w:tc>
        <w:tc>
          <w:tcPr>
            <w:tcW w:w="1219" w:type="dxa"/>
            <w:tcBorders>
              <w:top w:val="single" w:color="auto" w:sz="12"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0.2</w:t>
            </w:r>
          </w:p>
        </w:tc>
        <w:tc>
          <w:tcPr>
            <w:tcW w:w="1220" w:type="dxa"/>
            <w:tcBorders>
              <w:top w:val="single" w:color="auto" w:sz="12"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0.3</w:t>
            </w:r>
          </w:p>
        </w:tc>
        <w:tc>
          <w:tcPr>
            <w:tcW w:w="1221" w:type="dxa"/>
            <w:tcBorders>
              <w:top w:val="single" w:color="auto" w:sz="12"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0.4</w:t>
            </w:r>
          </w:p>
        </w:tc>
        <w:tc>
          <w:tcPr>
            <w:tcW w:w="1219" w:type="dxa"/>
            <w:tcBorders>
              <w:top w:val="single" w:color="auto" w:sz="12"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0.5</w:t>
            </w:r>
          </w:p>
        </w:tc>
        <w:tc>
          <w:tcPr>
            <w:tcW w:w="1221" w:type="dxa"/>
            <w:tcBorders>
              <w:top w:val="single" w:color="auto" w:sz="12" w:space="0"/>
              <w:bottom w:val="single" w:color="auto" w:sz="6" w:space="0"/>
              <w:right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2507" w:type="dxa"/>
            <w:tcBorders>
              <w:top w:val="single" w:color="auto" w:sz="6" w:space="0"/>
              <w:left w:val="nil"/>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5</w:t>
            </w:r>
          </w:p>
        </w:tc>
        <w:tc>
          <w:tcPr>
            <w:tcW w:w="1105"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0.0283</w:t>
            </w:r>
          </w:p>
        </w:tc>
        <w:tc>
          <w:tcPr>
            <w:tcW w:w="1219"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0.0476</w:t>
            </w:r>
          </w:p>
        </w:tc>
        <w:tc>
          <w:tcPr>
            <w:tcW w:w="1220"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0.0646</w:t>
            </w:r>
          </w:p>
        </w:tc>
        <w:tc>
          <w:tcPr>
            <w:tcW w:w="1221"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0.0801</w:t>
            </w:r>
          </w:p>
        </w:tc>
        <w:tc>
          <w:tcPr>
            <w:tcW w:w="1219"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0.0947</w:t>
            </w:r>
          </w:p>
        </w:tc>
        <w:tc>
          <w:tcPr>
            <w:tcW w:w="1221" w:type="dxa"/>
            <w:tcBorders>
              <w:top w:val="single" w:color="auto" w:sz="6" w:space="0"/>
              <w:bottom w:val="single" w:color="auto" w:sz="6" w:space="0"/>
              <w:right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0.1593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7" w:hRule="atLeast"/>
          <w:jc w:val="center"/>
        </w:trPr>
        <w:tc>
          <w:tcPr>
            <w:tcW w:w="2507" w:type="dxa"/>
            <w:tcBorders>
              <w:top w:val="single" w:color="auto" w:sz="6" w:space="0"/>
              <w:left w:val="nil"/>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10</w:t>
            </w:r>
          </w:p>
        </w:tc>
        <w:tc>
          <w:tcPr>
            <w:tcW w:w="1105"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0.0566</w:t>
            </w:r>
          </w:p>
        </w:tc>
        <w:tc>
          <w:tcPr>
            <w:tcW w:w="1219"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0.0953</w:t>
            </w:r>
          </w:p>
        </w:tc>
        <w:tc>
          <w:tcPr>
            <w:tcW w:w="1220"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0.1291</w:t>
            </w:r>
          </w:p>
        </w:tc>
        <w:tc>
          <w:tcPr>
            <w:tcW w:w="1221"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0.1602</w:t>
            </w:r>
          </w:p>
        </w:tc>
        <w:tc>
          <w:tcPr>
            <w:tcW w:w="1219"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0.1894</w:t>
            </w:r>
          </w:p>
        </w:tc>
        <w:tc>
          <w:tcPr>
            <w:tcW w:w="1221" w:type="dxa"/>
            <w:tcBorders>
              <w:top w:val="single" w:color="auto" w:sz="6" w:space="0"/>
              <w:bottom w:val="single" w:color="auto" w:sz="6" w:space="0"/>
              <w:right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0.3186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jc w:val="center"/>
        </w:trPr>
        <w:tc>
          <w:tcPr>
            <w:tcW w:w="2507" w:type="dxa"/>
            <w:tcBorders>
              <w:top w:val="single" w:color="auto" w:sz="6" w:space="0"/>
              <w:left w:val="nil"/>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15</w:t>
            </w:r>
          </w:p>
        </w:tc>
        <w:tc>
          <w:tcPr>
            <w:tcW w:w="1105"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0.0850</w:t>
            </w:r>
          </w:p>
        </w:tc>
        <w:tc>
          <w:tcPr>
            <w:tcW w:w="1219"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0.1429</w:t>
            </w:r>
          </w:p>
        </w:tc>
        <w:tc>
          <w:tcPr>
            <w:tcW w:w="1220"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0.1937</w:t>
            </w:r>
          </w:p>
        </w:tc>
        <w:tc>
          <w:tcPr>
            <w:tcW w:w="1221"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0.2403</w:t>
            </w:r>
          </w:p>
        </w:tc>
        <w:tc>
          <w:tcPr>
            <w:tcW w:w="1219" w:type="dxa"/>
            <w:tcBorders>
              <w:top w:val="single" w:color="auto" w:sz="6" w:space="0"/>
              <w:bottom w:val="single" w:color="auto" w:sz="6"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0.2841</w:t>
            </w:r>
          </w:p>
        </w:tc>
        <w:tc>
          <w:tcPr>
            <w:tcW w:w="1221" w:type="dxa"/>
            <w:tcBorders>
              <w:top w:val="single" w:color="auto" w:sz="6" w:space="0"/>
              <w:bottom w:val="single" w:color="auto" w:sz="6" w:space="0"/>
              <w:right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0.4778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5" w:hRule="atLeast"/>
          <w:jc w:val="center"/>
        </w:trPr>
        <w:tc>
          <w:tcPr>
            <w:tcW w:w="2507" w:type="dxa"/>
            <w:tcBorders>
              <w:top w:val="single" w:color="auto" w:sz="6" w:space="0"/>
              <w:left w:val="nil"/>
              <w:bottom w:val="single" w:color="auto" w:sz="12"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20</w:t>
            </w:r>
          </w:p>
        </w:tc>
        <w:tc>
          <w:tcPr>
            <w:tcW w:w="1105" w:type="dxa"/>
            <w:tcBorders>
              <w:top w:val="single" w:color="auto" w:sz="6" w:space="0"/>
              <w:bottom w:val="single" w:color="auto" w:sz="12"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0.1133</w:t>
            </w:r>
          </w:p>
        </w:tc>
        <w:tc>
          <w:tcPr>
            <w:tcW w:w="1219" w:type="dxa"/>
            <w:tcBorders>
              <w:top w:val="single" w:color="auto" w:sz="6" w:space="0"/>
              <w:bottom w:val="single" w:color="auto" w:sz="12"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0.1905</w:t>
            </w:r>
          </w:p>
        </w:tc>
        <w:tc>
          <w:tcPr>
            <w:tcW w:w="1220" w:type="dxa"/>
            <w:tcBorders>
              <w:top w:val="single" w:color="auto" w:sz="6" w:space="0"/>
              <w:bottom w:val="single" w:color="auto" w:sz="12"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0.2583</w:t>
            </w:r>
          </w:p>
        </w:tc>
        <w:tc>
          <w:tcPr>
            <w:tcW w:w="1221" w:type="dxa"/>
            <w:tcBorders>
              <w:top w:val="single" w:color="auto" w:sz="6" w:space="0"/>
              <w:bottom w:val="single" w:color="auto" w:sz="12"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0.3204</w:t>
            </w:r>
          </w:p>
        </w:tc>
        <w:tc>
          <w:tcPr>
            <w:tcW w:w="1219" w:type="dxa"/>
            <w:tcBorders>
              <w:top w:val="single" w:color="auto" w:sz="6" w:space="0"/>
              <w:bottom w:val="single" w:color="auto" w:sz="12" w:space="0"/>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0.3788</w:t>
            </w:r>
          </w:p>
        </w:tc>
        <w:tc>
          <w:tcPr>
            <w:tcW w:w="1221" w:type="dxa"/>
            <w:tcBorders>
              <w:top w:val="single" w:color="auto" w:sz="6" w:space="0"/>
              <w:bottom w:val="single" w:color="auto" w:sz="12" w:space="0"/>
              <w:right w:val="nil"/>
            </w:tcBorders>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0.6371</w:t>
            </w:r>
          </w:p>
        </w:tc>
      </w:tr>
    </w:tbl>
    <w:p>
      <w:pPr>
        <w:widowControl/>
        <w:tabs>
          <w:tab w:val="left" w:pos="1680"/>
        </w:tabs>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由表5.2-2可见，在同样路面清洁情况下，车速越快，扬尘量越大；而在同样车速情况下，路面清洁度越差，则扬尘量越大。根据类比调查，一般情况下，施工场地、施工道路在自然风作用下产生的扬尘所影响的范围在100m以内。</w:t>
      </w:r>
    </w:p>
    <w:p>
      <w:pPr>
        <w:widowControl/>
        <w:tabs>
          <w:tab w:val="left" w:pos="1680"/>
        </w:tabs>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抑制扬尘的一个简洁有效的措施是洒水。如果在施工期内对车辆行驶的路面实施洒水抑尘，每天洒水4～5次，可使扬尘减少70%左右。表6-2为施工场地洒水抑尘的试验结果。由该表数据可看出对施工场地实施每天洒水4～5次进行抑尘，可有效地控制施工扬尘，并可将扬尘污染距离缩小到20-50m范围。</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表5.1-3  施工场地洒水抑尘试验结果（单位：mg/m</w:t>
      </w:r>
      <w:r>
        <w:rPr>
          <w:rFonts w:hint="default" w:ascii="Times New Roman" w:hAnsi="Times New Roman" w:eastAsia="黑体" w:cs="Times New Roman"/>
          <w:bCs/>
          <w:sz w:val="24"/>
          <w:szCs w:val="24"/>
          <w:vertAlign w:val="superscript"/>
        </w:rPr>
        <w:t>3</w:t>
      </w:r>
      <w:r>
        <w:rPr>
          <w:rFonts w:hint="default" w:ascii="Times New Roman" w:hAnsi="Times New Roman" w:eastAsia="黑体" w:cs="Times New Roman"/>
          <w:bCs/>
          <w:sz w:val="24"/>
          <w:szCs w:val="24"/>
        </w:rPr>
        <w:t>）</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85"/>
        <w:gridCol w:w="1709"/>
        <w:gridCol w:w="1221"/>
        <w:gridCol w:w="1422"/>
        <w:gridCol w:w="1220"/>
        <w:gridCol w:w="14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4394" w:type="dxa"/>
            <w:gridSpan w:val="2"/>
            <w:vAlign w:val="center"/>
          </w:tcPr>
          <w:p>
            <w:pPr>
              <w:widowControl/>
              <w:tabs>
                <w:tab w:val="left" w:pos="1680"/>
              </w:tabs>
              <w:ind w:firstLine="480"/>
              <w:jc w:val="center"/>
              <w:rPr>
                <w:rFonts w:hint="default" w:ascii="Times New Roman" w:hAnsi="Times New Roman" w:cs="Times New Roman"/>
                <w:szCs w:val="21"/>
              </w:rPr>
            </w:pPr>
            <w:r>
              <w:rPr>
                <w:rFonts w:hint="default" w:ascii="Times New Roman" w:hAnsi="Times New Roman" w:cs="Times New Roman"/>
                <w:szCs w:val="21"/>
              </w:rPr>
              <w:t>距离</w:t>
            </w:r>
          </w:p>
        </w:tc>
        <w:tc>
          <w:tcPr>
            <w:tcW w:w="1221" w:type="dxa"/>
            <w:vAlign w:val="center"/>
          </w:tcPr>
          <w:p>
            <w:pPr>
              <w:widowControl/>
              <w:tabs>
                <w:tab w:val="left" w:pos="1680"/>
              </w:tabs>
              <w:ind w:firstLine="210" w:firstLineChars="100"/>
              <w:jc w:val="center"/>
              <w:rPr>
                <w:rFonts w:hint="default" w:ascii="Times New Roman" w:hAnsi="Times New Roman" w:cs="Times New Roman"/>
                <w:szCs w:val="21"/>
              </w:rPr>
            </w:pPr>
            <w:r>
              <w:rPr>
                <w:rFonts w:hint="default" w:ascii="Times New Roman" w:hAnsi="Times New Roman" w:cs="Times New Roman"/>
                <w:szCs w:val="21"/>
              </w:rPr>
              <w:t>5m</w:t>
            </w:r>
          </w:p>
        </w:tc>
        <w:tc>
          <w:tcPr>
            <w:tcW w:w="1422" w:type="dxa"/>
            <w:vAlign w:val="center"/>
          </w:tcPr>
          <w:p>
            <w:pPr>
              <w:widowControl/>
              <w:tabs>
                <w:tab w:val="left" w:pos="1680"/>
              </w:tabs>
              <w:jc w:val="center"/>
              <w:rPr>
                <w:rFonts w:hint="default" w:ascii="Times New Roman" w:hAnsi="Times New Roman" w:cs="Times New Roman"/>
                <w:szCs w:val="21"/>
              </w:rPr>
            </w:pPr>
            <w:r>
              <w:rPr>
                <w:rFonts w:hint="default" w:ascii="Times New Roman" w:hAnsi="Times New Roman" w:cs="Times New Roman"/>
                <w:szCs w:val="21"/>
              </w:rPr>
              <w:t>20m</w:t>
            </w:r>
          </w:p>
        </w:tc>
        <w:tc>
          <w:tcPr>
            <w:tcW w:w="1220" w:type="dxa"/>
            <w:vAlign w:val="center"/>
          </w:tcPr>
          <w:p>
            <w:pPr>
              <w:widowControl/>
              <w:tabs>
                <w:tab w:val="left" w:pos="1680"/>
              </w:tabs>
              <w:jc w:val="center"/>
              <w:rPr>
                <w:rFonts w:hint="default" w:ascii="Times New Roman" w:hAnsi="Times New Roman" w:cs="Times New Roman"/>
                <w:szCs w:val="21"/>
              </w:rPr>
            </w:pPr>
            <w:r>
              <w:rPr>
                <w:rFonts w:hint="default" w:ascii="Times New Roman" w:hAnsi="Times New Roman" w:cs="Times New Roman"/>
                <w:szCs w:val="21"/>
              </w:rPr>
              <w:t>50m</w:t>
            </w:r>
          </w:p>
        </w:tc>
        <w:tc>
          <w:tcPr>
            <w:tcW w:w="1455" w:type="dxa"/>
            <w:vAlign w:val="center"/>
          </w:tcPr>
          <w:p>
            <w:pPr>
              <w:widowControl/>
              <w:tabs>
                <w:tab w:val="left" w:pos="1680"/>
              </w:tabs>
              <w:jc w:val="center"/>
              <w:rPr>
                <w:rFonts w:hint="default" w:ascii="Times New Roman" w:hAnsi="Times New Roman" w:cs="Times New Roman"/>
                <w:szCs w:val="21"/>
              </w:rPr>
            </w:pPr>
            <w:r>
              <w:rPr>
                <w:rFonts w:hint="default" w:ascii="Times New Roman" w:hAnsi="Times New Roman" w:cs="Times New Roman"/>
                <w:szCs w:val="21"/>
              </w:rPr>
              <w:t>100m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2685" w:type="dxa"/>
            <w:vMerge w:val="restart"/>
            <w:vAlign w:val="center"/>
          </w:tcPr>
          <w:p>
            <w:pPr>
              <w:widowControl/>
              <w:tabs>
                <w:tab w:val="left" w:pos="1680"/>
              </w:tabs>
              <w:ind w:firstLine="480"/>
              <w:jc w:val="center"/>
              <w:rPr>
                <w:rFonts w:hint="default" w:ascii="Times New Roman" w:hAnsi="Times New Roman" w:cs="Times New Roman"/>
                <w:szCs w:val="21"/>
              </w:rPr>
            </w:pPr>
            <w:r>
              <w:rPr>
                <w:rFonts w:hint="default" w:ascii="Times New Roman" w:hAnsi="Times New Roman" w:cs="Times New Roman"/>
                <w:szCs w:val="21"/>
              </w:rPr>
              <w:t>TSP小时平均浓度</w:t>
            </w:r>
          </w:p>
        </w:tc>
        <w:tc>
          <w:tcPr>
            <w:tcW w:w="1709" w:type="dxa"/>
            <w:vAlign w:val="center"/>
          </w:tcPr>
          <w:p>
            <w:pPr>
              <w:widowControl/>
              <w:tabs>
                <w:tab w:val="left" w:pos="1680"/>
              </w:tabs>
              <w:jc w:val="center"/>
              <w:rPr>
                <w:rFonts w:hint="default" w:ascii="Times New Roman" w:hAnsi="Times New Roman" w:cs="Times New Roman"/>
                <w:szCs w:val="21"/>
              </w:rPr>
            </w:pPr>
            <w:r>
              <w:rPr>
                <w:rFonts w:hint="default" w:ascii="Times New Roman" w:hAnsi="Times New Roman" w:cs="Times New Roman"/>
                <w:szCs w:val="21"/>
              </w:rPr>
              <w:t>不洒水</w:t>
            </w:r>
          </w:p>
        </w:tc>
        <w:tc>
          <w:tcPr>
            <w:tcW w:w="1221" w:type="dxa"/>
            <w:vAlign w:val="center"/>
          </w:tcPr>
          <w:p>
            <w:pPr>
              <w:widowControl/>
              <w:tabs>
                <w:tab w:val="left" w:pos="1680"/>
              </w:tabs>
              <w:jc w:val="center"/>
              <w:rPr>
                <w:rFonts w:hint="default" w:ascii="Times New Roman" w:hAnsi="Times New Roman" w:cs="Times New Roman"/>
                <w:szCs w:val="21"/>
              </w:rPr>
            </w:pPr>
            <w:r>
              <w:rPr>
                <w:rFonts w:hint="default" w:ascii="Times New Roman" w:hAnsi="Times New Roman" w:cs="Times New Roman"/>
                <w:szCs w:val="21"/>
              </w:rPr>
              <w:t>10.14</w:t>
            </w:r>
          </w:p>
        </w:tc>
        <w:tc>
          <w:tcPr>
            <w:tcW w:w="1422" w:type="dxa"/>
            <w:vAlign w:val="center"/>
          </w:tcPr>
          <w:p>
            <w:pPr>
              <w:widowControl/>
              <w:tabs>
                <w:tab w:val="left" w:pos="1680"/>
              </w:tabs>
              <w:jc w:val="center"/>
              <w:rPr>
                <w:rFonts w:hint="default" w:ascii="Times New Roman" w:hAnsi="Times New Roman" w:cs="Times New Roman"/>
                <w:szCs w:val="21"/>
              </w:rPr>
            </w:pPr>
            <w:r>
              <w:rPr>
                <w:rFonts w:hint="default" w:ascii="Times New Roman" w:hAnsi="Times New Roman" w:cs="Times New Roman"/>
                <w:szCs w:val="21"/>
              </w:rPr>
              <w:t>2.89</w:t>
            </w:r>
          </w:p>
        </w:tc>
        <w:tc>
          <w:tcPr>
            <w:tcW w:w="1220" w:type="dxa"/>
            <w:vAlign w:val="center"/>
          </w:tcPr>
          <w:p>
            <w:pPr>
              <w:widowControl/>
              <w:tabs>
                <w:tab w:val="left" w:pos="1680"/>
              </w:tabs>
              <w:jc w:val="center"/>
              <w:rPr>
                <w:rFonts w:hint="default" w:ascii="Times New Roman" w:hAnsi="Times New Roman" w:cs="Times New Roman"/>
                <w:szCs w:val="21"/>
              </w:rPr>
            </w:pPr>
            <w:r>
              <w:rPr>
                <w:rFonts w:hint="default" w:ascii="Times New Roman" w:hAnsi="Times New Roman" w:cs="Times New Roman"/>
                <w:szCs w:val="21"/>
              </w:rPr>
              <w:t>1.15</w:t>
            </w:r>
          </w:p>
        </w:tc>
        <w:tc>
          <w:tcPr>
            <w:tcW w:w="1455" w:type="dxa"/>
            <w:vAlign w:val="center"/>
          </w:tcPr>
          <w:p>
            <w:pPr>
              <w:widowControl/>
              <w:tabs>
                <w:tab w:val="left" w:pos="1680"/>
              </w:tabs>
              <w:jc w:val="center"/>
              <w:rPr>
                <w:rFonts w:hint="default" w:ascii="Times New Roman" w:hAnsi="Times New Roman" w:cs="Times New Roman"/>
                <w:szCs w:val="21"/>
              </w:rPr>
            </w:pPr>
            <w:r>
              <w:rPr>
                <w:rFonts w:hint="default" w:ascii="Times New Roman" w:hAnsi="Times New Roman" w:cs="Times New Roman"/>
                <w:szCs w:val="21"/>
              </w:rPr>
              <w:t>0.86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2685" w:type="dxa"/>
            <w:vMerge w:val="continue"/>
            <w:vAlign w:val="center"/>
          </w:tcPr>
          <w:p>
            <w:pPr>
              <w:widowControl/>
              <w:tabs>
                <w:tab w:val="left" w:pos="1680"/>
              </w:tabs>
              <w:ind w:firstLine="480"/>
              <w:jc w:val="center"/>
              <w:rPr>
                <w:rFonts w:hint="default" w:ascii="Times New Roman" w:hAnsi="Times New Roman" w:cs="Times New Roman"/>
                <w:szCs w:val="21"/>
              </w:rPr>
            </w:pPr>
          </w:p>
        </w:tc>
        <w:tc>
          <w:tcPr>
            <w:tcW w:w="1709" w:type="dxa"/>
            <w:vAlign w:val="center"/>
          </w:tcPr>
          <w:p>
            <w:pPr>
              <w:widowControl/>
              <w:tabs>
                <w:tab w:val="left" w:pos="1680"/>
              </w:tabs>
              <w:jc w:val="center"/>
              <w:rPr>
                <w:rFonts w:hint="default" w:ascii="Times New Roman" w:hAnsi="Times New Roman" w:cs="Times New Roman"/>
                <w:szCs w:val="21"/>
              </w:rPr>
            </w:pPr>
            <w:r>
              <w:rPr>
                <w:rFonts w:hint="default" w:ascii="Times New Roman" w:hAnsi="Times New Roman" w:cs="Times New Roman"/>
                <w:szCs w:val="21"/>
              </w:rPr>
              <w:t>洒水</w:t>
            </w:r>
          </w:p>
        </w:tc>
        <w:tc>
          <w:tcPr>
            <w:tcW w:w="1221" w:type="dxa"/>
            <w:vAlign w:val="center"/>
          </w:tcPr>
          <w:p>
            <w:pPr>
              <w:widowControl/>
              <w:tabs>
                <w:tab w:val="left" w:pos="1680"/>
              </w:tabs>
              <w:ind w:firstLine="210" w:firstLineChars="100"/>
              <w:jc w:val="center"/>
              <w:rPr>
                <w:rFonts w:hint="default" w:ascii="Times New Roman" w:hAnsi="Times New Roman" w:cs="Times New Roman"/>
                <w:szCs w:val="21"/>
              </w:rPr>
            </w:pPr>
            <w:r>
              <w:rPr>
                <w:rFonts w:hint="default" w:ascii="Times New Roman" w:hAnsi="Times New Roman" w:cs="Times New Roman"/>
                <w:szCs w:val="21"/>
              </w:rPr>
              <w:t>2.01</w:t>
            </w:r>
          </w:p>
        </w:tc>
        <w:tc>
          <w:tcPr>
            <w:tcW w:w="1422" w:type="dxa"/>
            <w:vAlign w:val="center"/>
          </w:tcPr>
          <w:p>
            <w:pPr>
              <w:widowControl/>
              <w:tabs>
                <w:tab w:val="left" w:pos="1680"/>
              </w:tabs>
              <w:jc w:val="center"/>
              <w:rPr>
                <w:rFonts w:hint="default" w:ascii="Times New Roman" w:hAnsi="Times New Roman" w:cs="Times New Roman"/>
                <w:szCs w:val="21"/>
              </w:rPr>
            </w:pPr>
            <w:r>
              <w:rPr>
                <w:rFonts w:hint="default" w:ascii="Times New Roman" w:hAnsi="Times New Roman" w:cs="Times New Roman"/>
                <w:szCs w:val="21"/>
              </w:rPr>
              <w:t>1.40</w:t>
            </w:r>
          </w:p>
        </w:tc>
        <w:tc>
          <w:tcPr>
            <w:tcW w:w="1220" w:type="dxa"/>
            <w:vAlign w:val="center"/>
          </w:tcPr>
          <w:p>
            <w:pPr>
              <w:widowControl/>
              <w:tabs>
                <w:tab w:val="left" w:pos="1680"/>
              </w:tabs>
              <w:jc w:val="center"/>
              <w:rPr>
                <w:rFonts w:hint="default" w:ascii="Times New Roman" w:hAnsi="Times New Roman" w:cs="Times New Roman"/>
                <w:szCs w:val="21"/>
              </w:rPr>
            </w:pPr>
            <w:r>
              <w:rPr>
                <w:rFonts w:hint="default" w:ascii="Times New Roman" w:hAnsi="Times New Roman" w:cs="Times New Roman"/>
                <w:szCs w:val="21"/>
              </w:rPr>
              <w:t>0.67</w:t>
            </w:r>
          </w:p>
        </w:tc>
        <w:tc>
          <w:tcPr>
            <w:tcW w:w="1455" w:type="dxa"/>
            <w:vAlign w:val="center"/>
          </w:tcPr>
          <w:p>
            <w:pPr>
              <w:widowControl/>
              <w:tabs>
                <w:tab w:val="left" w:pos="1680"/>
              </w:tabs>
              <w:jc w:val="center"/>
              <w:rPr>
                <w:rFonts w:hint="default" w:ascii="Times New Roman" w:hAnsi="Times New Roman" w:cs="Times New Roman"/>
                <w:szCs w:val="21"/>
              </w:rPr>
            </w:pPr>
            <w:r>
              <w:rPr>
                <w:rFonts w:hint="default" w:ascii="Times New Roman" w:hAnsi="Times New Roman" w:cs="Times New Roman"/>
                <w:szCs w:val="21"/>
              </w:rPr>
              <w:t>0.60</w:t>
            </w:r>
          </w:p>
        </w:tc>
      </w:tr>
    </w:tbl>
    <w:p>
      <w:pPr>
        <w:widowControl/>
        <w:tabs>
          <w:tab w:val="left" w:pos="1680"/>
        </w:tabs>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施工扬尘的另一种重要产生方式是建筑材料的露天堆放和搅拌作业，这类扬尘的主要特点是受作业时风速大小的影响显著。因此，禁止在大风天气时进行此类作业以及减少建筑材料的露天堆放是抑制这类扬尘的一种很有效的手段。</w:t>
      </w:r>
    </w:p>
    <w:p>
      <w:pPr>
        <w:pStyle w:val="14"/>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因此，项目施工时采取了封闭施工现场、采用密目安全网、定期对地面洒水、对撒落在路面的渣土及时清除、施工现场主要运输道路尽量采用硬化路面、自卸车、垃圾运输车等运输车辆不允许超载，出场前一律清洗轮胎，用毡布覆盖，并且在施工区出口设置防尘飞扬垫等一系列措施，大大减少了施工扬尘对环境空气的影响。</w:t>
      </w:r>
    </w:p>
    <w:p>
      <w:pPr>
        <w:pStyle w:val="14"/>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通过资料查询及类比分析项目施工场地在采取防尘措施前后影响范围具体见表</w:t>
      </w:r>
      <w:r>
        <w:rPr>
          <w:rFonts w:hint="default" w:ascii="Times New Roman" w:hAnsi="Times New Roman" w:cs="Times New Roman"/>
          <w:sz w:val="24"/>
          <w:lang w:val="en-US" w:eastAsia="zh-CN"/>
        </w:rPr>
        <w:t>5</w:t>
      </w:r>
      <w:r>
        <w:rPr>
          <w:rFonts w:hint="default" w:ascii="Times New Roman" w:hAnsi="Times New Roman" w:cs="Times New Roman"/>
          <w:sz w:val="24"/>
          <w:lang w:eastAsia="zh-CN"/>
        </w:rPr>
        <w:t>.1-</w:t>
      </w:r>
      <w:r>
        <w:rPr>
          <w:rFonts w:hint="default" w:ascii="Times New Roman" w:hAnsi="Times New Roman" w:cs="Times New Roman"/>
          <w:sz w:val="24"/>
          <w:lang w:val="en-US" w:eastAsia="zh-CN"/>
        </w:rPr>
        <w:t>4</w:t>
      </w:r>
      <w:r>
        <w:rPr>
          <w:rFonts w:hint="default" w:ascii="Times New Roman" w:hAnsi="Times New Roman" w:cs="Times New Roman"/>
          <w:sz w:val="24"/>
        </w:rPr>
        <w:t>。</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default" w:ascii="Times New Roman" w:hAnsi="Times New Roman" w:eastAsia="黑体" w:cs="Times New Roman"/>
          <w:bCs/>
          <w:sz w:val="24"/>
          <w:szCs w:val="24"/>
          <w:lang w:val="en-US" w:eastAsia="zh-CN"/>
        </w:rPr>
        <w:t>5</w:t>
      </w:r>
      <w:r>
        <w:rPr>
          <w:rFonts w:hint="default" w:ascii="Times New Roman" w:hAnsi="Times New Roman" w:eastAsia="黑体" w:cs="Times New Roman"/>
          <w:bCs/>
          <w:sz w:val="24"/>
          <w:szCs w:val="24"/>
        </w:rPr>
        <w:t>.1-</w:t>
      </w:r>
      <w:r>
        <w:rPr>
          <w:rFonts w:hint="default" w:ascii="Times New Roman" w:hAnsi="Times New Roman" w:eastAsia="黑体" w:cs="Times New Roman"/>
          <w:bCs/>
          <w:sz w:val="24"/>
          <w:szCs w:val="24"/>
          <w:lang w:val="en-US" w:eastAsia="zh-CN"/>
        </w:rPr>
        <w:t>4</w:t>
      </w:r>
      <w:r>
        <w:rPr>
          <w:rFonts w:hint="default" w:ascii="Times New Roman" w:hAnsi="Times New Roman" w:eastAsia="黑体" w:cs="Times New Roman"/>
          <w:bCs/>
          <w:sz w:val="24"/>
          <w:szCs w:val="24"/>
        </w:rPr>
        <w:t xml:space="preserve">  施工现场扬尘治理前后TSP浓度（单位：mg/m</w:t>
      </w:r>
      <w:r>
        <w:rPr>
          <w:rFonts w:hint="default" w:ascii="Times New Roman" w:hAnsi="Times New Roman" w:eastAsia="黑体" w:cs="Times New Roman"/>
          <w:bCs/>
          <w:sz w:val="24"/>
          <w:szCs w:val="24"/>
          <w:vertAlign w:val="superscript"/>
        </w:rPr>
        <w:t>3</w:t>
      </w:r>
      <w:r>
        <w:rPr>
          <w:rFonts w:hint="default" w:ascii="Times New Roman" w:hAnsi="Times New Roman" w:eastAsia="黑体" w:cs="Times New Roman"/>
          <w:bCs/>
          <w:sz w:val="24"/>
          <w:szCs w:val="24"/>
        </w:rPr>
        <w:t>）</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83"/>
        <w:gridCol w:w="1825"/>
        <w:gridCol w:w="1068"/>
        <w:gridCol w:w="616"/>
        <w:gridCol w:w="678"/>
        <w:gridCol w:w="620"/>
        <w:gridCol w:w="825"/>
        <w:gridCol w:w="648"/>
        <w:gridCol w:w="746"/>
        <w:gridCol w:w="8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160" w:hRule="atLeast"/>
          <w:jc w:val="center"/>
        </w:trPr>
        <w:tc>
          <w:tcPr>
            <w:tcW w:w="1883" w:type="dxa"/>
            <w:vMerge w:val="restart"/>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产尘位置</w:t>
            </w:r>
          </w:p>
        </w:tc>
        <w:tc>
          <w:tcPr>
            <w:tcW w:w="1825" w:type="dxa"/>
            <w:vMerge w:val="restart"/>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产尘因素</w:t>
            </w:r>
          </w:p>
        </w:tc>
        <w:tc>
          <w:tcPr>
            <w:tcW w:w="1068" w:type="dxa"/>
            <w:vMerge w:val="restart"/>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治理前后</w:t>
            </w:r>
          </w:p>
        </w:tc>
        <w:tc>
          <w:tcPr>
            <w:tcW w:w="4936" w:type="dxa"/>
            <w:gridSpan w:val="7"/>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距施工场界距离（m）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8" w:hRule="atLeast"/>
          <w:jc w:val="center"/>
        </w:trPr>
        <w:tc>
          <w:tcPr>
            <w:tcW w:w="1883" w:type="dxa"/>
            <w:vMerge w:val="continue"/>
            <w:noWrap w:val="0"/>
            <w:vAlign w:val="center"/>
          </w:tcPr>
          <w:p>
            <w:pPr>
              <w:pStyle w:val="14"/>
              <w:jc w:val="center"/>
              <w:rPr>
                <w:rFonts w:hint="default" w:ascii="Times New Roman" w:hAnsi="Times New Roman" w:cs="Times New Roman"/>
                <w:b/>
                <w:bCs/>
                <w:sz w:val="21"/>
                <w:szCs w:val="21"/>
              </w:rPr>
            </w:pPr>
          </w:p>
        </w:tc>
        <w:tc>
          <w:tcPr>
            <w:tcW w:w="1825" w:type="dxa"/>
            <w:vMerge w:val="continue"/>
            <w:noWrap w:val="0"/>
            <w:vAlign w:val="center"/>
          </w:tcPr>
          <w:p>
            <w:pPr>
              <w:pStyle w:val="14"/>
              <w:jc w:val="center"/>
              <w:rPr>
                <w:rFonts w:hint="default" w:ascii="Times New Roman" w:hAnsi="Times New Roman" w:cs="Times New Roman"/>
                <w:b/>
                <w:bCs/>
                <w:sz w:val="21"/>
                <w:szCs w:val="21"/>
              </w:rPr>
            </w:pPr>
          </w:p>
        </w:tc>
        <w:tc>
          <w:tcPr>
            <w:tcW w:w="1068" w:type="dxa"/>
            <w:vMerge w:val="continue"/>
            <w:noWrap w:val="0"/>
            <w:vAlign w:val="center"/>
          </w:tcPr>
          <w:p>
            <w:pPr>
              <w:pStyle w:val="14"/>
              <w:jc w:val="center"/>
              <w:rPr>
                <w:rFonts w:hint="default" w:ascii="Times New Roman" w:hAnsi="Times New Roman" w:cs="Times New Roman"/>
                <w:b/>
                <w:bCs/>
                <w:sz w:val="21"/>
                <w:szCs w:val="21"/>
              </w:rPr>
            </w:pPr>
          </w:p>
        </w:tc>
        <w:tc>
          <w:tcPr>
            <w:tcW w:w="616" w:type="dxa"/>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10</w:t>
            </w:r>
          </w:p>
        </w:tc>
        <w:tc>
          <w:tcPr>
            <w:tcW w:w="678" w:type="dxa"/>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30</w:t>
            </w:r>
          </w:p>
        </w:tc>
        <w:tc>
          <w:tcPr>
            <w:tcW w:w="620" w:type="dxa"/>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50</w:t>
            </w:r>
          </w:p>
        </w:tc>
        <w:tc>
          <w:tcPr>
            <w:tcW w:w="825" w:type="dxa"/>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100</w:t>
            </w:r>
          </w:p>
        </w:tc>
        <w:tc>
          <w:tcPr>
            <w:tcW w:w="648" w:type="dxa"/>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150</w:t>
            </w:r>
          </w:p>
        </w:tc>
        <w:tc>
          <w:tcPr>
            <w:tcW w:w="746" w:type="dxa"/>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200</w:t>
            </w:r>
          </w:p>
        </w:tc>
        <w:tc>
          <w:tcPr>
            <w:tcW w:w="803" w:type="dxa"/>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04" w:hRule="atLeast"/>
          <w:jc w:val="center"/>
        </w:trPr>
        <w:tc>
          <w:tcPr>
            <w:tcW w:w="1883" w:type="dxa"/>
            <w:vMerge w:val="restart"/>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运输沿线料场、弃土堆场、开挖现场</w:t>
            </w:r>
          </w:p>
        </w:tc>
        <w:tc>
          <w:tcPr>
            <w:tcW w:w="1825" w:type="dxa"/>
            <w:vMerge w:val="restart"/>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开挖、拌和、建材、弃土运输装卸</w:t>
            </w:r>
          </w:p>
        </w:tc>
        <w:tc>
          <w:tcPr>
            <w:tcW w:w="1068"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治理前</w:t>
            </w:r>
          </w:p>
        </w:tc>
        <w:tc>
          <w:tcPr>
            <w:tcW w:w="616"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78"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20"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8.0</w:t>
            </w:r>
          </w:p>
        </w:tc>
        <w:tc>
          <w:tcPr>
            <w:tcW w:w="825"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2.3</w:t>
            </w:r>
          </w:p>
        </w:tc>
        <w:tc>
          <w:tcPr>
            <w:tcW w:w="648"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746"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803" w:type="dxa"/>
            <w:noWrap w:val="0"/>
            <w:vAlign w:val="center"/>
          </w:tcPr>
          <w:p>
            <w:pPr>
              <w:pStyle w:val="14"/>
              <w:jc w:val="center"/>
              <w:rPr>
                <w:rFonts w:hint="default" w:ascii="Times New Roman" w:hAnsi="Times New Roman" w:cs="Times New Roman"/>
                <w:b/>
                <w:sz w:val="21"/>
                <w:szCs w:val="21"/>
              </w:rPr>
            </w:pPr>
            <w:r>
              <w:rPr>
                <w:rFonts w:hint="default" w:ascii="Times New Roman" w:hAnsi="Times New Roman" w:cs="Times New Roman"/>
                <w:bCs/>
                <w:sz w:val="21"/>
                <w:szCs w:val="21"/>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154" w:hRule="atLeast"/>
          <w:jc w:val="center"/>
        </w:trPr>
        <w:tc>
          <w:tcPr>
            <w:tcW w:w="1883" w:type="dxa"/>
            <w:vMerge w:val="continue"/>
            <w:noWrap w:val="0"/>
            <w:vAlign w:val="center"/>
          </w:tcPr>
          <w:p>
            <w:pPr>
              <w:pStyle w:val="14"/>
              <w:jc w:val="center"/>
              <w:rPr>
                <w:rFonts w:hint="default" w:ascii="Times New Roman" w:hAnsi="Times New Roman" w:cs="Times New Roman"/>
                <w:sz w:val="21"/>
                <w:szCs w:val="21"/>
              </w:rPr>
            </w:pPr>
          </w:p>
        </w:tc>
        <w:tc>
          <w:tcPr>
            <w:tcW w:w="1825" w:type="dxa"/>
            <w:vMerge w:val="continue"/>
            <w:noWrap w:val="0"/>
            <w:vAlign w:val="center"/>
          </w:tcPr>
          <w:p>
            <w:pPr>
              <w:pStyle w:val="14"/>
              <w:jc w:val="center"/>
              <w:rPr>
                <w:rFonts w:hint="default" w:ascii="Times New Roman" w:hAnsi="Times New Roman" w:cs="Times New Roman"/>
                <w:sz w:val="21"/>
                <w:szCs w:val="21"/>
              </w:rPr>
            </w:pPr>
          </w:p>
        </w:tc>
        <w:tc>
          <w:tcPr>
            <w:tcW w:w="1068"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治理后</w:t>
            </w:r>
          </w:p>
        </w:tc>
        <w:tc>
          <w:tcPr>
            <w:tcW w:w="616"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78"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620"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0.8</w:t>
            </w:r>
          </w:p>
        </w:tc>
        <w:tc>
          <w:tcPr>
            <w:tcW w:w="825"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648"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bCs/>
                <w:sz w:val="21"/>
                <w:szCs w:val="21"/>
              </w:rPr>
              <w:t>0.3</w:t>
            </w:r>
          </w:p>
        </w:tc>
        <w:tc>
          <w:tcPr>
            <w:tcW w:w="746"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0.1</w:t>
            </w:r>
          </w:p>
        </w:tc>
        <w:tc>
          <w:tcPr>
            <w:tcW w:w="803" w:type="dxa"/>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00000"/>
          <w:sz w:val="24"/>
          <w:szCs w:val="24"/>
        </w:rPr>
      </w:pPr>
      <w:r>
        <w:rPr>
          <w:rFonts w:hint="default" w:ascii="Times New Roman" w:hAnsi="Times New Roman" w:cs="Times New Roman"/>
          <w:sz w:val="24"/>
          <w:szCs w:val="24"/>
        </w:rPr>
        <w:t>由表</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lang w:eastAsia="zh-CN"/>
        </w:rPr>
        <w:t>.1-</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可知，项目在未采取防尘措施时，施工现场影响范围在400米范围。</w:t>
      </w:r>
      <w:r>
        <w:rPr>
          <w:rFonts w:hint="default" w:ascii="Times New Roman" w:hAnsi="Times New Roman" w:cs="Times New Roman"/>
          <w:color w:val="000000"/>
          <w:sz w:val="24"/>
          <w:szCs w:val="24"/>
        </w:rPr>
        <w:t>采取相应的防尘措施后，扬尘影响范围在150m范围内，防尘措施明显，能够有效的减轻施工扬尘对周围环境空气质量的影响。</w:t>
      </w:r>
    </w:p>
    <w:p>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根据现场踏勘，</w:t>
      </w:r>
      <w:r>
        <w:rPr>
          <w:rFonts w:hint="default" w:ascii="Times New Roman" w:hAnsi="Times New Roman" w:cs="Times New Roman"/>
          <w:color w:val="000000"/>
          <w:sz w:val="24"/>
          <w:szCs w:val="24"/>
        </w:rPr>
        <w:t>项目所在区域150m范围内分布有</w:t>
      </w:r>
      <w:r>
        <w:rPr>
          <w:rFonts w:hint="default" w:ascii="Times New Roman" w:hAnsi="Times New Roman" w:cs="Times New Roman"/>
          <w:color w:val="000000"/>
          <w:sz w:val="24"/>
          <w:szCs w:val="24"/>
          <w:lang w:eastAsia="zh-CN"/>
        </w:rPr>
        <w:t>住户</w:t>
      </w:r>
      <w:r>
        <w:rPr>
          <w:rFonts w:hint="default" w:ascii="Times New Roman" w:hAnsi="Times New Roman" w:cs="Times New Roman"/>
          <w:color w:val="000000"/>
          <w:sz w:val="24"/>
          <w:szCs w:val="24"/>
        </w:rPr>
        <w:t>。</w:t>
      </w:r>
      <w:r>
        <w:rPr>
          <w:rFonts w:hint="default" w:ascii="Times New Roman" w:hAnsi="Times New Roman" w:cs="Times New Roman"/>
          <w:sz w:val="24"/>
          <w:szCs w:val="24"/>
        </w:rPr>
        <w:t>为有效减少建设工地扬尘污染，保护项目周边敏感点，本环评要求项目施工方严格按照本文工程分析中提出的控制措施施工，在施工建设中做到规范管理，文明施工，确保建设工地不制尘。严格遵守施工要求“</w:t>
      </w:r>
      <w:r>
        <w:rPr>
          <w:rFonts w:hint="default" w:ascii="Times New Roman" w:hAnsi="Times New Roman" w:cs="Times New Roman"/>
          <w:sz w:val="24"/>
          <w:szCs w:val="24"/>
          <w:lang w:eastAsia="zh-CN"/>
        </w:rPr>
        <w:t>六个百分之百</w:t>
      </w:r>
      <w:r>
        <w:rPr>
          <w:rFonts w:hint="default" w:ascii="Times New Roman" w:hAnsi="Times New Roman" w:cs="Times New Roman"/>
          <w:sz w:val="24"/>
          <w:szCs w:val="24"/>
        </w:rPr>
        <w:t>”，即：</w:t>
      </w:r>
      <w:r>
        <w:rPr>
          <w:rFonts w:hint="default" w:ascii="Times New Roman" w:hAnsi="Times New Roman" w:cs="Times New Roman"/>
          <w:color w:val="000000"/>
          <w:sz w:val="24"/>
          <w:szCs w:val="24"/>
        </w:rPr>
        <w:t>工地周边围挡、物料堆放覆盖、土方开挖湿法作业、路面硬化、出入车辆清洗、渣土车辆密闭</w:t>
      </w:r>
      <w:r>
        <w:rPr>
          <w:rFonts w:hint="default" w:ascii="Times New Roman" w:hAnsi="Times New Roman" w:cs="Times New Roman"/>
          <w:sz w:val="24"/>
          <w:szCs w:val="24"/>
        </w:rPr>
        <w:t>。同时增加洒水抑尘的频次，大风天气禁止开挖作业。并在围挡上安装喷水雾降尘装置，在施工时打开该装置进行降尘。</w:t>
      </w:r>
    </w:p>
    <w:p>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综上，只要严格按照上面提出的扬尘控制措施，则项目施工期产生的扬尘对环境空气质量影响较小。同时施工期是暂时的，施工扬尘将随施工期的结束而停止产生，评价建议优化施工方案，缩短施工时间，尽量减少扬尘对周边环境影响的时间。</w:t>
      </w:r>
    </w:p>
    <w:p>
      <w:pPr>
        <w:widowControl/>
        <w:tabs>
          <w:tab w:val="left" w:pos="1680"/>
        </w:tabs>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根据项目所在区域大气环境质量调查结果可知，项目所在区域大气环境质量良好，因此，只要严格按照环评提出的扬尘控制措施后对区域环境空气中 TSP的污染贡献较小，项目施工不会对项目周围的环境造成明显不良影响。</w:t>
      </w:r>
    </w:p>
    <w:p>
      <w:pPr>
        <w:pStyle w:val="12"/>
        <w:overflowPunct w:val="0"/>
        <w:spacing w:after="0" w:line="360" w:lineRule="auto"/>
        <w:ind w:firstLine="482" w:firstLineChars="20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2、施工机械燃油废气</w:t>
      </w:r>
    </w:p>
    <w:p>
      <w:pPr>
        <w:pStyle w:val="12"/>
        <w:overflowPunct w:val="0"/>
        <w:spacing w:after="0" w:line="360" w:lineRule="auto"/>
        <w:ind w:firstLine="480" w:firstLineChars="200"/>
        <w:rPr>
          <w:rFonts w:hint="default" w:ascii="Times New Roman" w:hAnsi="Times New Roman" w:cs="Times New Roman"/>
          <w:b/>
          <w:bCs/>
          <w:color w:val="000000"/>
          <w:sz w:val="24"/>
          <w:szCs w:val="24"/>
        </w:rPr>
      </w:pPr>
      <w:r>
        <w:rPr>
          <w:rFonts w:hint="default" w:ascii="Times New Roman" w:hAnsi="Times New Roman" w:cs="Times New Roman"/>
          <w:sz w:val="24"/>
          <w:szCs w:val="24"/>
        </w:rPr>
        <w:t>施工期间，使用机动车运送原材料、设备和建筑机械等设备的运转，均会排放一定量的CO、NO</w:t>
      </w:r>
      <w:r>
        <w:rPr>
          <w:rFonts w:hint="default" w:ascii="Times New Roman" w:hAnsi="Times New Roman" w:cs="Times New Roman"/>
          <w:sz w:val="24"/>
          <w:szCs w:val="24"/>
          <w:vertAlign w:val="subscript"/>
        </w:rPr>
        <w:t>X</w:t>
      </w:r>
      <w:r>
        <w:rPr>
          <w:rFonts w:hint="default" w:ascii="Times New Roman" w:hAnsi="Times New Roman" w:cs="Times New Roman"/>
          <w:sz w:val="24"/>
          <w:szCs w:val="24"/>
        </w:rPr>
        <w:t>以及未完全燃烧的HC等，其特点是排放量小，属间断性排放，加之项目施工场地扩散条件良好，这些废气可得到有效的稀释扩散，能够达标排放，因此其对环境的影响甚微。</w:t>
      </w:r>
    </w:p>
    <w:p>
      <w:pPr>
        <w:pStyle w:val="12"/>
        <w:overflowPunct w:val="0"/>
        <w:spacing w:after="0" w:line="360" w:lineRule="auto"/>
        <w:ind w:firstLine="482" w:firstLineChars="20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3、汽车尾气</w:t>
      </w:r>
    </w:p>
    <w:p>
      <w:pPr>
        <w:pStyle w:val="12"/>
        <w:overflowPunct w:val="0"/>
        <w:spacing w:after="0"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施工期间，有运输车辆尾气排放，其特点是排放量小，属于间断性排放，项目施工场地扩散条件良好，这些废气可得到有效地稀释扩散，能够达标排放。本环评要求建设方对运输车辆加强保养，选取优质燃料，禁止运输车辆超载行驶；并做好施工现场的交通组织，避免因施工造 成的交通阻塞，减少运输车辆怠速产生的废气排放，进一步降低其对外界环境的影响。</w:t>
      </w:r>
    </w:p>
    <w:p>
      <w:pPr>
        <w:pStyle w:val="12"/>
        <w:overflowPunct w:val="0"/>
        <w:spacing w:after="0" w:line="360" w:lineRule="auto"/>
        <w:ind w:firstLine="482" w:firstLineChars="20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 xml:space="preserve"> 4、装修废气</w:t>
      </w:r>
    </w:p>
    <w:p>
      <w:pPr>
        <w:pStyle w:val="12"/>
        <w:overflowPunct w:val="0"/>
        <w:spacing w:after="0" w:line="360" w:lineRule="auto"/>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rPr>
        <w:t>建筑装饰装修过程中，装修材料和涂料的选用应按照国家质检总局颁布的《室内装修材料10项有害物质限量》规定进行，使用污染相对较小的环保型涂料和装修材料，以减少材料中有害物质的散发量。在装修期间，应加强室内的通风换气，装修结束完成以后，也应每天进行通风换气一至二个月后才能使用。由于装修时采用的三合板和涂料等中含有的甲醛、甲苯、二甲苯等影响环境质量的有毒有害物质挥发时间长，所以入住也要注意室内空气的流畅。装修扬尘则采用室内洒水降尘予以控制，降低施工扬尘产生量。</w:t>
      </w:r>
    </w:p>
    <w:p>
      <w:pPr>
        <w:pStyle w:val="12"/>
        <w:overflowPunct w:val="0"/>
        <w:spacing w:after="0"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综上，本项目施工期废气对环境的影响较小。</w:t>
      </w:r>
    </w:p>
    <w:p>
      <w:pPr>
        <w:pStyle w:val="5"/>
        <w:spacing w:before="0" w:after="0" w:line="360" w:lineRule="auto"/>
        <w:ind w:firstLine="478" w:firstLineChars="200"/>
        <w:rPr>
          <w:rFonts w:hint="default" w:ascii="Times New Roman" w:hAnsi="Times New Roman" w:cs="Times New Roman"/>
          <w:bCs w:val="0"/>
          <w:color w:val="000000"/>
          <w:spacing w:val="-1"/>
          <w:sz w:val="24"/>
          <w:szCs w:val="24"/>
        </w:rPr>
      </w:pPr>
      <w:bookmarkStart w:id="237" w:name="_Toc500840323"/>
      <w:bookmarkStart w:id="238" w:name="_Toc489290421"/>
      <w:r>
        <w:rPr>
          <w:rFonts w:hint="default" w:ascii="Times New Roman" w:hAnsi="Times New Roman" w:cs="Times New Roman"/>
          <w:bCs w:val="0"/>
          <w:color w:val="000000"/>
          <w:spacing w:val="-1"/>
          <w:sz w:val="24"/>
          <w:szCs w:val="24"/>
        </w:rPr>
        <w:t>5.1.3 施工期地表水环境影响分析</w:t>
      </w:r>
      <w:bookmarkEnd w:id="237"/>
      <w:bookmarkEnd w:id="238"/>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 xml:space="preserve">施工期产生的污水主要有施工废水和施工人员生活废水。 </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施工废水中含有大量的泥沙与悬浮物（浓度在1000mg/L左右），另有少量油污（浓度在20mg/L左右），</w:t>
      </w:r>
      <w:r>
        <w:rPr>
          <w:rFonts w:hint="default" w:ascii="Times New Roman" w:hAnsi="Times New Roman" w:cs="Times New Roman"/>
          <w:bCs/>
          <w:color w:val="000000"/>
        </w:rPr>
        <w:t xml:space="preserve">经临时隔油沉淀池处理后上清液循环利用，不外排，对环境无影响。 </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施工期生活污水排放量约为2.0m</w:t>
      </w:r>
      <w:r>
        <w:rPr>
          <w:rFonts w:hint="default" w:ascii="Times New Roman" w:hAnsi="Times New Roman" w:cs="Times New Roman"/>
          <w:color w:val="000000"/>
          <w:vertAlign w:val="superscript"/>
        </w:rPr>
        <w:t>3</w:t>
      </w:r>
      <w:r>
        <w:rPr>
          <w:rFonts w:hint="default" w:ascii="Times New Roman" w:hAnsi="Times New Roman" w:cs="Times New Roman"/>
          <w:color w:val="000000"/>
        </w:rPr>
        <w:t>/d。施工人员生活污水中主要含COD、BOD</w:t>
      </w:r>
      <w:r>
        <w:rPr>
          <w:rFonts w:hint="default" w:ascii="Times New Roman" w:hAnsi="Times New Roman" w:cs="Times New Roman"/>
          <w:color w:val="000000"/>
          <w:vertAlign w:val="subscript"/>
        </w:rPr>
        <w:t>5</w:t>
      </w:r>
      <w:r>
        <w:rPr>
          <w:rFonts w:hint="default" w:ascii="Times New Roman" w:hAnsi="Times New Roman" w:cs="Times New Roman"/>
          <w:color w:val="000000"/>
        </w:rPr>
        <w:t>、NH</w:t>
      </w:r>
      <w:r>
        <w:rPr>
          <w:rFonts w:hint="default" w:ascii="Times New Roman" w:hAnsi="Times New Roman" w:cs="Times New Roman"/>
          <w:color w:val="000000"/>
          <w:vertAlign w:val="subscript"/>
        </w:rPr>
        <w:t>3</w:t>
      </w:r>
      <w:r>
        <w:rPr>
          <w:rFonts w:hint="default" w:ascii="Times New Roman" w:hAnsi="Times New Roman" w:cs="Times New Roman"/>
          <w:color w:val="000000"/>
        </w:rPr>
        <w:t>-N、SS等，经旱厕处理后用于施肥。</w:t>
      </w:r>
    </w:p>
    <w:p>
      <w:pPr>
        <w:pStyle w:val="62"/>
        <w:ind w:firstLine="425"/>
        <w:jc w:val="both"/>
        <w:rPr>
          <w:rFonts w:hint="default" w:ascii="Times New Roman" w:hAnsi="Times New Roman" w:cs="Times New Roman"/>
          <w:b/>
          <w:color w:val="000000"/>
        </w:rPr>
      </w:pPr>
      <w:r>
        <w:rPr>
          <w:rFonts w:hint="default" w:ascii="Times New Roman" w:hAnsi="Times New Roman" w:cs="Times New Roman"/>
          <w:color w:val="000000"/>
        </w:rPr>
        <w:t>因此，项目施工期废水在采取了上述措施后，对周边环境不会造成明显影响。</w:t>
      </w:r>
    </w:p>
    <w:p>
      <w:pPr>
        <w:pStyle w:val="5"/>
        <w:spacing w:before="0" w:after="0" w:line="360" w:lineRule="auto"/>
        <w:ind w:firstLine="478" w:firstLineChars="200"/>
        <w:rPr>
          <w:rFonts w:hint="default" w:ascii="Times New Roman" w:hAnsi="Times New Roman" w:cs="Times New Roman"/>
          <w:bCs w:val="0"/>
          <w:color w:val="000000"/>
          <w:spacing w:val="-1"/>
          <w:sz w:val="24"/>
          <w:szCs w:val="24"/>
        </w:rPr>
      </w:pPr>
      <w:bookmarkStart w:id="239" w:name="_Toc489290422"/>
      <w:bookmarkStart w:id="240" w:name="_Toc500840324"/>
      <w:r>
        <w:rPr>
          <w:rFonts w:hint="default" w:ascii="Times New Roman" w:hAnsi="Times New Roman" w:cs="Times New Roman"/>
          <w:bCs w:val="0"/>
          <w:color w:val="000000"/>
          <w:spacing w:val="-1"/>
          <w:sz w:val="24"/>
          <w:szCs w:val="24"/>
        </w:rPr>
        <w:t>5.1.4 施工期声环境影响分析</w:t>
      </w:r>
      <w:bookmarkEnd w:id="239"/>
      <w:bookmarkEnd w:id="240"/>
    </w:p>
    <w:p>
      <w:pPr>
        <w:pStyle w:val="62"/>
        <w:ind w:firstLine="426"/>
        <w:jc w:val="both"/>
        <w:rPr>
          <w:rFonts w:hint="default" w:ascii="Times New Roman" w:hAnsi="Times New Roman" w:cs="Times New Roman"/>
          <w:b/>
          <w:color w:val="000000"/>
        </w:rPr>
      </w:pPr>
      <w:r>
        <w:rPr>
          <w:rFonts w:hint="default" w:ascii="Times New Roman" w:hAnsi="Times New Roman" w:cs="Times New Roman"/>
          <w:b/>
          <w:color w:val="000000"/>
        </w:rPr>
        <w:t>（1）源强分析</w:t>
      </w:r>
    </w:p>
    <w:p>
      <w:pPr>
        <w:spacing w:line="360" w:lineRule="auto"/>
        <w:ind w:firstLine="480" w:firstLineChars="200"/>
        <w:rPr>
          <w:rFonts w:hint="default" w:ascii="Times New Roman" w:hAnsi="Times New Roman" w:cs="Times New Roman"/>
          <w:b w:val="0"/>
          <w:bCs/>
          <w:color w:val="000000"/>
          <w:sz w:val="24"/>
          <w:szCs w:val="21"/>
        </w:rPr>
      </w:pPr>
      <w:r>
        <w:rPr>
          <w:rFonts w:hint="default" w:ascii="Times New Roman" w:hAnsi="Times New Roman" w:cs="Times New Roman"/>
          <w:b w:val="0"/>
          <w:bCs/>
          <w:color w:val="000000"/>
          <w:sz w:val="24"/>
          <w:szCs w:val="21"/>
        </w:rPr>
        <w:t>施工期的噪声主要来源于施工现场的各类机械设备噪声，由于各施工阶段均有大量设备交互作业，这些设备在场地内的位置以及使用率均有较大变化，因此很难计算其确切的施工场界噪声，根据施工量，按经验计算各施工阶段的昼夜的主要噪声源及场界噪声和标准声级见表</w:t>
      </w:r>
      <w:r>
        <w:rPr>
          <w:rFonts w:hint="default" w:ascii="Times New Roman" w:hAnsi="Times New Roman" w:cs="Times New Roman"/>
          <w:b w:val="0"/>
          <w:bCs/>
          <w:color w:val="000000"/>
          <w:sz w:val="24"/>
          <w:szCs w:val="21"/>
          <w:lang w:val="en-US" w:eastAsia="zh-CN"/>
        </w:rPr>
        <w:t>5</w:t>
      </w:r>
      <w:r>
        <w:rPr>
          <w:rFonts w:hint="default" w:ascii="Times New Roman" w:hAnsi="Times New Roman" w:cs="Times New Roman"/>
          <w:b w:val="0"/>
          <w:bCs/>
          <w:color w:val="000000"/>
          <w:sz w:val="24"/>
          <w:szCs w:val="21"/>
        </w:rPr>
        <w:t>.1-5、表</w:t>
      </w:r>
      <w:r>
        <w:rPr>
          <w:rFonts w:hint="default" w:ascii="Times New Roman" w:hAnsi="Times New Roman" w:cs="Times New Roman"/>
          <w:b w:val="0"/>
          <w:bCs/>
          <w:color w:val="000000"/>
          <w:sz w:val="24"/>
          <w:szCs w:val="21"/>
          <w:lang w:val="en-US" w:eastAsia="zh-CN"/>
        </w:rPr>
        <w:t>5</w:t>
      </w:r>
      <w:r>
        <w:rPr>
          <w:rFonts w:hint="default" w:ascii="Times New Roman" w:hAnsi="Times New Roman" w:cs="Times New Roman"/>
          <w:b w:val="0"/>
          <w:bCs/>
          <w:color w:val="000000"/>
          <w:sz w:val="24"/>
          <w:szCs w:val="21"/>
        </w:rPr>
        <w:t>.1-6。施工期间的场界噪声必须满足《建筑施工场界环境噪声排放标准》（GB12523-2011）标准要求。</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default" w:ascii="Times New Roman" w:hAnsi="Times New Roman" w:eastAsia="黑体" w:cs="Times New Roman"/>
          <w:bCs/>
          <w:sz w:val="24"/>
          <w:szCs w:val="24"/>
          <w:lang w:val="en-US" w:eastAsia="zh-CN"/>
        </w:rPr>
        <w:t>5</w:t>
      </w:r>
      <w:r>
        <w:rPr>
          <w:rFonts w:hint="default" w:ascii="Times New Roman" w:hAnsi="Times New Roman" w:eastAsia="黑体" w:cs="Times New Roman"/>
          <w:bCs/>
          <w:sz w:val="24"/>
          <w:szCs w:val="24"/>
        </w:rPr>
        <w:t>.1-5  交通运输车辆噪声</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034"/>
        <w:gridCol w:w="3047"/>
        <w:gridCol w:w="2541"/>
        <w:gridCol w:w="209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75" w:hRule="atLeast"/>
          <w:jc w:val="center"/>
        </w:trPr>
        <w:tc>
          <w:tcPr>
            <w:tcW w:w="2034" w:type="dxa"/>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施工阶段</w:t>
            </w:r>
          </w:p>
        </w:tc>
        <w:tc>
          <w:tcPr>
            <w:tcW w:w="3047" w:type="dxa"/>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运输内容</w:t>
            </w:r>
          </w:p>
        </w:tc>
        <w:tc>
          <w:tcPr>
            <w:tcW w:w="2541" w:type="dxa"/>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车辆类型</w:t>
            </w:r>
          </w:p>
        </w:tc>
        <w:tc>
          <w:tcPr>
            <w:tcW w:w="2090" w:type="dxa"/>
            <w:noWrap w:val="0"/>
            <w:vAlign w:val="center"/>
          </w:tcPr>
          <w:p>
            <w:pPr>
              <w:rPr>
                <w:rFonts w:hint="default" w:ascii="Times New Roman" w:hAnsi="Times New Roman" w:cs="Times New Roman"/>
                <w:b/>
                <w:bCs/>
                <w:sz w:val="21"/>
                <w:szCs w:val="21"/>
              </w:rPr>
            </w:pPr>
            <w:r>
              <w:rPr>
                <w:rFonts w:hint="default" w:ascii="Times New Roman" w:hAnsi="Times New Roman" w:cs="Times New Roman"/>
                <w:b/>
                <w:bCs/>
                <w:sz w:val="21"/>
                <w:szCs w:val="21"/>
              </w:rPr>
              <w:t>声源强度[dB(A)]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04" w:hRule="atLeast"/>
          <w:jc w:val="center"/>
        </w:trPr>
        <w:tc>
          <w:tcPr>
            <w:tcW w:w="2034"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土石方阶段</w:t>
            </w:r>
          </w:p>
        </w:tc>
        <w:tc>
          <w:tcPr>
            <w:tcW w:w="3047"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土石方等</w:t>
            </w:r>
          </w:p>
        </w:tc>
        <w:tc>
          <w:tcPr>
            <w:tcW w:w="254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大型载重车</w:t>
            </w:r>
          </w:p>
        </w:tc>
        <w:tc>
          <w:tcPr>
            <w:tcW w:w="209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84～89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37" w:hRule="atLeast"/>
          <w:jc w:val="center"/>
        </w:trPr>
        <w:tc>
          <w:tcPr>
            <w:tcW w:w="2034"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底板与结构阶段</w:t>
            </w:r>
          </w:p>
        </w:tc>
        <w:tc>
          <w:tcPr>
            <w:tcW w:w="3047"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钢筋、混凝土等</w:t>
            </w:r>
          </w:p>
        </w:tc>
        <w:tc>
          <w:tcPr>
            <w:tcW w:w="254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混凝土罐车、载重车</w:t>
            </w:r>
          </w:p>
        </w:tc>
        <w:tc>
          <w:tcPr>
            <w:tcW w:w="209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80～85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43" w:hRule="atLeast"/>
          <w:jc w:val="center"/>
        </w:trPr>
        <w:tc>
          <w:tcPr>
            <w:tcW w:w="2034" w:type="dxa"/>
            <w:noWrap w:val="0"/>
            <w:vAlign w:val="center"/>
          </w:tcPr>
          <w:p>
            <w:pPr>
              <w:pStyle w:val="82"/>
              <w:adjustRightInd/>
              <w:spacing w:before="0"/>
              <w:textAlignment w:val="auto"/>
              <w:rPr>
                <w:rFonts w:hint="default" w:ascii="Times New Roman" w:hAnsi="Times New Roman" w:cs="Times New Roman"/>
                <w:kern w:val="2"/>
                <w:szCs w:val="21"/>
              </w:rPr>
            </w:pPr>
            <w:r>
              <w:rPr>
                <w:rFonts w:hint="default" w:ascii="Times New Roman" w:hAnsi="Times New Roman" w:cs="Times New Roman"/>
                <w:kern w:val="2"/>
                <w:szCs w:val="21"/>
              </w:rPr>
              <w:t>装修安装阶段</w:t>
            </w:r>
          </w:p>
        </w:tc>
        <w:tc>
          <w:tcPr>
            <w:tcW w:w="3047"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各种装修材料机必备设备</w:t>
            </w:r>
          </w:p>
        </w:tc>
        <w:tc>
          <w:tcPr>
            <w:tcW w:w="254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轻型载重卡车</w:t>
            </w:r>
          </w:p>
        </w:tc>
        <w:tc>
          <w:tcPr>
            <w:tcW w:w="209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75～80</w:t>
            </w:r>
          </w:p>
        </w:tc>
      </w:tr>
    </w:tbl>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default" w:ascii="Times New Roman" w:hAnsi="Times New Roman" w:eastAsia="黑体" w:cs="Times New Roman"/>
          <w:bCs/>
          <w:sz w:val="24"/>
          <w:szCs w:val="24"/>
          <w:lang w:val="en-US" w:eastAsia="zh-CN"/>
        </w:rPr>
        <w:t>5</w:t>
      </w:r>
      <w:r>
        <w:rPr>
          <w:rFonts w:hint="default" w:ascii="Times New Roman" w:hAnsi="Times New Roman" w:eastAsia="黑体" w:cs="Times New Roman"/>
          <w:bCs/>
          <w:sz w:val="24"/>
          <w:szCs w:val="24"/>
        </w:rPr>
        <w:t>.1-6  施工期噪声声源强度表</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208"/>
        <w:gridCol w:w="3208"/>
        <w:gridCol w:w="32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5" w:hRule="atLeast"/>
          <w:tblHeader/>
          <w:jc w:val="center"/>
        </w:trPr>
        <w:tc>
          <w:tcPr>
            <w:tcW w:w="320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b/>
                <w:bCs/>
                <w:sz w:val="21"/>
                <w:szCs w:val="21"/>
              </w:rPr>
              <w:t>施工阶段</w:t>
            </w:r>
          </w:p>
        </w:tc>
        <w:tc>
          <w:tcPr>
            <w:tcW w:w="320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b/>
                <w:bCs/>
                <w:sz w:val="21"/>
                <w:szCs w:val="21"/>
              </w:rPr>
              <w:t>声源</w:t>
            </w:r>
          </w:p>
        </w:tc>
        <w:tc>
          <w:tcPr>
            <w:tcW w:w="32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b/>
                <w:bCs/>
                <w:sz w:val="21"/>
                <w:szCs w:val="21"/>
              </w:rPr>
              <w:t>声源强度[dB(A)]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5" w:hRule="atLeast"/>
          <w:tblHeader/>
          <w:jc w:val="center"/>
        </w:trPr>
        <w:tc>
          <w:tcPr>
            <w:tcW w:w="3208" w:type="dxa"/>
            <w:vMerge w:val="restar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土石方阶段</w:t>
            </w:r>
          </w:p>
        </w:tc>
        <w:tc>
          <w:tcPr>
            <w:tcW w:w="320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挖土机</w:t>
            </w:r>
          </w:p>
        </w:tc>
        <w:tc>
          <w:tcPr>
            <w:tcW w:w="32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78～96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3208" w:type="dxa"/>
            <w:vMerge w:val="continue"/>
            <w:noWrap w:val="0"/>
            <w:vAlign w:val="center"/>
          </w:tcPr>
          <w:p>
            <w:pPr>
              <w:jc w:val="center"/>
              <w:rPr>
                <w:rFonts w:hint="default" w:ascii="Times New Roman" w:hAnsi="Times New Roman" w:cs="Times New Roman"/>
                <w:sz w:val="21"/>
                <w:szCs w:val="21"/>
              </w:rPr>
            </w:pPr>
          </w:p>
        </w:tc>
        <w:tc>
          <w:tcPr>
            <w:tcW w:w="320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冲击机</w:t>
            </w:r>
          </w:p>
        </w:tc>
        <w:tc>
          <w:tcPr>
            <w:tcW w:w="32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3208" w:type="dxa"/>
            <w:vMerge w:val="continue"/>
            <w:noWrap w:val="0"/>
            <w:vAlign w:val="center"/>
          </w:tcPr>
          <w:p>
            <w:pPr>
              <w:jc w:val="center"/>
              <w:rPr>
                <w:rFonts w:hint="default" w:ascii="Times New Roman" w:hAnsi="Times New Roman" w:cs="Times New Roman"/>
                <w:sz w:val="21"/>
                <w:szCs w:val="21"/>
              </w:rPr>
            </w:pPr>
          </w:p>
        </w:tc>
        <w:tc>
          <w:tcPr>
            <w:tcW w:w="320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空压机</w:t>
            </w:r>
          </w:p>
        </w:tc>
        <w:tc>
          <w:tcPr>
            <w:tcW w:w="32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75～85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5" w:hRule="atLeast"/>
          <w:tblHeader/>
          <w:jc w:val="center"/>
        </w:trPr>
        <w:tc>
          <w:tcPr>
            <w:tcW w:w="3208" w:type="dxa"/>
            <w:vMerge w:val="continue"/>
            <w:noWrap w:val="0"/>
            <w:vAlign w:val="center"/>
          </w:tcPr>
          <w:p>
            <w:pPr>
              <w:jc w:val="center"/>
              <w:rPr>
                <w:rFonts w:hint="default" w:ascii="Times New Roman" w:hAnsi="Times New Roman" w:cs="Times New Roman"/>
                <w:sz w:val="21"/>
                <w:szCs w:val="21"/>
              </w:rPr>
            </w:pPr>
          </w:p>
        </w:tc>
        <w:tc>
          <w:tcPr>
            <w:tcW w:w="320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卷扬机</w:t>
            </w:r>
          </w:p>
        </w:tc>
        <w:tc>
          <w:tcPr>
            <w:tcW w:w="32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 90～105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3208" w:type="dxa"/>
            <w:vMerge w:val="restar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底板与结构阶段</w:t>
            </w:r>
          </w:p>
        </w:tc>
        <w:tc>
          <w:tcPr>
            <w:tcW w:w="320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混凝土输送泵</w:t>
            </w:r>
          </w:p>
        </w:tc>
        <w:tc>
          <w:tcPr>
            <w:tcW w:w="32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 xml:space="preserve"> 90～100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3208" w:type="dxa"/>
            <w:vMerge w:val="continue"/>
            <w:noWrap w:val="0"/>
            <w:vAlign w:val="center"/>
          </w:tcPr>
          <w:p>
            <w:pPr>
              <w:jc w:val="center"/>
              <w:rPr>
                <w:rFonts w:hint="default" w:ascii="Times New Roman" w:hAnsi="Times New Roman" w:cs="Times New Roman"/>
                <w:sz w:val="21"/>
                <w:szCs w:val="21"/>
              </w:rPr>
            </w:pPr>
          </w:p>
        </w:tc>
        <w:tc>
          <w:tcPr>
            <w:tcW w:w="320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振捣器</w:t>
            </w:r>
          </w:p>
        </w:tc>
        <w:tc>
          <w:tcPr>
            <w:tcW w:w="32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100～100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3208" w:type="dxa"/>
            <w:vMerge w:val="continue"/>
            <w:noWrap w:val="0"/>
            <w:vAlign w:val="center"/>
          </w:tcPr>
          <w:p>
            <w:pPr>
              <w:jc w:val="center"/>
              <w:rPr>
                <w:rFonts w:hint="default" w:ascii="Times New Roman" w:hAnsi="Times New Roman" w:cs="Times New Roman"/>
                <w:sz w:val="21"/>
                <w:szCs w:val="21"/>
              </w:rPr>
            </w:pPr>
          </w:p>
        </w:tc>
        <w:tc>
          <w:tcPr>
            <w:tcW w:w="320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电锯</w:t>
            </w:r>
          </w:p>
        </w:tc>
        <w:tc>
          <w:tcPr>
            <w:tcW w:w="32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100～100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3208" w:type="dxa"/>
            <w:vMerge w:val="continue"/>
            <w:noWrap w:val="0"/>
            <w:vAlign w:val="center"/>
          </w:tcPr>
          <w:p>
            <w:pPr>
              <w:jc w:val="center"/>
              <w:rPr>
                <w:rFonts w:hint="default" w:ascii="Times New Roman" w:hAnsi="Times New Roman" w:cs="Times New Roman"/>
                <w:sz w:val="21"/>
                <w:szCs w:val="21"/>
              </w:rPr>
            </w:pPr>
          </w:p>
        </w:tc>
        <w:tc>
          <w:tcPr>
            <w:tcW w:w="320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电焊机</w:t>
            </w:r>
          </w:p>
        </w:tc>
        <w:tc>
          <w:tcPr>
            <w:tcW w:w="32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90～95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3208" w:type="dxa"/>
            <w:vMerge w:val="restar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装修安装阶段</w:t>
            </w:r>
          </w:p>
        </w:tc>
        <w:tc>
          <w:tcPr>
            <w:tcW w:w="320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电钻、手工钻等</w:t>
            </w:r>
          </w:p>
        </w:tc>
        <w:tc>
          <w:tcPr>
            <w:tcW w:w="32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100～105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3208" w:type="dxa"/>
            <w:vMerge w:val="continue"/>
            <w:noWrap w:val="0"/>
            <w:vAlign w:val="center"/>
          </w:tcPr>
          <w:p>
            <w:pPr>
              <w:jc w:val="center"/>
              <w:rPr>
                <w:rFonts w:hint="default" w:ascii="Times New Roman" w:hAnsi="Times New Roman" w:cs="Times New Roman"/>
                <w:sz w:val="21"/>
                <w:szCs w:val="21"/>
              </w:rPr>
            </w:pPr>
          </w:p>
        </w:tc>
        <w:tc>
          <w:tcPr>
            <w:tcW w:w="320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电锤</w:t>
            </w:r>
          </w:p>
        </w:tc>
        <w:tc>
          <w:tcPr>
            <w:tcW w:w="32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100～105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31" w:hRule="atLeast"/>
          <w:tblHeader/>
          <w:jc w:val="center"/>
        </w:trPr>
        <w:tc>
          <w:tcPr>
            <w:tcW w:w="3208" w:type="dxa"/>
            <w:vMerge w:val="continue"/>
            <w:noWrap w:val="0"/>
            <w:vAlign w:val="center"/>
          </w:tcPr>
          <w:p>
            <w:pPr>
              <w:jc w:val="center"/>
              <w:rPr>
                <w:rFonts w:hint="default" w:ascii="Times New Roman" w:hAnsi="Times New Roman" w:cs="Times New Roman"/>
                <w:sz w:val="21"/>
                <w:szCs w:val="21"/>
              </w:rPr>
            </w:pPr>
          </w:p>
        </w:tc>
        <w:tc>
          <w:tcPr>
            <w:tcW w:w="320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无齿锯</w:t>
            </w:r>
          </w:p>
        </w:tc>
        <w:tc>
          <w:tcPr>
            <w:tcW w:w="32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105</w:t>
            </w:r>
          </w:p>
        </w:tc>
      </w:tr>
    </w:tbl>
    <w:p>
      <w:pPr>
        <w:spacing w:line="360" w:lineRule="auto"/>
        <w:ind w:firstLine="482" w:firstLineChars="200"/>
        <w:rPr>
          <w:rFonts w:hint="default" w:ascii="Times New Roman" w:hAnsi="Times New Roman" w:cs="Times New Roman"/>
          <w:b/>
          <w:color w:val="000000"/>
          <w:sz w:val="24"/>
          <w:szCs w:val="21"/>
        </w:rPr>
      </w:pPr>
      <w:r>
        <w:rPr>
          <w:rFonts w:hint="default" w:ascii="Times New Roman" w:hAnsi="Times New Roman" w:cs="Times New Roman"/>
          <w:b/>
          <w:color w:val="000000"/>
          <w:sz w:val="24"/>
          <w:szCs w:val="21"/>
        </w:rPr>
        <w:t>（2）预测模式</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根据《环境影响评价技术导则 声环境》（HJ2.4-2009）的技术要求，本次评价采取导则上推荐模式。本预测采用点声源衰减模式，仅考虑距离衰减值等因素，预测公式为：</w:t>
      </w:r>
    </w:p>
    <w:p>
      <w:pPr>
        <w:spacing w:line="360" w:lineRule="auto"/>
        <w:ind w:firstLine="482" w:firstLineChars="200"/>
        <w:rPr>
          <w:rFonts w:hint="default" w:ascii="Times New Roman" w:hAnsi="Times New Roman" w:cs="Times New Roman"/>
          <w:b/>
          <w:color w:val="000000"/>
          <w:sz w:val="24"/>
          <w:szCs w:val="21"/>
        </w:rPr>
      </w:pPr>
      <w:r>
        <w:rPr>
          <w:rFonts w:hint="default" w:ascii="Times New Roman" w:hAnsi="Times New Roman" w:cs="Times New Roman"/>
          <w:b/>
          <w:color w:val="000000"/>
          <w:sz w:val="24"/>
          <w:szCs w:val="21"/>
        </w:rPr>
        <w:fldChar w:fldCharType="begin"/>
      </w:r>
      <w:r>
        <w:rPr>
          <w:rFonts w:hint="default" w:ascii="Times New Roman" w:hAnsi="Times New Roman" w:cs="Times New Roman"/>
          <w:b/>
          <w:color w:val="000000"/>
          <w:sz w:val="24"/>
          <w:szCs w:val="21"/>
        </w:rPr>
        <w:instrText xml:space="preserve"> = 1 \* GB3 </w:instrText>
      </w:r>
      <w:r>
        <w:rPr>
          <w:rFonts w:hint="default" w:ascii="Times New Roman" w:hAnsi="Times New Roman" w:cs="Times New Roman"/>
          <w:b/>
          <w:color w:val="000000"/>
          <w:sz w:val="24"/>
          <w:szCs w:val="21"/>
        </w:rPr>
        <w:fldChar w:fldCharType="separate"/>
      </w:r>
      <w:r>
        <w:rPr>
          <w:rFonts w:hint="default" w:ascii="Times New Roman" w:hAnsi="Times New Roman" w:cs="Times New Roman"/>
          <w:b/>
          <w:color w:val="000000"/>
          <w:sz w:val="24"/>
          <w:szCs w:val="21"/>
          <w:lang w:val="zh-CN"/>
        </w:rPr>
        <w:t>①</w:t>
      </w:r>
      <w:r>
        <w:rPr>
          <w:rFonts w:hint="default" w:ascii="Times New Roman" w:hAnsi="Times New Roman" w:cs="Times New Roman"/>
          <w:b/>
          <w:color w:val="000000"/>
          <w:sz w:val="24"/>
          <w:szCs w:val="21"/>
        </w:rPr>
        <w:fldChar w:fldCharType="end"/>
      </w:r>
      <w:r>
        <w:rPr>
          <w:rFonts w:hint="default" w:ascii="Times New Roman" w:hAnsi="Times New Roman" w:cs="Times New Roman"/>
          <w:b/>
          <w:color w:val="000000"/>
          <w:sz w:val="24"/>
          <w:szCs w:val="21"/>
        </w:rPr>
        <w:t>声值叠加：</w:t>
      </w:r>
    </w:p>
    <w:p>
      <w:pPr>
        <w:snapToGrid w:val="0"/>
        <w:spacing w:line="360" w:lineRule="auto"/>
        <w:ind w:right="113" w:firstLine="480"/>
        <w:jc w:val="center"/>
        <w:textAlignment w:val="baseline"/>
        <w:rPr>
          <w:rFonts w:hint="default" w:ascii="Times New Roman" w:hAnsi="Times New Roman" w:cs="Times New Roman"/>
          <w:bCs/>
          <w:color w:val="000000"/>
        </w:rPr>
      </w:pPr>
      <w:r>
        <w:rPr>
          <w:rFonts w:hint="default" w:ascii="Times New Roman" w:hAnsi="Times New Roman" w:cs="Times New Roman"/>
          <w:color w:val="000000"/>
        </w:rPr>
        <w:drawing>
          <wp:inline distT="0" distB="0" distL="0" distR="0">
            <wp:extent cx="1900555" cy="365760"/>
            <wp:effectExtent l="19050" t="0" r="4445"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noChangeArrowheads="1"/>
                    </pic:cNvPicPr>
                  </pic:nvPicPr>
                  <pic:blipFill>
                    <a:blip r:embed="rId51"/>
                    <a:srcRect/>
                    <a:stretch>
                      <a:fillRect/>
                    </a:stretch>
                  </pic:blipFill>
                  <pic:spPr>
                    <a:xfrm>
                      <a:off x="0" y="0"/>
                      <a:ext cx="1900555" cy="365760"/>
                    </a:xfrm>
                    <a:prstGeom prst="rect">
                      <a:avLst/>
                    </a:prstGeom>
                    <a:noFill/>
                    <a:ln w="9525">
                      <a:noFill/>
                      <a:miter lim="800000"/>
                      <a:headEnd/>
                      <a:tailEnd/>
                    </a:ln>
                    <a:effectLst/>
                  </pic:spPr>
                </pic:pic>
              </a:graphicData>
            </a:graphic>
          </wp:inline>
        </w:drawing>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式中：Leq—等效声级，dB(A)</w:t>
      </w:r>
    </w:p>
    <w:p>
      <w:pPr>
        <w:pStyle w:val="62"/>
        <w:ind w:firstLine="1140" w:firstLineChars="475"/>
        <w:jc w:val="both"/>
        <w:rPr>
          <w:rFonts w:hint="default" w:ascii="Times New Roman" w:hAnsi="Times New Roman" w:cs="Times New Roman"/>
          <w:color w:val="000000"/>
        </w:rPr>
      </w:pPr>
      <w:r>
        <w:rPr>
          <w:rFonts w:hint="default" w:ascii="Times New Roman" w:hAnsi="Times New Roman" w:cs="Times New Roman"/>
          <w:color w:val="000000"/>
        </w:rPr>
        <w:t>Leqg—建设项目声源在预测点的等效声级贡献值，dB(A)；</w:t>
      </w:r>
    </w:p>
    <w:p>
      <w:pPr>
        <w:pStyle w:val="62"/>
        <w:ind w:firstLine="1140" w:firstLineChars="475"/>
        <w:jc w:val="both"/>
        <w:rPr>
          <w:rFonts w:hint="default" w:ascii="Times New Roman" w:hAnsi="Times New Roman" w:cs="Times New Roman"/>
          <w:color w:val="000000"/>
          <w:szCs w:val="24"/>
        </w:rPr>
      </w:pPr>
      <w:r>
        <w:rPr>
          <w:rFonts w:hint="default" w:ascii="Times New Roman" w:hAnsi="Times New Roman" w:cs="Times New Roman"/>
          <w:color w:val="000000"/>
        </w:rPr>
        <w:t>Le</w:t>
      </w:r>
      <w:r>
        <w:rPr>
          <w:rFonts w:hint="default" w:ascii="Times New Roman" w:hAnsi="Times New Roman" w:cs="Times New Roman"/>
          <w:color w:val="000000"/>
          <w:szCs w:val="24"/>
        </w:rPr>
        <w:t>qb—预测点的背景值，dB(A)。</w:t>
      </w:r>
    </w:p>
    <w:p>
      <w:pPr>
        <w:spacing w:line="360" w:lineRule="auto"/>
        <w:ind w:firstLine="482" w:firstLineChars="200"/>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fldChar w:fldCharType="begin"/>
      </w:r>
      <w:r>
        <w:rPr>
          <w:rFonts w:hint="default" w:ascii="Times New Roman" w:hAnsi="Times New Roman" w:cs="Times New Roman"/>
          <w:b/>
          <w:color w:val="000000"/>
          <w:sz w:val="24"/>
          <w:szCs w:val="24"/>
        </w:rPr>
        <w:instrText xml:space="preserve"> = 2 \* GB3 </w:instrText>
      </w:r>
      <w:r>
        <w:rPr>
          <w:rFonts w:hint="default" w:ascii="Times New Roman" w:hAnsi="Times New Roman" w:cs="Times New Roman"/>
          <w:b/>
          <w:color w:val="000000"/>
          <w:sz w:val="24"/>
          <w:szCs w:val="24"/>
        </w:rPr>
        <w:fldChar w:fldCharType="separate"/>
      </w:r>
      <w:r>
        <w:rPr>
          <w:rFonts w:hint="default" w:ascii="Times New Roman" w:hAnsi="Times New Roman" w:cs="Times New Roman"/>
          <w:b/>
          <w:color w:val="000000"/>
          <w:sz w:val="24"/>
          <w:szCs w:val="24"/>
        </w:rPr>
        <w:t>②</w:t>
      </w:r>
      <w:r>
        <w:rPr>
          <w:rFonts w:hint="default" w:ascii="Times New Roman" w:hAnsi="Times New Roman" w:cs="Times New Roman"/>
          <w:b/>
          <w:color w:val="000000"/>
          <w:sz w:val="24"/>
          <w:szCs w:val="24"/>
        </w:rPr>
        <w:fldChar w:fldCharType="end"/>
      </w:r>
      <w:r>
        <w:rPr>
          <w:rFonts w:hint="default" w:ascii="Times New Roman" w:hAnsi="Times New Roman" w:cs="Times New Roman"/>
          <w:b/>
          <w:color w:val="000000"/>
          <w:sz w:val="24"/>
          <w:szCs w:val="24"/>
        </w:rPr>
        <w:t>噪声衰减：</w:t>
      </w:r>
    </w:p>
    <w:p>
      <w:pPr>
        <w:pStyle w:val="12"/>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L2</w:t>
      </w:r>
      <w:r>
        <w:rPr>
          <w:rFonts w:hint="default" w:ascii="Times New Roman" w:hAnsi="Times New Roman" w:cs="Times New Roman"/>
          <w:sz w:val="24"/>
          <w:szCs w:val="24"/>
          <w:lang w:val="en-IE"/>
        </w:rPr>
        <w:t>＝</w:t>
      </w:r>
      <w:r>
        <w:rPr>
          <w:rFonts w:hint="default" w:ascii="Times New Roman" w:hAnsi="Times New Roman" w:cs="Times New Roman"/>
          <w:sz w:val="24"/>
          <w:szCs w:val="24"/>
        </w:rPr>
        <w:t>L1</w:t>
      </w:r>
      <w:r>
        <w:rPr>
          <w:rFonts w:hint="default" w:ascii="Times New Roman" w:hAnsi="Times New Roman" w:cs="Times New Roman"/>
          <w:sz w:val="24"/>
          <w:szCs w:val="24"/>
          <w:lang w:val="en-IE"/>
        </w:rPr>
        <w:t>－</w:t>
      </w:r>
      <w:r>
        <w:rPr>
          <w:rFonts w:hint="default" w:ascii="Times New Roman" w:hAnsi="Times New Roman" w:cs="Times New Roman"/>
          <w:sz w:val="24"/>
          <w:szCs w:val="24"/>
        </w:rPr>
        <w:t>20lgr2/r1</w:t>
      </w:r>
      <w:r>
        <w:rPr>
          <w:rFonts w:hint="default" w:ascii="Times New Roman" w:hAnsi="Times New Roman" w:cs="Times New Roman"/>
          <w:sz w:val="24"/>
          <w:szCs w:val="24"/>
          <w:lang w:val="en-IE"/>
        </w:rPr>
        <w:t>－</w:t>
      </w:r>
      <w:r>
        <w:rPr>
          <w:rFonts w:hint="default" w:ascii="Times New Roman" w:hAnsi="Times New Roman" w:cs="Times New Roman"/>
          <w:sz w:val="24"/>
          <w:szCs w:val="24"/>
        </w:rPr>
        <w:t>△L</w:t>
      </w:r>
    </w:p>
    <w:p>
      <w:pPr>
        <w:spacing w:line="360" w:lineRule="auto"/>
        <w:ind w:firstLine="1440" w:firstLineChars="600"/>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i/>
          <w:sz w:val="24"/>
          <w:szCs w:val="24"/>
        </w:rPr>
        <w:t>L</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——距声源</w:t>
      </w:r>
      <w:r>
        <w:rPr>
          <w:rFonts w:hint="default" w:ascii="Times New Roman" w:hAnsi="Times New Roman" w:cs="Times New Roman"/>
          <w:i/>
          <w:sz w:val="24"/>
          <w:szCs w:val="24"/>
        </w:rPr>
        <w:t>r</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处声源值[dB(A)]；</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i/>
          <w:sz w:val="24"/>
          <w:szCs w:val="24"/>
        </w:rPr>
        <w:t>L</w:t>
      </w:r>
      <w:r>
        <w:rPr>
          <w:rFonts w:hint="default" w:ascii="Times New Roman" w:hAnsi="Times New Roman" w:cs="Times New Roman"/>
          <w:sz w:val="24"/>
          <w:szCs w:val="24"/>
          <w:vertAlign w:val="subscript"/>
        </w:rPr>
        <w:t xml:space="preserve">1 </w:t>
      </w:r>
      <w:r>
        <w:rPr>
          <w:rFonts w:hint="default" w:ascii="Times New Roman" w:hAnsi="Times New Roman" w:cs="Times New Roman"/>
          <w:sz w:val="24"/>
          <w:szCs w:val="24"/>
        </w:rPr>
        <w:t>——距声源</w:t>
      </w:r>
      <w:r>
        <w:rPr>
          <w:rFonts w:hint="default" w:ascii="Times New Roman" w:hAnsi="Times New Roman" w:cs="Times New Roman"/>
          <w:i/>
          <w:sz w:val="24"/>
          <w:szCs w:val="24"/>
        </w:rPr>
        <w:t>r</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处声源值[dB(A)]；</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i/>
          <w:sz w:val="24"/>
          <w:szCs w:val="24"/>
        </w:rPr>
        <w:t>r</w:t>
      </w:r>
      <w:r>
        <w:rPr>
          <w:rFonts w:hint="default" w:ascii="Times New Roman" w:hAnsi="Times New Roman" w:cs="Times New Roman"/>
          <w:sz w:val="24"/>
          <w:szCs w:val="24"/>
          <w:vertAlign w:val="subscript"/>
        </w:rPr>
        <w:t>2</w:t>
      </w:r>
      <w:r>
        <w:rPr>
          <w:rFonts w:hint="default" w:ascii="Times New Roman" w:hAnsi="Times New Roman" w:cs="Times New Roman"/>
          <w:spacing w:val="-82"/>
          <w:sz w:val="24"/>
          <w:szCs w:val="24"/>
        </w:rPr>
        <w:t>、</w:t>
      </w:r>
      <w:r>
        <w:rPr>
          <w:rFonts w:hint="default" w:ascii="Times New Roman" w:hAnsi="Times New Roman" w:cs="Times New Roman"/>
          <w:i/>
          <w:sz w:val="24"/>
          <w:szCs w:val="24"/>
        </w:rPr>
        <w:t>r</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——与声源的距离(m)；</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△L——场界围墙引起的衰减量。（约为7dB（A））</w:t>
      </w:r>
    </w:p>
    <w:p>
      <w:pPr>
        <w:spacing w:line="360" w:lineRule="auto"/>
        <w:ind w:firstLine="482" w:firstLineChars="200"/>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（3）预测结果</w:t>
      </w:r>
    </w:p>
    <w:p>
      <w:pPr>
        <w:pStyle w:val="62"/>
        <w:ind w:firstLine="1140" w:firstLineChars="475"/>
        <w:jc w:val="both"/>
        <w:rPr>
          <w:rFonts w:hint="default" w:ascii="Times New Roman" w:hAnsi="Times New Roman" w:cs="Times New Roman"/>
          <w:color w:val="000000"/>
        </w:rPr>
      </w:pPr>
      <w:bookmarkStart w:id="241" w:name="_Toc489290423"/>
      <w:bookmarkStart w:id="242" w:name="_Toc500840325"/>
      <w:r>
        <w:rPr>
          <w:rFonts w:hint="default" w:ascii="Times New Roman" w:hAnsi="Times New Roman" w:cs="Times New Roman"/>
          <w:color w:val="000000"/>
        </w:rPr>
        <w:t>施工期噪声预测结果见表</w:t>
      </w:r>
      <w:r>
        <w:rPr>
          <w:rFonts w:hint="default" w:ascii="Times New Roman" w:hAnsi="Times New Roman" w:cs="Times New Roman"/>
          <w:color w:val="000000"/>
          <w:lang w:val="en-US" w:eastAsia="zh-CN"/>
        </w:rPr>
        <w:t>5</w:t>
      </w:r>
      <w:r>
        <w:rPr>
          <w:rFonts w:hint="default" w:ascii="Times New Roman" w:hAnsi="Times New Roman" w:cs="Times New Roman"/>
          <w:color w:val="000000"/>
        </w:rPr>
        <w:t>.1-7。</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default" w:ascii="Times New Roman" w:hAnsi="Times New Roman" w:eastAsia="黑体" w:cs="Times New Roman"/>
          <w:bCs/>
          <w:sz w:val="24"/>
          <w:szCs w:val="24"/>
          <w:lang w:val="en-US" w:eastAsia="zh-CN"/>
        </w:rPr>
        <w:t>5</w:t>
      </w:r>
      <w:r>
        <w:rPr>
          <w:rFonts w:hint="default" w:ascii="Times New Roman" w:hAnsi="Times New Roman" w:eastAsia="黑体" w:cs="Times New Roman"/>
          <w:bCs/>
          <w:sz w:val="24"/>
          <w:szCs w:val="24"/>
        </w:rPr>
        <w:t>.1-7  施工期噪声预测结果表</w:t>
      </w:r>
    </w:p>
    <w:tbl>
      <w:tblPr>
        <w:tblStyle w:val="33"/>
        <w:tblW w:w="971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4"/>
        <w:gridCol w:w="607"/>
        <w:gridCol w:w="911"/>
        <w:gridCol w:w="910"/>
        <w:gridCol w:w="911"/>
        <w:gridCol w:w="910"/>
        <w:gridCol w:w="911"/>
        <w:gridCol w:w="910"/>
        <w:gridCol w:w="853"/>
        <w:gridCol w:w="834"/>
        <w:gridCol w:w="10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531" w:type="dxa"/>
            <w:gridSpan w:val="2"/>
            <w:vMerge w:val="restart"/>
            <w:tcBorders>
              <w:top w:val="single" w:color="auto" w:sz="12" w:space="0"/>
              <w:left w:val="nil"/>
              <w:bottom w:val="single" w:color="auto" w:sz="6" w:space="0"/>
              <w:right w:val="single" w:color="auto" w:sz="4" w:space="0"/>
            </w:tcBorders>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噪声源强值</w:t>
            </w:r>
          </w:p>
        </w:tc>
        <w:tc>
          <w:tcPr>
            <w:tcW w:w="911" w:type="dxa"/>
            <w:vMerge w:val="restart"/>
            <w:tcBorders>
              <w:top w:val="single" w:color="auto" w:sz="12" w:space="0"/>
              <w:left w:val="single" w:color="auto" w:sz="4" w:space="0"/>
              <w:bottom w:val="single" w:color="auto" w:sz="6" w:space="0"/>
            </w:tcBorders>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屏障削减后</w:t>
            </w:r>
          </w:p>
        </w:tc>
        <w:tc>
          <w:tcPr>
            <w:tcW w:w="6239" w:type="dxa"/>
            <w:gridSpan w:val="7"/>
            <w:tcBorders>
              <w:top w:val="single" w:color="auto" w:sz="12" w:space="0"/>
              <w:bottom w:val="single" w:color="auto" w:sz="6" w:space="0"/>
            </w:tcBorders>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预测距离（米）</w:t>
            </w:r>
          </w:p>
        </w:tc>
        <w:tc>
          <w:tcPr>
            <w:tcW w:w="1031" w:type="dxa"/>
            <w:vMerge w:val="restart"/>
            <w:tcBorders>
              <w:top w:val="single" w:color="auto" w:sz="12" w:space="0"/>
              <w:bottom w:val="single" w:color="auto" w:sz="6" w:space="0"/>
              <w:right w:val="nil"/>
            </w:tcBorders>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531" w:type="dxa"/>
            <w:gridSpan w:val="2"/>
            <w:vMerge w:val="continue"/>
            <w:tcBorders>
              <w:top w:val="single" w:color="auto" w:sz="6" w:space="0"/>
              <w:left w:val="nil"/>
              <w:bottom w:val="single" w:color="auto" w:sz="6" w:space="0"/>
              <w:right w:val="single" w:color="auto" w:sz="4" w:space="0"/>
            </w:tcBorders>
            <w:noWrap w:val="0"/>
            <w:vAlign w:val="center"/>
          </w:tcPr>
          <w:p>
            <w:pPr>
              <w:pStyle w:val="14"/>
              <w:jc w:val="center"/>
              <w:rPr>
                <w:rFonts w:hint="default" w:ascii="Times New Roman" w:hAnsi="Times New Roman" w:cs="Times New Roman"/>
                <w:sz w:val="21"/>
                <w:szCs w:val="21"/>
              </w:rPr>
            </w:pPr>
          </w:p>
        </w:tc>
        <w:tc>
          <w:tcPr>
            <w:tcW w:w="911" w:type="dxa"/>
            <w:vMerge w:val="continue"/>
            <w:tcBorders>
              <w:top w:val="single" w:color="auto" w:sz="6" w:space="0"/>
              <w:left w:val="single" w:color="auto" w:sz="4" w:space="0"/>
              <w:bottom w:val="single" w:color="auto" w:sz="6" w:space="0"/>
            </w:tcBorders>
            <w:noWrap w:val="0"/>
            <w:vAlign w:val="center"/>
          </w:tcPr>
          <w:p>
            <w:pPr>
              <w:pStyle w:val="14"/>
              <w:jc w:val="center"/>
              <w:rPr>
                <w:rFonts w:hint="default" w:ascii="Times New Roman" w:hAnsi="Times New Roman" w:cs="Times New Roman"/>
                <w:sz w:val="21"/>
                <w:szCs w:val="21"/>
              </w:rPr>
            </w:pPr>
          </w:p>
        </w:tc>
        <w:tc>
          <w:tcPr>
            <w:tcW w:w="910"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10</w:t>
            </w:r>
          </w:p>
        </w:tc>
        <w:tc>
          <w:tcPr>
            <w:tcW w:w="911"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20</w:t>
            </w:r>
          </w:p>
        </w:tc>
        <w:tc>
          <w:tcPr>
            <w:tcW w:w="910"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25</w:t>
            </w:r>
          </w:p>
        </w:tc>
        <w:tc>
          <w:tcPr>
            <w:tcW w:w="911"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50</w:t>
            </w:r>
          </w:p>
        </w:tc>
        <w:tc>
          <w:tcPr>
            <w:tcW w:w="910"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100</w:t>
            </w:r>
          </w:p>
        </w:tc>
        <w:tc>
          <w:tcPr>
            <w:tcW w:w="853"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150</w:t>
            </w:r>
          </w:p>
        </w:tc>
        <w:tc>
          <w:tcPr>
            <w:tcW w:w="834"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b/>
                <w:bCs/>
                <w:sz w:val="21"/>
                <w:szCs w:val="21"/>
              </w:rPr>
            </w:pPr>
            <w:r>
              <w:rPr>
                <w:rFonts w:hint="default" w:ascii="Times New Roman" w:hAnsi="Times New Roman" w:cs="Times New Roman"/>
                <w:b/>
                <w:bCs/>
                <w:sz w:val="21"/>
                <w:szCs w:val="21"/>
              </w:rPr>
              <w:t>200</w:t>
            </w:r>
          </w:p>
        </w:tc>
        <w:tc>
          <w:tcPr>
            <w:tcW w:w="1031" w:type="dxa"/>
            <w:vMerge w:val="continue"/>
            <w:tcBorders>
              <w:top w:val="single" w:color="auto" w:sz="6" w:space="0"/>
              <w:bottom w:val="single" w:color="auto" w:sz="6" w:space="0"/>
              <w:right w:val="nil"/>
            </w:tcBorders>
            <w:noWrap w:val="0"/>
            <w:vAlign w:val="center"/>
          </w:tcPr>
          <w:p>
            <w:pPr>
              <w:pStyle w:val="14"/>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924" w:type="dxa"/>
            <w:tcBorders>
              <w:top w:val="single" w:color="auto" w:sz="6" w:space="0"/>
              <w:left w:val="nil"/>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土石方</w:t>
            </w:r>
          </w:p>
        </w:tc>
        <w:tc>
          <w:tcPr>
            <w:tcW w:w="607" w:type="dxa"/>
            <w:tcBorders>
              <w:top w:val="single" w:color="auto" w:sz="6" w:space="0"/>
              <w:bottom w:val="single" w:color="auto" w:sz="6" w:space="0"/>
              <w:right w:val="single" w:color="auto" w:sz="4"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85</w:t>
            </w:r>
          </w:p>
        </w:tc>
        <w:tc>
          <w:tcPr>
            <w:tcW w:w="911" w:type="dxa"/>
            <w:tcBorders>
              <w:top w:val="single" w:color="auto" w:sz="6" w:space="0"/>
              <w:left w:val="single" w:color="auto" w:sz="4"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78</w:t>
            </w:r>
          </w:p>
        </w:tc>
        <w:tc>
          <w:tcPr>
            <w:tcW w:w="910"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58.0</w:t>
            </w:r>
          </w:p>
        </w:tc>
        <w:tc>
          <w:tcPr>
            <w:tcW w:w="911"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52.0</w:t>
            </w:r>
          </w:p>
        </w:tc>
        <w:tc>
          <w:tcPr>
            <w:tcW w:w="910"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c>
          <w:tcPr>
            <w:tcW w:w="911"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44.0</w:t>
            </w:r>
          </w:p>
        </w:tc>
        <w:tc>
          <w:tcPr>
            <w:tcW w:w="910"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38.0</w:t>
            </w:r>
          </w:p>
        </w:tc>
        <w:tc>
          <w:tcPr>
            <w:tcW w:w="853"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34.5</w:t>
            </w:r>
          </w:p>
        </w:tc>
        <w:tc>
          <w:tcPr>
            <w:tcW w:w="834"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32.0</w:t>
            </w:r>
          </w:p>
        </w:tc>
        <w:tc>
          <w:tcPr>
            <w:tcW w:w="1031" w:type="dxa"/>
            <w:vMerge w:val="restart"/>
            <w:tcBorders>
              <w:top w:val="single" w:color="auto" w:sz="6" w:space="0"/>
              <w:bottom w:val="single" w:color="auto" w:sz="6" w:space="0"/>
              <w:right w:val="nil"/>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以施工期最强噪声值预测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924" w:type="dxa"/>
            <w:tcBorders>
              <w:top w:val="single" w:color="auto" w:sz="6" w:space="0"/>
              <w:left w:val="nil"/>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结构</w:t>
            </w:r>
          </w:p>
        </w:tc>
        <w:tc>
          <w:tcPr>
            <w:tcW w:w="607" w:type="dxa"/>
            <w:tcBorders>
              <w:top w:val="single" w:color="auto" w:sz="6" w:space="0"/>
              <w:bottom w:val="single" w:color="auto" w:sz="6" w:space="0"/>
              <w:right w:val="single" w:color="auto" w:sz="4"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911" w:type="dxa"/>
            <w:tcBorders>
              <w:top w:val="single" w:color="auto" w:sz="6" w:space="0"/>
              <w:left w:val="single" w:color="auto" w:sz="4"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93</w:t>
            </w:r>
          </w:p>
        </w:tc>
        <w:tc>
          <w:tcPr>
            <w:tcW w:w="910"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73.0</w:t>
            </w:r>
          </w:p>
        </w:tc>
        <w:tc>
          <w:tcPr>
            <w:tcW w:w="911"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67.0</w:t>
            </w:r>
          </w:p>
        </w:tc>
        <w:tc>
          <w:tcPr>
            <w:tcW w:w="910"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65.0</w:t>
            </w:r>
          </w:p>
        </w:tc>
        <w:tc>
          <w:tcPr>
            <w:tcW w:w="911"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59.0</w:t>
            </w:r>
          </w:p>
        </w:tc>
        <w:tc>
          <w:tcPr>
            <w:tcW w:w="910"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53.0</w:t>
            </w:r>
          </w:p>
        </w:tc>
        <w:tc>
          <w:tcPr>
            <w:tcW w:w="853"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49.5</w:t>
            </w:r>
          </w:p>
        </w:tc>
        <w:tc>
          <w:tcPr>
            <w:tcW w:w="834" w:type="dxa"/>
            <w:tcBorders>
              <w:top w:val="single" w:color="auto" w:sz="6" w:space="0"/>
              <w:bottom w:val="single" w:color="auto" w:sz="6"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47.0</w:t>
            </w:r>
          </w:p>
        </w:tc>
        <w:tc>
          <w:tcPr>
            <w:tcW w:w="1031" w:type="dxa"/>
            <w:vMerge w:val="continue"/>
            <w:tcBorders>
              <w:top w:val="single" w:color="auto" w:sz="6" w:space="0"/>
              <w:bottom w:val="single" w:color="auto" w:sz="6" w:space="0"/>
              <w:right w:val="nil"/>
            </w:tcBorders>
            <w:noWrap w:val="0"/>
            <w:vAlign w:val="center"/>
          </w:tcPr>
          <w:p>
            <w:pPr>
              <w:pStyle w:val="14"/>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924" w:type="dxa"/>
            <w:tcBorders>
              <w:top w:val="single" w:color="auto" w:sz="6" w:space="0"/>
              <w:left w:val="nil"/>
              <w:bottom w:val="single" w:color="auto" w:sz="12"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装修</w:t>
            </w:r>
          </w:p>
        </w:tc>
        <w:tc>
          <w:tcPr>
            <w:tcW w:w="607" w:type="dxa"/>
            <w:tcBorders>
              <w:top w:val="single" w:color="auto" w:sz="6" w:space="0"/>
              <w:bottom w:val="single" w:color="auto" w:sz="12" w:space="0"/>
              <w:right w:val="single" w:color="auto" w:sz="4"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90</w:t>
            </w:r>
          </w:p>
        </w:tc>
        <w:tc>
          <w:tcPr>
            <w:tcW w:w="911" w:type="dxa"/>
            <w:tcBorders>
              <w:top w:val="single" w:color="auto" w:sz="6" w:space="0"/>
              <w:left w:val="single" w:color="auto" w:sz="4" w:space="0"/>
              <w:bottom w:val="single" w:color="auto" w:sz="12"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83</w:t>
            </w:r>
          </w:p>
        </w:tc>
        <w:tc>
          <w:tcPr>
            <w:tcW w:w="910" w:type="dxa"/>
            <w:tcBorders>
              <w:top w:val="single" w:color="auto" w:sz="6" w:space="0"/>
              <w:bottom w:val="single" w:color="auto" w:sz="12"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63.0</w:t>
            </w:r>
          </w:p>
        </w:tc>
        <w:tc>
          <w:tcPr>
            <w:tcW w:w="911" w:type="dxa"/>
            <w:tcBorders>
              <w:top w:val="single" w:color="auto" w:sz="6" w:space="0"/>
              <w:bottom w:val="single" w:color="auto" w:sz="12"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57.0</w:t>
            </w:r>
          </w:p>
        </w:tc>
        <w:tc>
          <w:tcPr>
            <w:tcW w:w="910" w:type="dxa"/>
            <w:tcBorders>
              <w:top w:val="single" w:color="auto" w:sz="6" w:space="0"/>
              <w:bottom w:val="single" w:color="auto" w:sz="12"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55.0</w:t>
            </w:r>
          </w:p>
        </w:tc>
        <w:tc>
          <w:tcPr>
            <w:tcW w:w="911" w:type="dxa"/>
            <w:tcBorders>
              <w:top w:val="single" w:color="auto" w:sz="6" w:space="0"/>
              <w:bottom w:val="single" w:color="auto" w:sz="12"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49.0</w:t>
            </w:r>
          </w:p>
        </w:tc>
        <w:tc>
          <w:tcPr>
            <w:tcW w:w="910" w:type="dxa"/>
            <w:tcBorders>
              <w:top w:val="single" w:color="auto" w:sz="6" w:space="0"/>
              <w:bottom w:val="single" w:color="auto" w:sz="12"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43.0</w:t>
            </w:r>
          </w:p>
        </w:tc>
        <w:tc>
          <w:tcPr>
            <w:tcW w:w="853" w:type="dxa"/>
            <w:tcBorders>
              <w:top w:val="single" w:color="auto" w:sz="6" w:space="0"/>
              <w:bottom w:val="single" w:color="auto" w:sz="12"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39.5</w:t>
            </w:r>
          </w:p>
        </w:tc>
        <w:tc>
          <w:tcPr>
            <w:tcW w:w="834" w:type="dxa"/>
            <w:tcBorders>
              <w:top w:val="single" w:color="auto" w:sz="6" w:space="0"/>
              <w:bottom w:val="single" w:color="auto" w:sz="12" w:space="0"/>
            </w:tcBorders>
            <w:noWrap w:val="0"/>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37.0</w:t>
            </w:r>
          </w:p>
        </w:tc>
        <w:tc>
          <w:tcPr>
            <w:tcW w:w="1031" w:type="dxa"/>
            <w:vMerge w:val="continue"/>
            <w:tcBorders>
              <w:top w:val="single" w:color="auto" w:sz="6" w:space="0"/>
              <w:bottom w:val="single" w:color="auto" w:sz="12" w:space="0"/>
              <w:right w:val="nil"/>
            </w:tcBorders>
            <w:noWrap w:val="0"/>
            <w:vAlign w:val="center"/>
          </w:tcPr>
          <w:p>
            <w:pPr>
              <w:pStyle w:val="14"/>
              <w:jc w:val="center"/>
              <w:rPr>
                <w:rFonts w:hint="default" w:ascii="Times New Roman" w:hAnsi="Times New Roman" w:cs="Times New Roman"/>
                <w:sz w:val="21"/>
                <w:szCs w:val="21"/>
              </w:rPr>
            </w:pPr>
          </w:p>
        </w:tc>
      </w:tr>
    </w:tbl>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考虑到施工场地噪声分布的不均匀性（施工场地噪声峰值的出现），按环境噪声2类标准衡量，由表</w:t>
      </w:r>
      <w:r>
        <w:rPr>
          <w:rFonts w:hint="default" w:ascii="Times New Roman" w:hAnsi="Times New Roman" w:cs="Times New Roman"/>
          <w:color w:val="000000"/>
          <w:lang w:val="en-US" w:eastAsia="zh-CN"/>
        </w:rPr>
        <w:t>5.1</w:t>
      </w:r>
      <w:r>
        <w:rPr>
          <w:rFonts w:hint="default" w:ascii="Times New Roman" w:hAnsi="Times New Roman" w:cs="Times New Roman"/>
          <w:color w:val="000000"/>
        </w:rPr>
        <w:t>-</w:t>
      </w:r>
      <w:r>
        <w:rPr>
          <w:rFonts w:hint="default" w:ascii="Times New Roman" w:hAnsi="Times New Roman" w:cs="Times New Roman"/>
          <w:color w:val="000000"/>
          <w:lang w:val="en-US" w:eastAsia="zh-CN"/>
        </w:rPr>
        <w:t>7</w:t>
      </w:r>
      <w:r>
        <w:rPr>
          <w:rFonts w:hint="default" w:ascii="Times New Roman" w:hAnsi="Times New Roman" w:cs="Times New Roman"/>
          <w:color w:val="000000"/>
        </w:rPr>
        <w:t>中的计算结果可知，施工期间产生的施工噪声昼间将对</w:t>
      </w:r>
      <w:r>
        <w:rPr>
          <w:rFonts w:hint="default" w:ascii="Times New Roman" w:hAnsi="Times New Roman" w:cs="Times New Roman"/>
          <w:color w:val="000000"/>
          <w:lang w:val="en-US" w:eastAsia="zh-CN"/>
        </w:rPr>
        <w:t>50</w:t>
      </w:r>
      <w:r>
        <w:rPr>
          <w:rFonts w:hint="default" w:ascii="Times New Roman" w:hAnsi="Times New Roman" w:cs="Times New Roman"/>
          <w:color w:val="000000"/>
        </w:rPr>
        <w:t>米范围内，夜间将对150米范围内造成噪声污染。</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由外环境关系图可知，东</w:t>
      </w:r>
      <w:r>
        <w:rPr>
          <w:rFonts w:hint="default" w:ascii="Times New Roman" w:hAnsi="Times New Roman" w:cs="Times New Roman"/>
          <w:color w:val="000000"/>
          <w:lang w:eastAsia="zh-CN"/>
        </w:rPr>
        <w:t>南</w:t>
      </w:r>
      <w:r>
        <w:rPr>
          <w:rFonts w:hint="default" w:ascii="Times New Roman" w:hAnsi="Times New Roman" w:cs="Times New Roman"/>
          <w:color w:val="000000"/>
        </w:rPr>
        <w:t>面</w:t>
      </w:r>
      <w:r>
        <w:rPr>
          <w:rFonts w:hint="default" w:ascii="Times New Roman" w:hAnsi="Times New Roman" w:cs="Times New Roman"/>
          <w:color w:val="000000"/>
          <w:lang w:val="en-US" w:eastAsia="zh-CN"/>
        </w:rPr>
        <w:t>128</w:t>
      </w:r>
      <w:r>
        <w:rPr>
          <w:rFonts w:hint="default" w:ascii="Times New Roman" w:hAnsi="Times New Roman" w:cs="Times New Roman"/>
          <w:color w:val="000000"/>
        </w:rPr>
        <w:t>m处分布有住户，</w:t>
      </w:r>
      <w:r>
        <w:rPr>
          <w:rFonts w:hint="default" w:ascii="Times New Roman" w:hAnsi="Times New Roman" w:cs="Times New Roman"/>
          <w:color w:val="000000"/>
          <w:lang w:eastAsia="zh-CN"/>
        </w:rPr>
        <w:t>西</w:t>
      </w:r>
      <w:r>
        <w:rPr>
          <w:rFonts w:hint="default" w:ascii="Times New Roman" w:hAnsi="Times New Roman" w:cs="Times New Roman"/>
          <w:color w:val="000000"/>
        </w:rPr>
        <w:t>面</w:t>
      </w:r>
      <w:r>
        <w:rPr>
          <w:rFonts w:hint="default" w:ascii="Times New Roman" w:hAnsi="Times New Roman" w:cs="Times New Roman"/>
          <w:color w:val="000000"/>
          <w:lang w:val="en-US" w:eastAsia="zh-CN"/>
        </w:rPr>
        <w:t>139</w:t>
      </w:r>
      <w:r>
        <w:rPr>
          <w:rFonts w:hint="default" w:ascii="Times New Roman" w:hAnsi="Times New Roman" w:cs="Times New Roman"/>
          <w:color w:val="000000"/>
        </w:rPr>
        <w:t xml:space="preserve">m分布有住户。为保护区域内环境质量，评价要求施工期间采取如下降噪措施： </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1）施工时采用降噪作业方式：施工机械选型时尽量选用可替代的低噪声的设备，对动力机械设备进行定期的维修、养护，避免设备因松动部件的振动或消声器的损坏而增加其工作时的声压级；设备用完后或不用时应立即关闭。</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 xml:space="preserve">（2）合理布置施工总平面布置图，为降低施工噪声对外界的影响，项目方应将产生高噪声的作业点置于各区施工地块的中央位置，以有效利用施工场区的距离衰减作用。 </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3）合理安排施工时间：将倾倒石料等强噪声作业尽量安排在白天进行，严禁夜间施工，杜绝夜间（22：00－6：00）施工噪声扰民；若工艺要求夜间必须进行连续作业的强噪声施工，根据《中华人民共和国环境噪声污染防治法》，建设单位必须有县级以上人民政府或者其有关主管部门的证明，在取得夜间施工许可证后应对周边居民进行公示，方可进行。</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（4）商混输送泵降噪：使用商品混凝土，避免搅拌机和砂石料下料、进料时噪声的影响。商混输送泵地面铺设木板，四周打围进行作业。</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（5）施工场地的施工车辆出入车辆出入现场应低速、禁鸣，车辆对所经沿线道路两侧100m范围内有一定影响，应予以重视。</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（6）材料装卸采用人工传递，装卸、搬运钢管、模板等严禁抛掷；木工房使用前应完全封闭；在室内施工时关闭窗户；在建设地块四周建设施工围墙，以阻隔噪声。</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（7）采用商品混凝土和成品窗；大型建筑构件，应在施工现场外预制，然后运到施工现场再行安装。</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8）文明施工：最大限度地降低人为噪声：不要采取噪声较大的钢模板作业方式；指挥塔吊时尽量使用信号旗，避免使用哨子等；在操作中尽量避免敲打砼导管；搬卸物品应轻放，施工工具不要乱扔、远扔；木工房使用前应完全封闭；运输车辆进出施工现场控制或禁止鸣喇叭，减少交通噪声。</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综上，通过合理布置施工场地，加强防护措施，合理安排施工时间，对周边环境影响较小。加之本项目与附近住户之间相隔天然屏障山体林地，可有效阻隔噪声。同时施工期噪声是暂时的，会随着施工的结束而停止 ，环评要求优化施工工艺，尽量缩短施工时间，进一步减小本项目施工期对周边敏感点的影响。</w:t>
      </w:r>
    </w:p>
    <w:p>
      <w:pPr>
        <w:adjustRightInd/>
        <w:snapToGrid/>
        <w:spacing w:before="0" w:after="0" w:line="360" w:lineRule="auto"/>
        <w:ind w:left="0" w:leftChars="0" w:right="0" w:rightChars="0"/>
        <w:jc w:val="left"/>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lang w:eastAsia="zh-CN"/>
        </w:rPr>
        <w:t>）中、高考禁噪</w:t>
      </w:r>
    </w:p>
    <w:p>
      <w:pPr>
        <w:spacing w:line="360" w:lineRule="auto"/>
        <w:rPr>
          <w:rFonts w:hint="default" w:ascii="Times New Roman" w:hAnsi="Times New Roman" w:eastAsia="宋体" w:cs="Times New Roman"/>
          <w:color w:val="000000"/>
          <w:kern w:val="2"/>
          <w:sz w:val="24"/>
          <w:szCs w:val="21"/>
          <w:lang w:val="en-US" w:eastAsia="zh-CN" w:bidi="ar-SA"/>
        </w:rPr>
      </w:pPr>
      <w:r>
        <w:rPr>
          <w:rFonts w:hint="default" w:ascii="Times New Roman" w:hAnsi="Times New Roman" w:cs="Times New Roman"/>
        </w:rPr>
        <w:t xml:space="preserve">   </w:t>
      </w:r>
      <w:r>
        <w:rPr>
          <w:rFonts w:hint="default" w:ascii="Times New Roman" w:hAnsi="Times New Roman" w:eastAsia="宋体" w:cs="Times New Roman"/>
          <w:color w:val="000000"/>
          <w:kern w:val="2"/>
          <w:sz w:val="24"/>
          <w:szCs w:val="21"/>
          <w:lang w:val="en-US" w:eastAsia="zh-CN" w:bidi="ar-SA"/>
        </w:rPr>
        <w:t xml:space="preserve"> 项目施工时间为1年，施工时间段包含中、高考时间段。根据《中华人民共和国环境噪声污染防治法》和四川省人民政府办公厅《关于在中、高考期间加强噪声污染监督管理工作的通知》（川办函〔2001〕90号文件精神，中、高考期间禁止进行产生噪声污染的建设施工。因此，项目应根据相关要求严格遵守中、高考禁噪要求，为中、高考创造一个良好的环境。</w:t>
      </w:r>
    </w:p>
    <w:p>
      <w:pPr>
        <w:pStyle w:val="5"/>
        <w:spacing w:before="0" w:after="0" w:line="360" w:lineRule="auto"/>
        <w:ind w:firstLine="478" w:firstLineChars="200"/>
        <w:rPr>
          <w:rFonts w:hint="default" w:ascii="Times New Roman" w:hAnsi="Times New Roman" w:cs="Times New Roman"/>
          <w:bCs w:val="0"/>
          <w:color w:val="000000"/>
          <w:spacing w:val="-1"/>
          <w:sz w:val="24"/>
          <w:szCs w:val="24"/>
        </w:rPr>
      </w:pPr>
      <w:r>
        <w:rPr>
          <w:rFonts w:hint="default" w:ascii="Times New Roman" w:hAnsi="Times New Roman" w:cs="Times New Roman"/>
          <w:bCs w:val="0"/>
          <w:color w:val="000000"/>
          <w:spacing w:val="-1"/>
          <w:sz w:val="24"/>
          <w:szCs w:val="24"/>
        </w:rPr>
        <w:t>5.1.5 施工期固体废物环境影响分析</w:t>
      </w:r>
      <w:bookmarkEnd w:id="241"/>
      <w:bookmarkEnd w:id="242"/>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color w:val="000000"/>
          <w:kern w:val="2"/>
          <w:sz w:val="24"/>
          <w:szCs w:val="21"/>
          <w:lang w:val="en-US" w:eastAsia="zh-CN" w:bidi="ar-SA"/>
        </w:rPr>
      </w:pPr>
      <w:bookmarkStart w:id="243" w:name="_Toc500840326"/>
      <w:bookmarkStart w:id="244" w:name="_Toc489290424"/>
      <w:r>
        <w:rPr>
          <w:rFonts w:hint="default" w:ascii="Times New Roman" w:hAnsi="Times New Roman" w:eastAsia="宋体" w:cs="Times New Roman"/>
          <w:b/>
          <w:bCs/>
          <w:color w:val="000000"/>
          <w:kern w:val="2"/>
          <w:sz w:val="24"/>
          <w:szCs w:val="21"/>
          <w:lang w:val="en-US" w:eastAsia="zh-CN" w:bidi="ar-SA"/>
        </w:rPr>
        <w:t>土石方：</w:t>
      </w:r>
      <w:r>
        <w:rPr>
          <w:rFonts w:hint="default" w:ascii="Times New Roman" w:hAnsi="Times New Roman" w:eastAsia="宋体" w:cs="Times New Roman"/>
          <w:color w:val="000000"/>
          <w:kern w:val="2"/>
          <w:sz w:val="24"/>
          <w:szCs w:val="21"/>
          <w:lang w:val="en-US" w:eastAsia="zh-CN" w:bidi="ar-SA"/>
        </w:rPr>
        <w:t>施工时，将进行场地平整、地基开挖，本项目所在地地势不平，根据业主介绍所开挖的土石方全部用于填方和场地平整，使地势平坦，无弃方外运。评价要求开挖临时堆存的土方应做好相应的防风、防雨措施。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color w:val="000000"/>
          <w:kern w:val="2"/>
          <w:sz w:val="24"/>
          <w:szCs w:val="21"/>
          <w:lang w:val="en-US" w:eastAsia="zh-CN" w:bidi="ar-SA"/>
        </w:rPr>
      </w:pPr>
      <w:r>
        <w:rPr>
          <w:rFonts w:hint="default" w:ascii="Times New Roman" w:hAnsi="Times New Roman" w:eastAsia="宋体" w:cs="Times New Roman"/>
          <w:b/>
          <w:bCs/>
          <w:color w:val="000000"/>
          <w:kern w:val="2"/>
          <w:sz w:val="24"/>
          <w:szCs w:val="21"/>
          <w:lang w:val="en-US" w:eastAsia="zh-CN" w:bidi="ar-SA"/>
        </w:rPr>
        <w:t>建筑垃圾：</w:t>
      </w:r>
      <w:r>
        <w:rPr>
          <w:rFonts w:hint="default" w:ascii="Times New Roman" w:hAnsi="Times New Roman" w:eastAsia="宋体" w:cs="Times New Roman"/>
          <w:color w:val="000000"/>
          <w:kern w:val="2"/>
          <w:sz w:val="24"/>
          <w:szCs w:val="21"/>
          <w:lang w:val="en-US" w:eastAsia="zh-CN" w:bidi="ar-SA"/>
        </w:rPr>
        <w:t>项目施工过程中产生的建筑垃圾(如铁质弃料、木材弃料等)，在施工现场设置临时建筑废物堆放场并进行加盖处理。施工期产生的废料首先考虑回收利用，对不能回收的建筑垃圾，如混凝土废料、含砖、石、砂的杂土等，集中堆放，定时清运到指定建渣堆放场。为确保废弃物处置措施落实，建设单位或施工总承包单位在与建筑垃圾清运公司签订清运合同时，应要求承包公司提供废弃物去向的证明材料，严禁随意倾倒。</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color w:val="000000"/>
          <w:kern w:val="2"/>
          <w:sz w:val="24"/>
          <w:szCs w:val="21"/>
          <w:lang w:val="en-US" w:eastAsia="zh-CN" w:bidi="ar-SA"/>
        </w:rPr>
      </w:pPr>
      <w:r>
        <w:rPr>
          <w:rFonts w:hint="default" w:ascii="Times New Roman" w:hAnsi="Times New Roman" w:eastAsia="宋体" w:cs="Times New Roman"/>
          <w:b/>
          <w:bCs/>
          <w:color w:val="000000"/>
          <w:kern w:val="2"/>
          <w:sz w:val="24"/>
          <w:szCs w:val="21"/>
          <w:lang w:val="en-US" w:eastAsia="zh-CN" w:bidi="ar-SA"/>
        </w:rPr>
        <w:t>装修垃圾：</w:t>
      </w:r>
      <w:r>
        <w:rPr>
          <w:rFonts w:hint="default" w:ascii="Times New Roman" w:hAnsi="Times New Roman" w:eastAsia="宋体" w:cs="Times New Roman"/>
          <w:color w:val="000000"/>
          <w:kern w:val="2"/>
          <w:sz w:val="24"/>
          <w:szCs w:val="21"/>
          <w:lang w:val="en-US" w:eastAsia="zh-CN" w:bidi="ar-SA"/>
        </w:rPr>
        <w:t>装修垃圾一般有废砖头、砂、水泥及木屑等，会产生扬尘，因此不能随意倾倒，而应用编织袋包装后运出屋外，放在指定地点，由环卫部门统一清运处理。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color w:val="000000"/>
          <w:kern w:val="2"/>
          <w:sz w:val="24"/>
          <w:szCs w:val="21"/>
          <w:lang w:val="en-US" w:eastAsia="zh-CN" w:bidi="ar-SA"/>
        </w:rPr>
      </w:pPr>
      <w:r>
        <w:rPr>
          <w:rFonts w:hint="default" w:ascii="Times New Roman" w:hAnsi="Times New Roman" w:eastAsia="宋体" w:cs="Times New Roman"/>
          <w:b/>
          <w:bCs/>
          <w:color w:val="000000"/>
          <w:kern w:val="2"/>
          <w:sz w:val="24"/>
          <w:szCs w:val="21"/>
          <w:lang w:val="en-US" w:eastAsia="zh-CN" w:bidi="ar-SA"/>
        </w:rPr>
        <w:t>生活垃圾：</w:t>
      </w:r>
      <w:r>
        <w:rPr>
          <w:rFonts w:hint="default" w:ascii="Times New Roman" w:hAnsi="Times New Roman" w:eastAsia="宋体" w:cs="Times New Roman"/>
          <w:color w:val="000000"/>
          <w:kern w:val="2"/>
          <w:sz w:val="24"/>
          <w:szCs w:val="21"/>
          <w:lang w:val="en-US" w:eastAsia="zh-CN" w:bidi="ar-SA"/>
        </w:rPr>
        <w:t>施工人员每日产生的生活垃圾经过垃圾桶收集后，送入项目附近生活垃圾收集点内堆放，最终由环卫部门统一清运处理，不会对环境空气和水环境质量构成潜在的影响因素。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000000"/>
          <w:kern w:val="2"/>
          <w:sz w:val="24"/>
          <w:szCs w:val="21"/>
          <w:lang w:val="en-US" w:eastAsia="zh-CN" w:bidi="ar-SA"/>
        </w:rPr>
      </w:pPr>
      <w:r>
        <w:rPr>
          <w:rFonts w:hint="default" w:ascii="Times New Roman" w:hAnsi="Times New Roman" w:eastAsia="宋体" w:cs="Times New Roman"/>
          <w:b/>
          <w:bCs/>
          <w:color w:val="000000"/>
          <w:kern w:val="2"/>
          <w:sz w:val="24"/>
          <w:szCs w:val="21"/>
          <w:lang w:val="en-US" w:eastAsia="zh-CN" w:bidi="ar-SA"/>
        </w:rPr>
        <w:t>外运以上各种建筑垃圾及装修垃圾时，运输车辆不许超载，出场前一律清洗轮胎，用毡布覆盖，尽量避免轮胎上的泥土掉落至路面而造成扬尘。综上所述，采取以上措施后，项目施工期间产生的固体废弃物均能得到清洁处理和处置，施工期产生的固废对周围环境的影响较小。</w:t>
      </w:r>
    </w:p>
    <w:p>
      <w:pPr>
        <w:pStyle w:val="5"/>
        <w:spacing w:before="0" w:after="0" w:line="360" w:lineRule="auto"/>
        <w:ind w:firstLine="478" w:firstLineChars="200"/>
        <w:rPr>
          <w:rFonts w:hint="default" w:ascii="Times New Roman" w:hAnsi="Times New Roman" w:cs="Times New Roman"/>
          <w:bCs w:val="0"/>
          <w:color w:val="000000"/>
          <w:spacing w:val="-1"/>
          <w:sz w:val="24"/>
          <w:szCs w:val="24"/>
        </w:rPr>
      </w:pPr>
      <w:r>
        <w:rPr>
          <w:rFonts w:hint="default" w:ascii="Times New Roman" w:hAnsi="Times New Roman" w:cs="Times New Roman"/>
          <w:bCs w:val="0"/>
          <w:color w:val="000000"/>
          <w:spacing w:val="-1"/>
          <w:sz w:val="24"/>
          <w:szCs w:val="24"/>
        </w:rPr>
        <w:t>5.1.6 施工期生态影响分析</w:t>
      </w:r>
      <w:bookmarkEnd w:id="243"/>
      <w:bookmarkEnd w:id="244"/>
    </w:p>
    <w:p>
      <w:pPr>
        <w:spacing w:line="360" w:lineRule="auto"/>
        <w:ind w:firstLine="482" w:firstLineChars="200"/>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 xml:space="preserve">（1）植被破坏 </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根据现场勘查，本项目场地较为空旷，项目范围内不存在珍稀保护动物，基本没有亚热带常绿阔叶林树种，无列入各级政府管理、保护的古树名木。项目建设完成后，自然林地被厂区取代，从而对原有自然植被造成一定程度的破坏，施工单位对项目施工初期剥离的表土设置了专门的场地进行堆放，待项目建设完成后及时将表土用于场地绿化覆土，并保证最大绿化率，最大程度恢复被破坏的植被。因此，项目建成后，通过绿化恢复，对植被影响较小。</w:t>
      </w:r>
    </w:p>
    <w:p>
      <w:pPr>
        <w:spacing w:line="360" w:lineRule="auto"/>
        <w:ind w:firstLine="482" w:firstLineChars="200"/>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 xml:space="preserve">（2）对动物资源的影响 </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项目所在地无珍稀保护动物。主要野生动物为蛇类等爬行动物，鼠类等小型啮齿类动物及麻雀等小型鸟类动物。故项目建设对当地动物资源的影响不明显。</w:t>
      </w:r>
    </w:p>
    <w:p>
      <w:pPr>
        <w:spacing w:line="360" w:lineRule="auto"/>
        <w:ind w:firstLine="482" w:firstLineChars="200"/>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 xml:space="preserve">（3）水土流失 </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本项目可能造成水土流失的主要因素为基础工程中土石方的开挖、回填及土石方的临时堆放。为最大程度防止水土流失， 施工单位应采取如下措施：</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①充分考虑降雨的季节性变化，合理安排工期，尽量避免雨季施工；</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②优化工程挖方和填方，尽量保持原有的地形地貌，减少土石方开挖量；</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③施工过程中，土石方随挖随运，随填随压，尽量不留松土石；</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④土石方临时堆场应尽量远离周围（尤其是下风向）环境敏感点，并对临时堆放的土石方采取培实、碾压、使用毡布覆盖，并在土堆周围设挡土墙及排水设施等；</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 5 \* GB3 </w:instrText>
      </w:r>
      <w:r>
        <w:rPr>
          <w:rFonts w:hint="default" w:ascii="Times New Roman" w:hAnsi="Times New Roman" w:cs="Times New Roman"/>
          <w:color w:val="000000"/>
        </w:rPr>
        <w:fldChar w:fldCharType="separate"/>
      </w:r>
      <w:r>
        <w:rPr>
          <w:rFonts w:hint="default" w:ascii="Times New Roman" w:hAnsi="Times New Roman" w:cs="Times New Roman"/>
          <w:color w:val="000000"/>
        </w:rPr>
        <w:t>⑤</w:t>
      </w:r>
      <w:r>
        <w:rPr>
          <w:rFonts w:hint="default" w:ascii="Times New Roman" w:hAnsi="Times New Roman" w:cs="Times New Roman"/>
          <w:color w:val="000000"/>
        </w:rPr>
        <w:fldChar w:fldCharType="end"/>
      </w:r>
      <w:r>
        <w:rPr>
          <w:rFonts w:hint="default" w:ascii="Times New Roman" w:hAnsi="Times New Roman" w:cs="Times New Roman"/>
          <w:color w:val="000000"/>
        </w:rPr>
        <w:t>施工场地和临时堆放场内应设置专门的雨水导流渠，将雨水引导到沉淀池经过沉淀后回用或排放，防止因雨水冲刷造成水土流失。</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 6 \* GB3 </w:instrText>
      </w:r>
      <w:r>
        <w:rPr>
          <w:rFonts w:hint="default" w:ascii="Times New Roman" w:hAnsi="Times New Roman" w:cs="Times New Roman"/>
          <w:color w:val="000000"/>
        </w:rPr>
        <w:fldChar w:fldCharType="separate"/>
      </w:r>
      <w:r>
        <w:rPr>
          <w:rFonts w:hint="default" w:ascii="Times New Roman" w:hAnsi="Times New Roman" w:cs="Times New Roman"/>
          <w:color w:val="000000"/>
        </w:rPr>
        <w:t>⑥</w:t>
      </w:r>
      <w:r>
        <w:rPr>
          <w:rFonts w:hint="default" w:ascii="Times New Roman" w:hAnsi="Times New Roman" w:cs="Times New Roman"/>
          <w:color w:val="000000"/>
        </w:rPr>
        <w:fldChar w:fldCharType="end"/>
      </w:r>
      <w:r>
        <w:rPr>
          <w:rFonts w:hint="default" w:ascii="Times New Roman" w:hAnsi="Times New Roman" w:cs="Times New Roman"/>
          <w:color w:val="000000"/>
        </w:rPr>
        <w:t>优化施工工序，缩短材料堆放时间。</w:t>
      </w:r>
    </w:p>
    <w:p>
      <w:pPr>
        <w:pStyle w:val="62"/>
        <w:ind w:firstLine="425"/>
        <w:jc w:val="both"/>
        <w:rPr>
          <w:rFonts w:hint="default" w:ascii="Times New Roman" w:hAnsi="Times New Roman" w:cs="Times New Roman"/>
          <w:color w:val="000000"/>
        </w:rPr>
      </w:pPr>
      <w:r>
        <w:rPr>
          <w:rFonts w:hint="default" w:ascii="Times New Roman" w:hAnsi="Times New Roman" w:cs="Times New Roman"/>
          <w:color w:val="000000"/>
        </w:rPr>
        <w:t>总之，项目施工期属局部生态环境破坏，水土流失为少量，造成的生态影响属局部、暂时、可逆转的生态影响，经采取上述生态保护措施后，项目建设对当地生态环境的影响很小。</w:t>
      </w:r>
      <w:bookmarkStart w:id="245" w:name="_Toc24806"/>
      <w:bookmarkStart w:id="246" w:name="_Toc30265"/>
    </w:p>
    <w:p>
      <w:pPr>
        <w:pStyle w:val="62"/>
        <w:ind w:firstLine="0" w:firstLineChars="0"/>
        <w:jc w:val="both"/>
        <w:outlineLvl w:val="1"/>
        <w:rPr>
          <w:rFonts w:hint="default" w:ascii="Times New Roman" w:hAnsi="Times New Roman" w:cs="Times New Roman"/>
          <w:b/>
          <w:bCs/>
          <w:sz w:val="28"/>
          <w:szCs w:val="28"/>
        </w:rPr>
      </w:pPr>
      <w:bookmarkStart w:id="247" w:name="_Toc1234"/>
      <w:r>
        <w:rPr>
          <w:rFonts w:hint="default" w:ascii="Times New Roman" w:hAnsi="Times New Roman" w:cs="Times New Roman"/>
          <w:b/>
          <w:bCs/>
          <w:sz w:val="28"/>
          <w:szCs w:val="28"/>
        </w:rPr>
        <w:t>5.2  运营期环境影响分析</w:t>
      </w:r>
      <w:bookmarkEnd w:id="245"/>
      <w:bookmarkEnd w:id="246"/>
      <w:bookmarkEnd w:id="247"/>
    </w:p>
    <w:p>
      <w:pPr>
        <w:pStyle w:val="5"/>
        <w:spacing w:before="0" w:after="0" w:line="360" w:lineRule="auto"/>
        <w:ind w:firstLine="482" w:firstLineChars="200"/>
        <w:jc w:val="left"/>
        <w:rPr>
          <w:rFonts w:hint="default" w:ascii="Times New Roman" w:hAnsi="Times New Roman" w:cs="Times New Roman"/>
          <w:sz w:val="24"/>
          <w:szCs w:val="24"/>
        </w:rPr>
      </w:pPr>
      <w:bookmarkStart w:id="248" w:name="_Toc20606"/>
      <w:r>
        <w:rPr>
          <w:rFonts w:hint="default" w:ascii="Times New Roman" w:hAnsi="Times New Roman" w:cs="Times New Roman"/>
          <w:sz w:val="24"/>
          <w:szCs w:val="24"/>
        </w:rPr>
        <w:t>5.2.1 大气环境影响分析</w:t>
      </w:r>
      <w:bookmarkEnd w:id="248"/>
    </w:p>
    <w:p>
      <w:pPr>
        <w:pStyle w:val="6"/>
        <w:pBdr>
          <w:top w:val="none" w:color="auto" w:sz="0" w:space="1"/>
          <w:left w:val="none" w:color="auto" w:sz="0" w:space="4"/>
          <w:bottom w:val="none" w:color="auto" w:sz="0" w:space="1"/>
          <w:right w:val="none" w:color="auto" w:sz="0" w:space="4"/>
        </w:pBdr>
        <w:spacing w:before="0" w:after="0" w:line="360" w:lineRule="auto"/>
        <w:ind w:firstLine="482" w:firstLineChars="200"/>
        <w:jc w:val="left"/>
        <w:rPr>
          <w:rFonts w:hint="default" w:ascii="Times New Roman" w:hAnsi="Times New Roman" w:cs="Times New Roman"/>
          <w:sz w:val="24"/>
          <w:szCs w:val="24"/>
        </w:rPr>
      </w:pPr>
      <w:r>
        <w:rPr>
          <w:rFonts w:hint="default" w:ascii="Times New Roman" w:hAnsi="Times New Roman" w:cs="Times New Roman"/>
          <w:sz w:val="24"/>
          <w:szCs w:val="24"/>
        </w:rPr>
        <w:t>1、污染物影响</w:t>
      </w:r>
    </w:p>
    <w:p>
      <w:pPr>
        <w:keepNext/>
        <w:keepLines/>
        <w:pBdr>
          <w:top w:val="none" w:color="auto" w:sz="0" w:space="1"/>
          <w:left w:val="none" w:color="auto" w:sz="0" w:space="4"/>
          <w:bottom w:val="none" w:color="auto" w:sz="0" w:space="1"/>
          <w:right w:val="none" w:color="auto" w:sz="0" w:space="4"/>
        </w:pBd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本项目大气污染来源于养殖过程中产生的恶臭、食堂餐饮油烟及燃料燃烧废气、备用发电机废气。其中主要大气污染物为养殖过程中产生的恶臭。</w:t>
      </w:r>
    </w:p>
    <w:p>
      <w:pPr>
        <w:pStyle w:val="6"/>
        <w:pBdr>
          <w:top w:val="none" w:color="auto" w:sz="0" w:space="1"/>
          <w:left w:val="none" w:color="auto" w:sz="0" w:space="4"/>
          <w:bottom w:val="none" w:color="auto" w:sz="0" w:space="1"/>
          <w:right w:val="none" w:color="auto" w:sz="0" w:space="4"/>
        </w:pBdr>
        <w:spacing w:before="0" w:after="0" w:line="360" w:lineRule="auto"/>
        <w:ind w:firstLine="482" w:firstLineChars="200"/>
        <w:jc w:val="left"/>
        <w:rPr>
          <w:rFonts w:hint="default" w:ascii="Times New Roman" w:hAnsi="Times New Roman" w:cs="Times New Roman"/>
          <w:sz w:val="24"/>
          <w:szCs w:val="24"/>
        </w:rPr>
      </w:pPr>
      <w:r>
        <w:rPr>
          <w:rFonts w:hint="default" w:ascii="Times New Roman" w:hAnsi="Times New Roman" w:cs="Times New Roman"/>
          <w:sz w:val="24"/>
          <w:szCs w:val="24"/>
        </w:rPr>
        <w:t>（1）恶臭</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本项目恶臭主要来源于猪舍及污水处理设施。根据文献报道，猪粪便及污泥臭气成份主要是有机物中硫和氮生成的硫化氢（H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S）、氨（NH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）等恶臭物质，刺激人的嗅觉器官，引起人的厌恶或不愉快。气味大小与臭气在空气中的浓度有关。H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S为无色气体，有恶臭和毒性，具有臭鸡蛋腐败气味，其嗅觉阈值（正常人免强可感到臭味的浓度）为0.0005ppm（0.00065mg/m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为无色气体，有强烈的刺激气味，嗅觉阈值是0.037ppm。</w:t>
      </w:r>
    </w:p>
    <w:p>
      <w:pPr>
        <w:adjustRightInd w:val="0"/>
        <w:snapToGrid w:val="0"/>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恶臭强度分类详见表5.2-1。</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表5.2-1   恶臭强度分类</w:t>
      </w:r>
    </w:p>
    <w:tbl>
      <w:tblPr>
        <w:tblStyle w:val="33"/>
        <w:tblW w:w="97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9"/>
        <w:gridCol w:w="6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2729" w:type="dxa"/>
            <w:tcBorders>
              <w:top w:val="single" w:color="auto" w:sz="12" w:space="0"/>
              <w:left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恶臭强度级别</w:t>
            </w:r>
          </w:p>
        </w:tc>
        <w:tc>
          <w:tcPr>
            <w:tcW w:w="6983" w:type="dxa"/>
            <w:tcBorders>
              <w:top w:val="single" w:color="auto" w:sz="12" w:space="0"/>
              <w:right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嗅觉对臭气的反应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2729" w:type="dxa"/>
            <w:tcBorders>
              <w:left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6983" w:type="dxa"/>
            <w:tcBorders>
              <w:right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未闻到任何气味，无任何反映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2729" w:type="dxa"/>
            <w:tcBorders>
              <w:left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6983" w:type="dxa"/>
            <w:tcBorders>
              <w:right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勉强闻到有气味，易辨认臭气性质（感觉阈值），感到无所谓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2729" w:type="dxa"/>
            <w:tcBorders>
              <w:left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6983" w:type="dxa"/>
            <w:tcBorders>
              <w:right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能闻到有较弱的气味，能辨认气味性质（识别阈值）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2729" w:type="dxa"/>
            <w:tcBorders>
              <w:left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6983" w:type="dxa"/>
            <w:tcBorders>
              <w:right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很容易闻到气味，有所不快，但不反感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2729" w:type="dxa"/>
            <w:tcBorders>
              <w:left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5</w:t>
            </w:r>
          </w:p>
        </w:tc>
        <w:tc>
          <w:tcPr>
            <w:tcW w:w="6983" w:type="dxa"/>
            <w:tcBorders>
              <w:right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有很强的气味，很反感，想离开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2729" w:type="dxa"/>
            <w:tcBorders>
              <w:left w:val="nil"/>
              <w:bottom w:val="single" w:color="auto" w:sz="12"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w:t>
            </w:r>
          </w:p>
        </w:tc>
        <w:tc>
          <w:tcPr>
            <w:tcW w:w="6983" w:type="dxa"/>
            <w:tcBorders>
              <w:bottom w:val="single" w:color="auto" w:sz="12" w:space="0"/>
              <w:right w:val="nil"/>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有极强的气味，无法忍受，立即离开</w:t>
            </w:r>
          </w:p>
        </w:tc>
      </w:tr>
    </w:tbl>
    <w:p>
      <w:pPr>
        <w:adjustRightInd w:val="0"/>
        <w:snapToGrid w:val="0"/>
        <w:spacing w:before="240"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恶臭气体浓度对人体的影响大致可以分为四种情况：</w:t>
      </w:r>
    </w:p>
    <w:p>
      <w:pPr>
        <w:adjustRightInd w:val="0"/>
        <w:snapToGrid w:val="0"/>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①不产生直接或间接的影响；</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②恶臭气体的浓度已对植物产生危害，则将影响人的眼睛，使其视力下降；</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③对人的中枢神经产生障碍和病变，并引起慢性病及缩短生命。</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④引发急性病，并有可能引起死亡。</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恶臭气体污染对人体的影响一般仅停留在①、②的水平浓度上。当然，如果发生大规模恶臭污染事件，会使恶臭气体污染的浓度达到③、④的水平上。</w:t>
      </w:r>
    </w:p>
    <w:p>
      <w:pPr>
        <w:adjustRightInd w:val="0"/>
        <w:snapToGrid w:val="0"/>
        <w:spacing w:line="360" w:lineRule="auto"/>
        <w:rPr>
          <w:rFonts w:hint="default" w:ascii="Times New Roman" w:hAnsi="Times New Roman" w:cs="Times New Roman"/>
          <w:sz w:val="24"/>
          <w:szCs w:val="24"/>
        </w:rPr>
      </w:pPr>
      <w:r>
        <w:rPr>
          <w:rFonts w:hint="default" w:ascii="Times New Roman" w:hAnsi="Times New Roman" w:cs="Times New Roman"/>
          <w:sz w:val="24"/>
          <w:szCs w:val="24"/>
        </w:rPr>
        <w:t>恶臭污染影响一般有两个方面：</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①使人感到不快、恶心、头疼、食欲不振、营养不良。喝水减少、妨碍睡眠、嗅觉失调、情绪不振，爱发脾气以及诱发哮喘。</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②社会经济受到损害，如由于恶臭污染使工作人员工作效率降低，受到恶臭污染的地区经济建设商业销售额、旅游事业将受到影响，从而使经济效益受到影响。</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单项恶臭气体对人体影响，如硫化氢（H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S）气体浓度为0.007ppm时，影响人眼睛对光的反射。硫化氢气体浓度为10ppm是刺激人眼睛的最小浓度。又如氨气浓度为17ppm时，人在此环境中暴露7-8小时，则尿中的NH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量增加，同时氧的消耗量降低，呼吸频率下降。</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为了减轻恶臭带来的影响，评价要求建设单位采取科学设计日粮、提高饲料利用率、猪舍加强通风等措施，并通过设置大气环境防护距离及卫生防护距离加以控制。</w:t>
      </w:r>
    </w:p>
    <w:p>
      <w:pPr>
        <w:pStyle w:val="88"/>
        <w:adjustRightInd w:val="0"/>
        <w:snapToGrid w:val="0"/>
        <w:spacing w:line="360" w:lineRule="auto"/>
        <w:ind w:firstLine="482" w:firstLineChars="200"/>
        <w:jc w:val="left"/>
        <w:outlineLvl w:val="3"/>
        <w:rPr>
          <w:rFonts w:hint="default" w:ascii="Times New Roman" w:hAnsi="Times New Roman" w:cs="Times New Roman"/>
          <w:b/>
          <w:sz w:val="24"/>
          <w:szCs w:val="24"/>
        </w:rPr>
      </w:pPr>
      <w:r>
        <w:rPr>
          <w:rFonts w:hint="default" w:ascii="Times New Roman" w:hAnsi="Times New Roman" w:cs="Times New Roman"/>
          <w:b/>
          <w:sz w:val="24"/>
          <w:szCs w:val="24"/>
        </w:rPr>
        <w:t>（2）食堂废气</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食堂废气主要为餐饮油烟和燃料燃烧废气。项目就餐人数较少，产生的餐饮油烟量较少，通过小型抽油烟机处理后引致屋顶排放，</w:t>
      </w:r>
      <w:r>
        <w:rPr>
          <w:rFonts w:hint="default" w:ascii="Times New Roman" w:hAnsi="Times New Roman" w:cs="Times New Roman"/>
          <w:color w:val="000000"/>
          <w:sz w:val="24"/>
          <w:szCs w:val="24"/>
        </w:rPr>
        <w:t>经处理后的油烟排放量为2.479kg/a，1.7mg/m³。满足《饮食业油烟排放标准》（GB18483-2001）中相关排放要求（2mg/m³），对大气环境的影响较小。</w:t>
      </w:r>
    </w:p>
    <w:p>
      <w:pPr>
        <w:pStyle w:val="88"/>
        <w:adjustRightInd w:val="0"/>
        <w:snapToGrid w:val="0"/>
        <w:spacing w:line="360" w:lineRule="auto"/>
        <w:ind w:firstLine="480" w:firstLineChars="200"/>
        <w:jc w:val="left"/>
        <w:rPr>
          <w:rFonts w:hint="default" w:ascii="Times New Roman" w:hAnsi="Times New Roman" w:cs="Times New Roman"/>
          <w:b/>
          <w:sz w:val="24"/>
          <w:szCs w:val="24"/>
        </w:rPr>
      </w:pPr>
      <w:r>
        <w:rPr>
          <w:rFonts w:hint="default" w:ascii="Times New Roman" w:hAnsi="Times New Roman" w:cs="Times New Roman"/>
          <w:sz w:val="24"/>
          <w:szCs w:val="24"/>
        </w:rPr>
        <w:t>沼气作为食堂能源燃烧，可以被完全利用，产物为CO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和H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O，属清洁能源，对环境影响较小。</w:t>
      </w:r>
    </w:p>
    <w:p>
      <w:pPr>
        <w:pStyle w:val="88"/>
        <w:adjustRightInd w:val="0"/>
        <w:snapToGrid w:val="0"/>
        <w:spacing w:line="360" w:lineRule="auto"/>
        <w:ind w:left="420" w:leftChars="200"/>
        <w:jc w:val="left"/>
        <w:outlineLvl w:val="3"/>
        <w:rPr>
          <w:rFonts w:hint="default" w:ascii="Times New Roman" w:hAnsi="Times New Roman" w:cs="Times New Roman"/>
          <w:b/>
          <w:sz w:val="24"/>
          <w:szCs w:val="24"/>
        </w:rPr>
      </w:pPr>
      <w:r>
        <w:rPr>
          <w:rFonts w:hint="default" w:ascii="Times New Roman" w:hAnsi="Times New Roman" w:cs="Times New Roman"/>
          <w:b/>
          <w:sz w:val="24"/>
          <w:szCs w:val="24"/>
        </w:rPr>
        <w:t>（3）备用发电机废气</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项目配备柴油发电机，储油罐的容量为20kg，置于发电机房内，仅在断电时临时使用，主要产生NO</w:t>
      </w:r>
      <w:r>
        <w:rPr>
          <w:rFonts w:hint="default" w:ascii="Times New Roman" w:hAnsi="Times New Roman" w:cs="Times New Roman"/>
          <w:sz w:val="24"/>
          <w:szCs w:val="24"/>
          <w:vertAlign w:val="subscript"/>
        </w:rPr>
        <w:t>X</w:t>
      </w:r>
      <w:r>
        <w:rPr>
          <w:rFonts w:hint="default" w:ascii="Times New Roman" w:hAnsi="Times New Roman" w:cs="Times New Roman"/>
          <w:sz w:val="24"/>
          <w:szCs w:val="24"/>
        </w:rPr>
        <w:t>、SO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CO等污染物。因项目处丘陵地带山顶，通风扩散条件较好，柴油发电机房及储油间采取自然通风。根据区域电力供应情况分析，项目备用发电机的使用时间、几率较少，产生烟气量较小，一般柴油发电机都自带烟气净化装置，烟气经处理后能够实现达标排放。</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（4）沼气燃烧废气</w:t>
      </w:r>
    </w:p>
    <w:p>
      <w:pPr>
        <w:overflowPunct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厌氧发酵产生的沼气是含CH</w:t>
      </w:r>
      <w:r>
        <w:rPr>
          <w:rFonts w:hint="default" w:ascii="Times New Roman" w:hAnsi="Times New Roman" w:cs="Times New Roman"/>
          <w:sz w:val="24"/>
          <w:szCs w:val="24"/>
          <w:vertAlign w:val="subscript"/>
        </w:rPr>
        <w:t>4</w:t>
      </w:r>
      <w:r>
        <w:rPr>
          <w:rFonts w:hint="default" w:ascii="Times New Roman" w:hAnsi="Times New Roman" w:cs="Times New Roman"/>
          <w:sz w:val="24"/>
          <w:szCs w:val="24"/>
        </w:rPr>
        <w:t>、CO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S和饱和水蒸气的混合气体。H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S不仅有毒，而且有很强的腐蚀性。过量的H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S和杂质会危及沼气管网的寿命，因此使用脱硫剂对沼气进行脱硫处理。</w:t>
      </w:r>
    </w:p>
    <w:p>
      <w:pPr>
        <w:overflowPunct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沼气作为能源燃烧，可以被完全利用，产物为CO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和H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O，属清洁能源，对环境影响较小。</w:t>
      </w:r>
    </w:p>
    <w:p>
      <w:pPr>
        <w:pStyle w:val="88"/>
        <w:adjustRightInd w:val="0"/>
        <w:snapToGrid w:val="0"/>
        <w:spacing w:line="360" w:lineRule="auto"/>
        <w:ind w:firstLine="482" w:firstLineChars="200"/>
        <w:jc w:val="left"/>
        <w:outlineLvl w:val="3"/>
        <w:rPr>
          <w:rFonts w:hint="default" w:ascii="Times New Roman" w:hAnsi="Times New Roman" w:cs="Times New Roman"/>
          <w:b/>
          <w:sz w:val="24"/>
        </w:rPr>
      </w:pPr>
      <w:r>
        <w:rPr>
          <w:rFonts w:hint="default" w:ascii="Times New Roman" w:hAnsi="Times New Roman" w:cs="Times New Roman"/>
          <w:b/>
          <w:sz w:val="24"/>
        </w:rPr>
        <w:t>2、影响分析</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根据前面1.5.1评价等级判断大气环境影响评价等级可知，本项目大气环境影响评价等级为二级。根据《环境影响评价技术导则-大气环境》（HJ2.2-2018）中8.1.2二级评价项目不进行进一步预测与评价，只对污染物排放量进行核算。</w:t>
      </w:r>
    </w:p>
    <w:p>
      <w:pPr>
        <w:pStyle w:val="88"/>
        <w:adjustRightInd w:val="0"/>
        <w:snapToGrid w:val="0"/>
        <w:spacing w:line="360" w:lineRule="auto"/>
        <w:ind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sz w:val="24"/>
          <w:szCs w:val="24"/>
        </w:rPr>
        <w:t>根据工程分析可知，本项目营运期产生的废气主要包括养殖废气（恶臭）、食堂产生的餐饮油烟及燃料燃烧废气、备用柴油发电机烟气。项目食堂燃料为沼气，燃烧后的产物为CO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O，为清洁能源，无组织进入大气环境中对大气环境的影响较小。而柴油发电机仅为停电时应急使用，</w:t>
      </w:r>
      <w:r>
        <w:rPr>
          <w:rFonts w:hint="default" w:ascii="Times New Roman" w:hAnsi="Times New Roman" w:cs="Times New Roman"/>
          <w:color w:val="000000"/>
          <w:sz w:val="24"/>
          <w:szCs w:val="24"/>
        </w:rPr>
        <w:t>使用时间、频次极少且不定，产生烟气量较小，一般柴油发电机都自带烟气净化装置，烟气经处理后能够实现达标排放。因此本次影响分析仅对食堂油烟、养殖废气排放量进行核算。</w:t>
      </w:r>
    </w:p>
    <w:p>
      <w:pPr>
        <w:pStyle w:val="88"/>
        <w:adjustRightInd w:val="0"/>
        <w:snapToGrid w:val="0"/>
        <w:spacing w:line="360" w:lineRule="auto"/>
        <w:ind w:firstLine="482" w:firstLineChars="200"/>
        <w:jc w:val="left"/>
        <w:outlineLvl w:val="3"/>
        <w:rPr>
          <w:rFonts w:hint="default" w:ascii="Times New Roman" w:hAnsi="Times New Roman" w:cs="Times New Roman"/>
          <w:b/>
          <w:sz w:val="24"/>
        </w:rPr>
      </w:pPr>
      <w:r>
        <w:rPr>
          <w:rFonts w:hint="default" w:ascii="Times New Roman" w:hAnsi="Times New Roman" w:cs="Times New Roman"/>
          <w:b/>
          <w:sz w:val="24"/>
        </w:rPr>
        <w:t>大气主要污染物排放量核算</w:t>
      </w:r>
    </w:p>
    <w:p>
      <w:pPr>
        <w:pStyle w:val="88"/>
        <w:adjustRightInd w:val="0"/>
        <w:snapToGrid w:val="0"/>
        <w:spacing w:line="360" w:lineRule="auto"/>
        <w:ind w:firstLine="482" w:firstLineChars="200"/>
        <w:jc w:val="left"/>
        <w:outlineLvl w:val="3"/>
        <w:rPr>
          <w:rFonts w:hint="default" w:ascii="Times New Roman" w:hAnsi="Times New Roman" w:cs="Times New Roman"/>
          <w:b/>
          <w:sz w:val="24"/>
        </w:rPr>
      </w:pPr>
      <w:r>
        <w:rPr>
          <w:rFonts w:hint="default" w:ascii="Times New Roman" w:hAnsi="Times New Roman" w:cs="Times New Roman"/>
          <w:b/>
          <w:sz w:val="24"/>
        </w:rPr>
        <w:t>（1）有组织</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5.2-2   大气污染物有组织排放量核算表</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274"/>
        <w:gridCol w:w="1039"/>
        <w:gridCol w:w="2567"/>
        <w:gridCol w:w="2016"/>
        <w:gridCol w:w="20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jc w:val="center"/>
              <w:outlineLvl w:val="0"/>
              <w:rPr>
                <w:rFonts w:hint="default" w:ascii="Times New Roman" w:hAnsi="Times New Roman" w:cs="Times New Roman"/>
                <w:b/>
                <w:color w:val="000000"/>
                <w:szCs w:val="21"/>
              </w:rPr>
            </w:pPr>
            <w:bookmarkStart w:id="249" w:name="_Toc28433"/>
            <w:bookmarkStart w:id="250" w:name="_Toc3687"/>
            <w:r>
              <w:rPr>
                <w:rFonts w:hint="default" w:ascii="Times New Roman" w:hAnsi="Times New Roman" w:cs="Times New Roman"/>
                <w:b/>
                <w:color w:val="000000"/>
                <w:szCs w:val="21"/>
              </w:rPr>
              <w:t>序号</w:t>
            </w:r>
            <w:bookmarkEnd w:id="249"/>
            <w:bookmarkEnd w:id="250"/>
          </w:p>
        </w:tc>
        <w:tc>
          <w:tcPr>
            <w:tcW w:w="1274" w:type="dxa"/>
            <w:vAlign w:val="center"/>
          </w:tcPr>
          <w:p>
            <w:pPr>
              <w:jc w:val="center"/>
              <w:outlineLvl w:val="0"/>
              <w:rPr>
                <w:rFonts w:hint="default" w:ascii="Times New Roman" w:hAnsi="Times New Roman" w:cs="Times New Roman"/>
                <w:b/>
                <w:color w:val="000000"/>
                <w:szCs w:val="21"/>
              </w:rPr>
            </w:pPr>
            <w:bookmarkStart w:id="251" w:name="_Toc15536"/>
            <w:bookmarkStart w:id="252" w:name="_Toc24069"/>
            <w:r>
              <w:rPr>
                <w:rFonts w:hint="default" w:ascii="Times New Roman" w:hAnsi="Times New Roman" w:cs="Times New Roman"/>
                <w:b/>
                <w:color w:val="000000"/>
                <w:szCs w:val="21"/>
              </w:rPr>
              <w:t>排放口</w:t>
            </w:r>
            <w:bookmarkEnd w:id="251"/>
            <w:bookmarkEnd w:id="252"/>
          </w:p>
        </w:tc>
        <w:tc>
          <w:tcPr>
            <w:tcW w:w="1039" w:type="dxa"/>
            <w:vAlign w:val="center"/>
          </w:tcPr>
          <w:p>
            <w:pPr>
              <w:jc w:val="center"/>
              <w:outlineLvl w:val="0"/>
              <w:rPr>
                <w:rFonts w:hint="default" w:ascii="Times New Roman" w:hAnsi="Times New Roman" w:cs="Times New Roman"/>
                <w:b/>
                <w:color w:val="000000"/>
                <w:szCs w:val="21"/>
              </w:rPr>
            </w:pPr>
            <w:bookmarkStart w:id="253" w:name="_Toc31306"/>
            <w:bookmarkStart w:id="254" w:name="_Toc20741"/>
            <w:r>
              <w:rPr>
                <w:rFonts w:hint="default" w:ascii="Times New Roman" w:hAnsi="Times New Roman" w:cs="Times New Roman"/>
                <w:b/>
                <w:color w:val="000000"/>
                <w:szCs w:val="21"/>
              </w:rPr>
              <w:t>污染物</w:t>
            </w:r>
            <w:bookmarkEnd w:id="253"/>
            <w:bookmarkEnd w:id="254"/>
          </w:p>
        </w:tc>
        <w:tc>
          <w:tcPr>
            <w:tcW w:w="2567" w:type="dxa"/>
            <w:vAlign w:val="center"/>
          </w:tcPr>
          <w:p>
            <w:pPr>
              <w:jc w:val="center"/>
              <w:outlineLvl w:val="0"/>
              <w:rPr>
                <w:rFonts w:hint="default" w:ascii="Times New Roman" w:hAnsi="Times New Roman" w:cs="Times New Roman"/>
                <w:b/>
                <w:color w:val="000000"/>
                <w:szCs w:val="21"/>
              </w:rPr>
            </w:pPr>
            <w:bookmarkStart w:id="255" w:name="_Toc31819"/>
            <w:bookmarkStart w:id="256" w:name="_Toc7594"/>
            <w:r>
              <w:rPr>
                <w:rFonts w:hint="default" w:ascii="Times New Roman" w:hAnsi="Times New Roman" w:cs="Times New Roman"/>
                <w:b/>
                <w:color w:val="000000"/>
                <w:szCs w:val="21"/>
              </w:rPr>
              <w:t>核算排放浓度/（mg/m³）</w:t>
            </w:r>
            <w:bookmarkEnd w:id="255"/>
            <w:bookmarkEnd w:id="256"/>
          </w:p>
        </w:tc>
        <w:tc>
          <w:tcPr>
            <w:tcW w:w="2016" w:type="dxa"/>
            <w:vAlign w:val="center"/>
          </w:tcPr>
          <w:p>
            <w:pPr>
              <w:jc w:val="center"/>
              <w:outlineLvl w:val="0"/>
              <w:rPr>
                <w:rFonts w:hint="default" w:ascii="Times New Roman" w:hAnsi="Times New Roman" w:cs="Times New Roman"/>
                <w:b/>
                <w:color w:val="000000"/>
                <w:szCs w:val="21"/>
              </w:rPr>
            </w:pPr>
            <w:bookmarkStart w:id="257" w:name="_Toc31564"/>
            <w:bookmarkStart w:id="258" w:name="_Toc9533"/>
            <w:r>
              <w:rPr>
                <w:rFonts w:hint="default" w:ascii="Times New Roman" w:hAnsi="Times New Roman" w:cs="Times New Roman"/>
                <w:b/>
                <w:color w:val="000000"/>
                <w:szCs w:val="21"/>
              </w:rPr>
              <w:t>核算排放速率/（kg/h）</w:t>
            </w:r>
            <w:bookmarkEnd w:id="257"/>
            <w:bookmarkEnd w:id="258"/>
          </w:p>
        </w:tc>
        <w:tc>
          <w:tcPr>
            <w:tcW w:w="2063" w:type="dxa"/>
            <w:vAlign w:val="center"/>
          </w:tcPr>
          <w:p>
            <w:pPr>
              <w:jc w:val="center"/>
              <w:outlineLvl w:val="0"/>
              <w:rPr>
                <w:rFonts w:hint="default" w:ascii="Times New Roman" w:hAnsi="Times New Roman" w:cs="Times New Roman"/>
                <w:b/>
                <w:color w:val="000000"/>
                <w:szCs w:val="21"/>
              </w:rPr>
            </w:pPr>
            <w:bookmarkStart w:id="259" w:name="_Toc3822"/>
            <w:bookmarkStart w:id="260" w:name="_Toc27311"/>
            <w:r>
              <w:rPr>
                <w:rFonts w:hint="default" w:ascii="Times New Roman" w:hAnsi="Times New Roman" w:cs="Times New Roman"/>
                <w:b/>
                <w:color w:val="000000"/>
                <w:szCs w:val="21"/>
              </w:rPr>
              <w:t>核算年排放量/（</w:t>
            </w:r>
            <w:r>
              <w:rPr>
                <w:rFonts w:hint="eastAsia" w:ascii="Times New Roman" w:hAnsi="Times New Roman" w:cs="Times New Roman"/>
                <w:b/>
                <w:color w:val="000000"/>
                <w:szCs w:val="21"/>
                <w:lang w:val="en-US" w:eastAsia="zh-CN"/>
              </w:rPr>
              <w:t>kg</w:t>
            </w:r>
            <w:r>
              <w:rPr>
                <w:rFonts w:hint="default" w:ascii="Times New Roman" w:hAnsi="Times New Roman" w:cs="Times New Roman"/>
                <w:b/>
                <w:color w:val="000000"/>
                <w:szCs w:val="21"/>
              </w:rPr>
              <w:t>/a）</w:t>
            </w:r>
            <w:bookmarkEnd w:id="259"/>
            <w:bookmarkEnd w:id="260"/>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jc w:val="center"/>
              <w:outlineLvl w:val="0"/>
              <w:rPr>
                <w:rFonts w:hint="default" w:ascii="Times New Roman" w:hAnsi="Times New Roman" w:cs="Times New Roman"/>
                <w:bCs/>
                <w:color w:val="000000"/>
                <w:szCs w:val="21"/>
              </w:rPr>
            </w:pPr>
            <w:bookmarkStart w:id="261" w:name="_Toc14030"/>
            <w:bookmarkStart w:id="262" w:name="_Toc8811"/>
            <w:r>
              <w:rPr>
                <w:rFonts w:hint="default" w:ascii="Times New Roman" w:hAnsi="Times New Roman" w:cs="Times New Roman"/>
                <w:bCs/>
                <w:color w:val="000000"/>
                <w:szCs w:val="21"/>
              </w:rPr>
              <w:t>1</w:t>
            </w:r>
            <w:bookmarkEnd w:id="261"/>
            <w:bookmarkEnd w:id="262"/>
          </w:p>
        </w:tc>
        <w:tc>
          <w:tcPr>
            <w:tcW w:w="1274" w:type="dxa"/>
            <w:vAlign w:val="center"/>
          </w:tcPr>
          <w:p>
            <w:pPr>
              <w:jc w:val="center"/>
              <w:outlineLvl w:val="0"/>
              <w:rPr>
                <w:rFonts w:hint="default" w:ascii="Times New Roman" w:hAnsi="Times New Roman" w:cs="Times New Roman"/>
                <w:bCs/>
                <w:color w:val="000000"/>
                <w:szCs w:val="21"/>
              </w:rPr>
            </w:pPr>
            <w:bookmarkStart w:id="263" w:name="_Toc21405"/>
            <w:bookmarkStart w:id="264" w:name="_Toc28207"/>
            <w:r>
              <w:rPr>
                <w:rFonts w:hint="default" w:ascii="Times New Roman" w:hAnsi="Times New Roman" w:cs="Times New Roman"/>
                <w:bCs/>
                <w:color w:val="000000"/>
                <w:szCs w:val="21"/>
              </w:rPr>
              <w:t>食堂油烟排放口</w:t>
            </w:r>
            <w:bookmarkEnd w:id="263"/>
            <w:bookmarkEnd w:id="264"/>
          </w:p>
        </w:tc>
        <w:tc>
          <w:tcPr>
            <w:tcW w:w="1039"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餐饮油烟</w:t>
            </w:r>
          </w:p>
        </w:tc>
        <w:tc>
          <w:tcPr>
            <w:tcW w:w="2567" w:type="dxa"/>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1.7</w:t>
            </w:r>
          </w:p>
        </w:tc>
        <w:tc>
          <w:tcPr>
            <w:tcW w:w="2016" w:type="dxa"/>
            <w:vAlign w:val="center"/>
          </w:tcPr>
          <w:p>
            <w:pPr>
              <w:jc w:val="center"/>
              <w:outlineLvl w:val="0"/>
              <w:rPr>
                <w:rFonts w:hint="default" w:ascii="Times New Roman" w:hAnsi="Times New Roman" w:cs="Times New Roman"/>
                <w:b/>
                <w:color w:val="000000"/>
                <w:szCs w:val="21"/>
              </w:rPr>
            </w:pPr>
            <w:bookmarkStart w:id="265" w:name="_Toc23467"/>
            <w:bookmarkStart w:id="266" w:name="_Toc9082"/>
            <w:r>
              <w:rPr>
                <w:rFonts w:hint="default" w:ascii="Times New Roman" w:hAnsi="Times New Roman" w:cs="Times New Roman"/>
                <w:bCs/>
                <w:color w:val="000000"/>
                <w:szCs w:val="21"/>
              </w:rPr>
              <w:t>0.0034</w:t>
            </w:r>
            <w:bookmarkEnd w:id="265"/>
            <w:bookmarkEnd w:id="266"/>
          </w:p>
        </w:tc>
        <w:tc>
          <w:tcPr>
            <w:tcW w:w="2063" w:type="dxa"/>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2.479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753" w:type="dxa"/>
            <w:vMerge w:val="restart"/>
            <w:vAlign w:val="center"/>
          </w:tcPr>
          <w:p>
            <w:pPr>
              <w:jc w:val="center"/>
              <w:outlineLvl w:val="0"/>
              <w:rPr>
                <w:rFonts w:hint="eastAsia" w:ascii="Times New Roman" w:hAnsi="Times New Roman" w:eastAsia="宋体" w:cs="Times New Roman"/>
                <w:bCs/>
                <w:color w:val="000000"/>
                <w:szCs w:val="21"/>
                <w:lang w:val="en-US" w:eastAsia="zh-CN"/>
              </w:rPr>
            </w:pPr>
            <w:r>
              <w:rPr>
                <w:rFonts w:hint="eastAsia" w:ascii="Times New Roman" w:hAnsi="Times New Roman" w:cs="Times New Roman"/>
                <w:bCs/>
                <w:color w:val="000000"/>
                <w:szCs w:val="21"/>
                <w:lang w:val="en-US" w:eastAsia="zh-CN"/>
              </w:rPr>
              <w:t>2</w:t>
            </w:r>
          </w:p>
        </w:tc>
        <w:tc>
          <w:tcPr>
            <w:tcW w:w="1274" w:type="dxa"/>
            <w:vMerge w:val="restart"/>
            <w:vAlign w:val="center"/>
          </w:tcPr>
          <w:p>
            <w:pPr>
              <w:jc w:val="center"/>
              <w:outlineLvl w:val="0"/>
              <w:rPr>
                <w:rFonts w:hint="eastAsia" w:ascii="Times New Roman" w:hAnsi="Times New Roman" w:eastAsia="宋体" w:cs="Times New Roman"/>
                <w:bCs/>
                <w:color w:val="000000"/>
                <w:szCs w:val="21"/>
                <w:lang w:eastAsia="zh-CN"/>
              </w:rPr>
            </w:pPr>
            <w:r>
              <w:rPr>
                <w:rFonts w:hint="eastAsia" w:ascii="Times New Roman" w:hAnsi="Times New Roman" w:cs="Times New Roman"/>
                <w:bCs/>
                <w:color w:val="000000"/>
                <w:szCs w:val="21"/>
                <w:lang w:eastAsia="zh-CN"/>
              </w:rPr>
              <w:t>污水处理站、猪粪暂存间排气筒</w:t>
            </w:r>
          </w:p>
        </w:tc>
        <w:tc>
          <w:tcPr>
            <w:tcW w:w="1039" w:type="dxa"/>
            <w:vAlign w:val="center"/>
          </w:tcPr>
          <w:p>
            <w:pPr>
              <w:pStyle w:val="2"/>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NH</w:t>
            </w:r>
            <w:r>
              <w:rPr>
                <w:rFonts w:hint="eastAsia" w:ascii="Times New Roman" w:hAnsi="Times New Roman" w:cs="Times New Roman"/>
                <w:color w:val="auto"/>
                <w:sz w:val="21"/>
                <w:szCs w:val="21"/>
                <w:vertAlign w:val="subscript"/>
                <w:lang w:val="en-US" w:eastAsia="zh-CN"/>
              </w:rPr>
              <w:t>3</w:t>
            </w:r>
          </w:p>
        </w:tc>
        <w:tc>
          <w:tcPr>
            <w:tcW w:w="2567" w:type="dxa"/>
            <w:vAlign w:val="center"/>
          </w:tcPr>
          <w:p>
            <w:pPr>
              <w:adjustRightInd w:val="0"/>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1.54</w:t>
            </w:r>
          </w:p>
        </w:tc>
        <w:tc>
          <w:tcPr>
            <w:tcW w:w="2016" w:type="dxa"/>
            <w:vAlign w:val="center"/>
          </w:tcPr>
          <w:p>
            <w:pPr>
              <w:jc w:val="center"/>
              <w:outlineLvl w:val="0"/>
              <w:rPr>
                <w:rFonts w:hint="eastAsia" w:ascii="Times New Roman" w:hAnsi="Times New Roman" w:eastAsia="宋体" w:cs="Times New Roman"/>
                <w:bCs/>
                <w:color w:val="000000"/>
                <w:szCs w:val="21"/>
                <w:lang w:val="en-US" w:eastAsia="zh-CN"/>
              </w:rPr>
            </w:pPr>
            <w:r>
              <w:rPr>
                <w:rFonts w:hint="eastAsia" w:ascii="Times New Roman" w:hAnsi="Times New Roman" w:cs="Times New Roman"/>
                <w:bCs/>
                <w:color w:val="000000"/>
                <w:szCs w:val="21"/>
                <w:lang w:val="en-US" w:eastAsia="zh-CN"/>
              </w:rPr>
              <w:t>0.0077</w:t>
            </w:r>
          </w:p>
        </w:tc>
        <w:tc>
          <w:tcPr>
            <w:tcW w:w="2063" w:type="dxa"/>
            <w:vAlign w:val="center"/>
          </w:tcPr>
          <w:p>
            <w:pPr>
              <w:adjustRightInd w:val="0"/>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67.452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Merge w:val="continue"/>
            <w:vAlign w:val="center"/>
          </w:tcPr>
          <w:p>
            <w:pPr>
              <w:jc w:val="center"/>
              <w:outlineLvl w:val="0"/>
              <w:rPr>
                <w:rFonts w:hint="default" w:ascii="Times New Roman" w:hAnsi="Times New Roman" w:cs="Times New Roman"/>
                <w:bCs/>
                <w:color w:val="000000"/>
                <w:szCs w:val="21"/>
              </w:rPr>
            </w:pPr>
          </w:p>
        </w:tc>
        <w:tc>
          <w:tcPr>
            <w:tcW w:w="1274" w:type="dxa"/>
            <w:vMerge w:val="continue"/>
            <w:vAlign w:val="center"/>
          </w:tcPr>
          <w:p>
            <w:pPr>
              <w:jc w:val="center"/>
              <w:outlineLvl w:val="0"/>
              <w:rPr>
                <w:rFonts w:hint="default" w:ascii="Times New Roman" w:hAnsi="Times New Roman" w:cs="Times New Roman"/>
                <w:bCs/>
                <w:color w:val="000000"/>
                <w:szCs w:val="21"/>
              </w:rPr>
            </w:pPr>
          </w:p>
        </w:tc>
        <w:tc>
          <w:tcPr>
            <w:tcW w:w="1039" w:type="dxa"/>
            <w:vAlign w:val="center"/>
          </w:tcPr>
          <w:p>
            <w:pPr>
              <w:pStyle w:val="2"/>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H</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cs="Times New Roman"/>
                <w:color w:val="auto"/>
                <w:sz w:val="21"/>
                <w:szCs w:val="21"/>
                <w:lang w:val="en-US" w:eastAsia="zh-CN"/>
              </w:rPr>
              <w:t>S</w:t>
            </w:r>
          </w:p>
        </w:tc>
        <w:tc>
          <w:tcPr>
            <w:tcW w:w="2567" w:type="dxa"/>
            <w:vAlign w:val="center"/>
          </w:tcPr>
          <w:p>
            <w:pPr>
              <w:adjustRightInd w:val="0"/>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0.15</w:t>
            </w:r>
          </w:p>
        </w:tc>
        <w:tc>
          <w:tcPr>
            <w:tcW w:w="2016" w:type="dxa"/>
            <w:vAlign w:val="center"/>
          </w:tcPr>
          <w:p>
            <w:pPr>
              <w:jc w:val="center"/>
              <w:outlineLvl w:val="0"/>
              <w:rPr>
                <w:rFonts w:hint="eastAsia" w:ascii="Times New Roman" w:hAnsi="Times New Roman" w:eastAsia="宋体" w:cs="Times New Roman"/>
                <w:bCs/>
                <w:color w:val="000000"/>
                <w:szCs w:val="21"/>
                <w:lang w:val="en-US" w:eastAsia="zh-CN"/>
              </w:rPr>
            </w:pPr>
            <w:r>
              <w:rPr>
                <w:rFonts w:hint="eastAsia" w:ascii="Times New Roman" w:hAnsi="Times New Roman" w:cs="Times New Roman"/>
                <w:bCs/>
                <w:color w:val="000000"/>
                <w:szCs w:val="21"/>
                <w:lang w:val="en-US" w:eastAsia="zh-CN"/>
              </w:rPr>
              <w:t>0.00078</w:t>
            </w:r>
          </w:p>
        </w:tc>
        <w:tc>
          <w:tcPr>
            <w:tcW w:w="2063" w:type="dxa"/>
            <w:vAlign w:val="center"/>
          </w:tcPr>
          <w:p>
            <w:pPr>
              <w:adjustRightInd w:val="0"/>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6.8328</w:t>
            </w:r>
          </w:p>
        </w:tc>
      </w:tr>
    </w:tbl>
    <w:p>
      <w:pPr>
        <w:pStyle w:val="88"/>
        <w:numPr>
          <w:ilvl w:val="0"/>
          <w:numId w:val="4"/>
        </w:numPr>
        <w:adjustRightInd w:val="0"/>
        <w:snapToGrid w:val="0"/>
        <w:spacing w:line="360" w:lineRule="auto"/>
        <w:ind w:firstLine="482" w:firstLineChars="200"/>
        <w:jc w:val="left"/>
        <w:outlineLvl w:val="3"/>
        <w:rPr>
          <w:rFonts w:hint="default" w:ascii="Times New Roman" w:hAnsi="Times New Roman" w:cs="Times New Roman"/>
          <w:b/>
          <w:sz w:val="24"/>
        </w:rPr>
      </w:pPr>
      <w:r>
        <w:rPr>
          <w:rFonts w:hint="default" w:ascii="Times New Roman" w:hAnsi="Times New Roman" w:cs="Times New Roman"/>
          <w:b/>
          <w:sz w:val="24"/>
        </w:rPr>
        <w:t>无组织</w:t>
      </w:r>
    </w:p>
    <w:p>
      <w:pPr>
        <w:pStyle w:val="88"/>
        <w:adjustRightInd w:val="0"/>
        <w:snapToGrid w:val="0"/>
        <w:spacing w:line="360" w:lineRule="auto"/>
        <w:ind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sz w:val="24"/>
          <w:szCs w:val="24"/>
        </w:rPr>
        <w:t>本项目恶臭主要为养殖区、粪污处理区，项目占地面积较小，各恶臭源相距较近，因此将养殖区与粪污处理区视为一个污染源进行分析。恶臭主要成分为H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w:t>
      </w:r>
      <w:r>
        <w:rPr>
          <w:rFonts w:hint="default" w:ascii="Times New Roman" w:hAnsi="Times New Roman" w:cs="Times New Roman"/>
          <w:color w:val="000000"/>
          <w:sz w:val="24"/>
          <w:szCs w:val="24"/>
        </w:rPr>
        <w:t>项目运营期无组织污染物排放量核算结果如下：</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表5.2-3  主要大气污染物无组织排放量核算表</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8"/>
        <w:gridCol w:w="897"/>
        <w:gridCol w:w="902"/>
        <w:gridCol w:w="708"/>
        <w:gridCol w:w="2384"/>
        <w:gridCol w:w="1253"/>
        <w:gridCol w:w="1516"/>
        <w:gridCol w:w="11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98" w:type="dxa"/>
            <w:vMerge w:val="restart"/>
            <w:vAlign w:val="center"/>
          </w:tcPr>
          <w:p>
            <w:pPr>
              <w:jc w:val="center"/>
              <w:outlineLvl w:val="0"/>
              <w:rPr>
                <w:rFonts w:hint="default" w:ascii="Times New Roman" w:hAnsi="Times New Roman" w:cs="Times New Roman"/>
                <w:color w:val="000000"/>
                <w:szCs w:val="21"/>
              </w:rPr>
            </w:pPr>
            <w:bookmarkStart w:id="267" w:name="_Toc30125"/>
            <w:bookmarkStart w:id="268" w:name="_Toc11405"/>
            <w:r>
              <w:rPr>
                <w:rFonts w:hint="default" w:ascii="Times New Roman" w:hAnsi="Times New Roman" w:cs="Times New Roman"/>
                <w:color w:val="000000"/>
                <w:szCs w:val="21"/>
              </w:rPr>
              <w:t>序号</w:t>
            </w:r>
            <w:bookmarkEnd w:id="267"/>
            <w:bookmarkEnd w:id="268"/>
          </w:p>
        </w:tc>
        <w:tc>
          <w:tcPr>
            <w:tcW w:w="897" w:type="dxa"/>
            <w:vMerge w:val="restart"/>
            <w:vAlign w:val="center"/>
          </w:tcPr>
          <w:p>
            <w:pPr>
              <w:jc w:val="center"/>
              <w:outlineLvl w:val="0"/>
              <w:rPr>
                <w:rFonts w:hint="default" w:ascii="Times New Roman" w:hAnsi="Times New Roman" w:cs="Times New Roman"/>
                <w:color w:val="000000"/>
                <w:szCs w:val="21"/>
              </w:rPr>
            </w:pPr>
            <w:bookmarkStart w:id="269" w:name="_Toc31763"/>
            <w:bookmarkStart w:id="270" w:name="_Toc16553"/>
            <w:r>
              <w:rPr>
                <w:rFonts w:hint="default" w:ascii="Times New Roman" w:hAnsi="Times New Roman" w:cs="Times New Roman"/>
                <w:color w:val="000000"/>
                <w:szCs w:val="21"/>
              </w:rPr>
              <w:t>排放口编号</w:t>
            </w:r>
            <w:bookmarkEnd w:id="269"/>
            <w:bookmarkEnd w:id="270"/>
          </w:p>
        </w:tc>
        <w:tc>
          <w:tcPr>
            <w:tcW w:w="902" w:type="dxa"/>
            <w:vMerge w:val="restart"/>
            <w:vAlign w:val="center"/>
          </w:tcPr>
          <w:p>
            <w:pPr>
              <w:jc w:val="center"/>
              <w:outlineLvl w:val="0"/>
              <w:rPr>
                <w:rFonts w:hint="default" w:ascii="Times New Roman" w:hAnsi="Times New Roman" w:cs="Times New Roman"/>
                <w:color w:val="000000"/>
                <w:szCs w:val="21"/>
              </w:rPr>
            </w:pPr>
            <w:bookmarkStart w:id="271" w:name="_Toc17487"/>
            <w:bookmarkStart w:id="272" w:name="_Toc22194"/>
            <w:r>
              <w:rPr>
                <w:rFonts w:hint="default" w:ascii="Times New Roman" w:hAnsi="Times New Roman" w:cs="Times New Roman"/>
                <w:color w:val="000000"/>
                <w:szCs w:val="21"/>
              </w:rPr>
              <w:t>产污环节</w:t>
            </w:r>
            <w:bookmarkEnd w:id="271"/>
            <w:bookmarkEnd w:id="272"/>
          </w:p>
        </w:tc>
        <w:tc>
          <w:tcPr>
            <w:tcW w:w="708" w:type="dxa"/>
            <w:vMerge w:val="restart"/>
            <w:vAlign w:val="center"/>
          </w:tcPr>
          <w:p>
            <w:pPr>
              <w:jc w:val="center"/>
              <w:outlineLvl w:val="0"/>
              <w:rPr>
                <w:rFonts w:hint="default" w:ascii="Times New Roman" w:hAnsi="Times New Roman" w:cs="Times New Roman"/>
                <w:color w:val="000000"/>
                <w:szCs w:val="21"/>
              </w:rPr>
            </w:pPr>
            <w:bookmarkStart w:id="273" w:name="_Toc16452"/>
            <w:bookmarkStart w:id="274" w:name="_Toc5487"/>
            <w:r>
              <w:rPr>
                <w:rFonts w:hint="default" w:ascii="Times New Roman" w:hAnsi="Times New Roman" w:cs="Times New Roman"/>
                <w:color w:val="000000"/>
                <w:szCs w:val="21"/>
              </w:rPr>
              <w:t>污染物</w:t>
            </w:r>
            <w:bookmarkEnd w:id="273"/>
            <w:bookmarkEnd w:id="274"/>
          </w:p>
        </w:tc>
        <w:tc>
          <w:tcPr>
            <w:tcW w:w="2384" w:type="dxa"/>
            <w:vMerge w:val="restart"/>
            <w:vAlign w:val="center"/>
          </w:tcPr>
          <w:p>
            <w:pPr>
              <w:jc w:val="center"/>
              <w:outlineLvl w:val="0"/>
              <w:rPr>
                <w:rFonts w:hint="default" w:ascii="Times New Roman" w:hAnsi="Times New Roman" w:cs="Times New Roman"/>
                <w:color w:val="000000"/>
                <w:szCs w:val="21"/>
              </w:rPr>
            </w:pPr>
            <w:bookmarkStart w:id="275" w:name="_Toc22938"/>
            <w:bookmarkStart w:id="276" w:name="_Toc11997"/>
            <w:r>
              <w:rPr>
                <w:rFonts w:hint="default" w:ascii="Times New Roman" w:hAnsi="Times New Roman" w:cs="Times New Roman"/>
                <w:color w:val="000000"/>
                <w:szCs w:val="21"/>
              </w:rPr>
              <w:t>主要治理措施</w:t>
            </w:r>
            <w:bookmarkEnd w:id="275"/>
            <w:bookmarkEnd w:id="276"/>
          </w:p>
        </w:tc>
        <w:tc>
          <w:tcPr>
            <w:tcW w:w="2769" w:type="dxa"/>
            <w:gridSpan w:val="2"/>
            <w:tcBorders>
              <w:bottom w:val="single" w:color="auto" w:sz="2" w:space="0"/>
            </w:tcBorders>
            <w:vAlign w:val="center"/>
          </w:tcPr>
          <w:p>
            <w:pPr>
              <w:jc w:val="center"/>
              <w:outlineLvl w:val="0"/>
              <w:rPr>
                <w:rFonts w:hint="default" w:ascii="Times New Roman" w:hAnsi="Times New Roman" w:cs="Times New Roman"/>
                <w:color w:val="000000"/>
                <w:szCs w:val="21"/>
              </w:rPr>
            </w:pPr>
            <w:bookmarkStart w:id="277" w:name="_Toc1127"/>
            <w:bookmarkStart w:id="278" w:name="_Toc6414"/>
            <w:r>
              <w:rPr>
                <w:rFonts w:hint="default" w:ascii="Times New Roman" w:hAnsi="Times New Roman" w:cs="Times New Roman"/>
                <w:color w:val="000000"/>
                <w:szCs w:val="21"/>
              </w:rPr>
              <w:t>国家或地方污染物排放标准</w:t>
            </w:r>
            <w:bookmarkEnd w:id="277"/>
            <w:bookmarkEnd w:id="278"/>
          </w:p>
        </w:tc>
        <w:tc>
          <w:tcPr>
            <w:tcW w:w="1154" w:type="dxa"/>
            <w:vMerge w:val="restart"/>
            <w:vAlign w:val="center"/>
          </w:tcPr>
          <w:p>
            <w:pPr>
              <w:jc w:val="center"/>
              <w:outlineLvl w:val="0"/>
              <w:rPr>
                <w:rFonts w:hint="default" w:ascii="Times New Roman" w:hAnsi="Times New Roman" w:cs="Times New Roman"/>
                <w:color w:val="000000"/>
                <w:szCs w:val="21"/>
              </w:rPr>
            </w:pPr>
            <w:bookmarkStart w:id="279" w:name="_Toc1084"/>
            <w:bookmarkStart w:id="280" w:name="_Toc20669"/>
            <w:r>
              <w:rPr>
                <w:rFonts w:hint="default" w:ascii="Times New Roman" w:hAnsi="Times New Roman" w:cs="Times New Roman"/>
                <w:color w:val="000000"/>
                <w:szCs w:val="21"/>
              </w:rPr>
              <w:t>年排放量（</w:t>
            </w:r>
            <w:r>
              <w:rPr>
                <w:rFonts w:hint="eastAsia" w:ascii="Times New Roman" w:hAnsi="Times New Roman" w:cs="Times New Roman"/>
                <w:color w:val="000000"/>
                <w:szCs w:val="21"/>
                <w:lang w:val="en-US" w:eastAsia="zh-CN"/>
              </w:rPr>
              <w:t>kg</w:t>
            </w:r>
            <w:r>
              <w:rPr>
                <w:rFonts w:hint="default" w:ascii="Times New Roman" w:hAnsi="Times New Roman" w:cs="Times New Roman"/>
                <w:color w:val="000000"/>
                <w:szCs w:val="21"/>
              </w:rPr>
              <w:t>/a）</w:t>
            </w:r>
            <w:bookmarkEnd w:id="279"/>
            <w:bookmarkEnd w:id="280"/>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898" w:type="dxa"/>
            <w:vMerge w:val="continue"/>
            <w:vAlign w:val="center"/>
          </w:tcPr>
          <w:p>
            <w:pPr>
              <w:jc w:val="center"/>
              <w:outlineLvl w:val="0"/>
              <w:rPr>
                <w:rFonts w:hint="default" w:ascii="Times New Roman" w:hAnsi="Times New Roman" w:cs="Times New Roman"/>
                <w:color w:val="000000"/>
                <w:szCs w:val="21"/>
              </w:rPr>
            </w:pPr>
          </w:p>
        </w:tc>
        <w:tc>
          <w:tcPr>
            <w:tcW w:w="897" w:type="dxa"/>
            <w:vMerge w:val="continue"/>
            <w:vAlign w:val="center"/>
          </w:tcPr>
          <w:p>
            <w:pPr>
              <w:jc w:val="center"/>
              <w:outlineLvl w:val="0"/>
              <w:rPr>
                <w:rFonts w:hint="default" w:ascii="Times New Roman" w:hAnsi="Times New Roman" w:cs="Times New Roman"/>
                <w:color w:val="000000"/>
                <w:szCs w:val="21"/>
              </w:rPr>
            </w:pPr>
          </w:p>
        </w:tc>
        <w:tc>
          <w:tcPr>
            <w:tcW w:w="902" w:type="dxa"/>
            <w:vMerge w:val="continue"/>
            <w:vAlign w:val="center"/>
          </w:tcPr>
          <w:p>
            <w:pPr>
              <w:jc w:val="center"/>
              <w:outlineLvl w:val="0"/>
              <w:rPr>
                <w:rFonts w:hint="default" w:ascii="Times New Roman" w:hAnsi="Times New Roman" w:cs="Times New Roman"/>
                <w:color w:val="000000"/>
                <w:szCs w:val="21"/>
              </w:rPr>
            </w:pPr>
          </w:p>
        </w:tc>
        <w:tc>
          <w:tcPr>
            <w:tcW w:w="708" w:type="dxa"/>
            <w:vMerge w:val="continue"/>
            <w:vAlign w:val="center"/>
          </w:tcPr>
          <w:p>
            <w:pPr>
              <w:jc w:val="center"/>
              <w:outlineLvl w:val="0"/>
              <w:rPr>
                <w:rFonts w:hint="default" w:ascii="Times New Roman" w:hAnsi="Times New Roman" w:cs="Times New Roman"/>
                <w:color w:val="000000"/>
                <w:szCs w:val="21"/>
              </w:rPr>
            </w:pPr>
          </w:p>
        </w:tc>
        <w:tc>
          <w:tcPr>
            <w:tcW w:w="2384" w:type="dxa"/>
            <w:vMerge w:val="continue"/>
            <w:vAlign w:val="center"/>
          </w:tcPr>
          <w:p>
            <w:pPr>
              <w:jc w:val="center"/>
              <w:outlineLvl w:val="0"/>
              <w:rPr>
                <w:rFonts w:hint="default" w:ascii="Times New Roman" w:hAnsi="Times New Roman" w:cs="Times New Roman"/>
                <w:color w:val="000000"/>
                <w:szCs w:val="21"/>
              </w:rPr>
            </w:pPr>
          </w:p>
        </w:tc>
        <w:tc>
          <w:tcPr>
            <w:tcW w:w="1253" w:type="dxa"/>
            <w:tcBorders>
              <w:top w:val="single" w:color="auto" w:sz="2" w:space="0"/>
            </w:tcBorders>
            <w:vAlign w:val="center"/>
          </w:tcPr>
          <w:p>
            <w:pPr>
              <w:jc w:val="center"/>
              <w:outlineLvl w:val="0"/>
              <w:rPr>
                <w:rFonts w:hint="default" w:ascii="Times New Roman" w:hAnsi="Times New Roman" w:cs="Times New Roman"/>
                <w:color w:val="000000"/>
                <w:szCs w:val="21"/>
              </w:rPr>
            </w:pPr>
            <w:bookmarkStart w:id="281" w:name="_Toc5627"/>
            <w:bookmarkStart w:id="282" w:name="_Toc14815"/>
            <w:r>
              <w:rPr>
                <w:rFonts w:hint="default" w:ascii="Times New Roman" w:hAnsi="Times New Roman" w:cs="Times New Roman"/>
                <w:color w:val="000000"/>
                <w:szCs w:val="21"/>
              </w:rPr>
              <w:t>标准名称</w:t>
            </w:r>
            <w:bookmarkEnd w:id="281"/>
            <w:bookmarkEnd w:id="282"/>
          </w:p>
        </w:tc>
        <w:tc>
          <w:tcPr>
            <w:tcW w:w="1516" w:type="dxa"/>
            <w:tcBorders>
              <w:top w:val="single" w:color="auto" w:sz="2" w:space="0"/>
            </w:tcBorders>
            <w:vAlign w:val="center"/>
          </w:tcPr>
          <w:p>
            <w:pPr>
              <w:jc w:val="center"/>
              <w:outlineLvl w:val="0"/>
              <w:rPr>
                <w:rFonts w:hint="default" w:ascii="Times New Roman" w:hAnsi="Times New Roman" w:cs="Times New Roman"/>
                <w:color w:val="000000"/>
                <w:szCs w:val="21"/>
              </w:rPr>
            </w:pPr>
            <w:bookmarkStart w:id="283" w:name="_Toc14136"/>
            <w:bookmarkStart w:id="284" w:name="_Toc13593"/>
            <w:r>
              <w:rPr>
                <w:rFonts w:hint="default" w:ascii="Times New Roman" w:hAnsi="Times New Roman" w:cs="Times New Roman"/>
                <w:color w:val="000000"/>
                <w:szCs w:val="21"/>
              </w:rPr>
              <w:t>浓度限值（ug/m³）</w:t>
            </w:r>
            <w:bookmarkEnd w:id="283"/>
            <w:bookmarkEnd w:id="284"/>
          </w:p>
        </w:tc>
        <w:tc>
          <w:tcPr>
            <w:tcW w:w="1154" w:type="dxa"/>
            <w:vMerge w:val="continue"/>
            <w:vAlign w:val="center"/>
          </w:tcPr>
          <w:p>
            <w:pPr>
              <w:jc w:val="center"/>
              <w:outlineLvl w:val="0"/>
              <w:rPr>
                <w:rFonts w:hint="default"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jc w:val="center"/>
        </w:trPr>
        <w:tc>
          <w:tcPr>
            <w:tcW w:w="898" w:type="dxa"/>
            <w:vMerge w:val="restart"/>
            <w:vAlign w:val="center"/>
          </w:tcPr>
          <w:p>
            <w:pPr>
              <w:jc w:val="center"/>
              <w:outlineLvl w:val="0"/>
              <w:rPr>
                <w:rFonts w:hint="default" w:ascii="Times New Roman" w:hAnsi="Times New Roman" w:cs="Times New Roman"/>
                <w:color w:val="000000"/>
                <w:szCs w:val="21"/>
              </w:rPr>
            </w:pPr>
            <w:bookmarkStart w:id="285" w:name="_Toc29059"/>
            <w:bookmarkStart w:id="286" w:name="_Toc10748"/>
            <w:r>
              <w:rPr>
                <w:rFonts w:hint="default" w:ascii="Times New Roman" w:hAnsi="Times New Roman" w:cs="Times New Roman"/>
                <w:color w:val="000000"/>
                <w:szCs w:val="21"/>
              </w:rPr>
              <w:t>1</w:t>
            </w:r>
            <w:bookmarkEnd w:id="285"/>
            <w:bookmarkEnd w:id="286"/>
          </w:p>
        </w:tc>
        <w:tc>
          <w:tcPr>
            <w:tcW w:w="897" w:type="dxa"/>
            <w:vMerge w:val="restart"/>
            <w:vAlign w:val="center"/>
          </w:tcPr>
          <w:p>
            <w:pPr>
              <w:jc w:val="center"/>
              <w:outlineLvl w:val="0"/>
              <w:rPr>
                <w:rFonts w:hint="default" w:ascii="Times New Roman" w:hAnsi="Times New Roman" w:cs="Times New Roman"/>
                <w:color w:val="000000"/>
                <w:szCs w:val="21"/>
              </w:rPr>
            </w:pPr>
            <w:bookmarkStart w:id="287" w:name="_Toc17481"/>
            <w:bookmarkStart w:id="288" w:name="_Toc14417"/>
            <w:r>
              <w:rPr>
                <w:rFonts w:hint="default" w:ascii="Times New Roman" w:hAnsi="Times New Roman" w:cs="Times New Roman"/>
                <w:color w:val="000000"/>
                <w:szCs w:val="21"/>
              </w:rPr>
              <w:t>g1</w:t>
            </w:r>
            <w:bookmarkEnd w:id="287"/>
            <w:bookmarkEnd w:id="288"/>
          </w:p>
        </w:tc>
        <w:tc>
          <w:tcPr>
            <w:tcW w:w="902" w:type="dxa"/>
            <w:vMerge w:val="restart"/>
            <w:vAlign w:val="center"/>
          </w:tcPr>
          <w:p>
            <w:pPr>
              <w:jc w:val="center"/>
              <w:outlineLvl w:val="0"/>
              <w:rPr>
                <w:rFonts w:hint="eastAsia" w:ascii="Times New Roman" w:hAnsi="Times New Roman" w:eastAsia="宋体" w:cs="Times New Roman"/>
                <w:color w:val="000000"/>
                <w:szCs w:val="21"/>
                <w:lang w:eastAsia="zh-CN"/>
              </w:rPr>
            </w:pPr>
            <w:bookmarkStart w:id="289" w:name="_Toc29684"/>
            <w:bookmarkStart w:id="290" w:name="_Toc9286"/>
            <w:r>
              <w:rPr>
                <w:rFonts w:hint="default" w:ascii="Times New Roman" w:hAnsi="Times New Roman" w:cs="Times New Roman"/>
                <w:color w:val="000000"/>
                <w:szCs w:val="21"/>
              </w:rPr>
              <w:t>圈舍、污水处理设施</w:t>
            </w:r>
            <w:bookmarkEnd w:id="289"/>
            <w:bookmarkEnd w:id="290"/>
            <w:r>
              <w:rPr>
                <w:rFonts w:hint="eastAsia" w:ascii="Times New Roman" w:hAnsi="Times New Roman" w:cs="Times New Roman"/>
                <w:color w:val="000000"/>
                <w:szCs w:val="21"/>
                <w:lang w:eastAsia="zh-CN"/>
              </w:rPr>
              <w:t>、猪粪暂存间</w:t>
            </w:r>
          </w:p>
        </w:tc>
        <w:tc>
          <w:tcPr>
            <w:tcW w:w="708" w:type="dxa"/>
            <w:vAlign w:val="center"/>
          </w:tcPr>
          <w:p>
            <w:pPr>
              <w:jc w:val="center"/>
              <w:outlineLvl w:val="0"/>
              <w:rPr>
                <w:rFonts w:hint="default" w:ascii="Times New Roman" w:hAnsi="Times New Roman" w:cs="Times New Roman"/>
                <w:color w:val="000000"/>
                <w:szCs w:val="21"/>
              </w:rPr>
            </w:pPr>
            <w:bookmarkStart w:id="291" w:name="_Toc9774"/>
            <w:bookmarkStart w:id="292" w:name="_Toc16826"/>
            <w:r>
              <w:rPr>
                <w:rFonts w:hint="default" w:ascii="Times New Roman" w:hAnsi="Times New Roman" w:cs="Times New Roman"/>
                <w:color w:val="000000"/>
                <w:szCs w:val="21"/>
              </w:rPr>
              <w:t>H</w:t>
            </w:r>
            <w:r>
              <w:rPr>
                <w:rFonts w:hint="default" w:ascii="Times New Roman" w:hAnsi="Times New Roman" w:cs="Times New Roman"/>
                <w:color w:val="000000"/>
                <w:szCs w:val="21"/>
                <w:vertAlign w:val="subscript"/>
              </w:rPr>
              <w:t>2</w:t>
            </w:r>
            <w:r>
              <w:rPr>
                <w:rFonts w:hint="default" w:ascii="Times New Roman" w:hAnsi="Times New Roman" w:cs="Times New Roman"/>
                <w:color w:val="000000"/>
                <w:szCs w:val="21"/>
              </w:rPr>
              <w:t>S</w:t>
            </w:r>
            <w:bookmarkEnd w:id="291"/>
            <w:bookmarkEnd w:id="292"/>
          </w:p>
        </w:tc>
        <w:tc>
          <w:tcPr>
            <w:tcW w:w="2384" w:type="dxa"/>
            <w:vMerge w:val="restart"/>
            <w:vAlign w:val="center"/>
          </w:tcPr>
          <w:p>
            <w:pPr>
              <w:jc w:val="center"/>
              <w:outlineLvl w:val="0"/>
              <w:rPr>
                <w:rFonts w:hint="default" w:ascii="Times New Roman" w:hAnsi="Times New Roman" w:cs="Times New Roman"/>
                <w:color w:val="000000"/>
                <w:szCs w:val="21"/>
              </w:rPr>
            </w:pPr>
            <w:bookmarkStart w:id="293" w:name="_Toc24642"/>
            <w:bookmarkStart w:id="294" w:name="_Toc4818"/>
            <w:r>
              <w:rPr>
                <w:rFonts w:hint="default" w:ascii="Times New Roman" w:hAnsi="Times New Roman" w:cs="Times New Roman"/>
                <w:color w:val="000000"/>
                <w:szCs w:val="21"/>
              </w:rPr>
              <w:t>干清粪，加强猪舍、污水处理设施清洁消毒、加强通风、科学设计日粮，提高饲料利用率，合理使用饲料添加剂，加强绿化等。</w:t>
            </w:r>
            <w:bookmarkEnd w:id="293"/>
            <w:bookmarkEnd w:id="294"/>
          </w:p>
        </w:tc>
        <w:tc>
          <w:tcPr>
            <w:tcW w:w="1253" w:type="dxa"/>
            <w:vMerge w:val="restart"/>
            <w:vAlign w:val="center"/>
          </w:tcPr>
          <w:p>
            <w:pPr>
              <w:jc w:val="center"/>
              <w:outlineLvl w:val="0"/>
              <w:rPr>
                <w:rFonts w:hint="default" w:ascii="Times New Roman" w:hAnsi="Times New Roman" w:cs="Times New Roman"/>
                <w:color w:val="000000"/>
                <w:szCs w:val="21"/>
              </w:rPr>
            </w:pPr>
            <w:bookmarkStart w:id="295" w:name="_Toc17010"/>
            <w:bookmarkStart w:id="296" w:name="_Toc31460"/>
            <w:r>
              <w:rPr>
                <w:rFonts w:hint="default" w:ascii="Times New Roman" w:hAnsi="Times New Roman" w:cs="Times New Roman"/>
                <w:szCs w:val="21"/>
              </w:rPr>
              <w:t>《恶臭污染物排放标准》（GB14554-93）中表1标准</w:t>
            </w:r>
            <w:bookmarkEnd w:id="295"/>
            <w:bookmarkEnd w:id="296"/>
          </w:p>
        </w:tc>
        <w:tc>
          <w:tcPr>
            <w:tcW w:w="1516" w:type="dxa"/>
            <w:vAlign w:val="center"/>
          </w:tcPr>
          <w:p>
            <w:pPr>
              <w:jc w:val="center"/>
              <w:outlineLvl w:val="0"/>
              <w:rPr>
                <w:rFonts w:hint="default" w:ascii="Times New Roman" w:hAnsi="Times New Roman" w:cs="Times New Roman"/>
                <w:szCs w:val="21"/>
              </w:rPr>
            </w:pPr>
            <w:bookmarkStart w:id="297" w:name="_Toc8842"/>
            <w:bookmarkStart w:id="298" w:name="_Toc27024"/>
            <w:r>
              <w:rPr>
                <w:rFonts w:hint="default" w:ascii="Times New Roman" w:hAnsi="Times New Roman" w:cs="Times New Roman"/>
                <w:szCs w:val="21"/>
              </w:rPr>
              <w:t>60</w:t>
            </w:r>
            <w:bookmarkEnd w:id="297"/>
            <w:bookmarkEnd w:id="298"/>
          </w:p>
        </w:tc>
        <w:tc>
          <w:tcPr>
            <w:tcW w:w="1154" w:type="dxa"/>
            <w:vAlign w:val="center"/>
          </w:tcPr>
          <w:p>
            <w:pPr>
              <w:jc w:val="center"/>
              <w:outlineLvl w:val="0"/>
              <w:rPr>
                <w:rFonts w:hint="eastAsia" w:ascii="Times New Roman" w:hAnsi="Times New Roman" w:eastAsia="宋体" w:cs="Times New Roman"/>
                <w:szCs w:val="21"/>
                <w:lang w:val="en-US" w:eastAsia="zh-CN"/>
              </w:rPr>
            </w:pPr>
            <w:r>
              <w:rPr>
                <w:rFonts w:hint="eastAsia"/>
                <w:lang w:val="en-US" w:eastAsia="zh-CN"/>
              </w:rPr>
              <w:t>9.4608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8" w:type="dxa"/>
            <w:vMerge w:val="continue"/>
            <w:vAlign w:val="center"/>
          </w:tcPr>
          <w:p>
            <w:pPr>
              <w:jc w:val="center"/>
              <w:outlineLvl w:val="0"/>
              <w:rPr>
                <w:rFonts w:hint="default" w:ascii="Times New Roman" w:hAnsi="Times New Roman" w:cs="Times New Roman"/>
                <w:color w:val="000000"/>
                <w:szCs w:val="21"/>
              </w:rPr>
            </w:pPr>
          </w:p>
        </w:tc>
        <w:tc>
          <w:tcPr>
            <w:tcW w:w="897" w:type="dxa"/>
            <w:vMerge w:val="continue"/>
            <w:vAlign w:val="center"/>
          </w:tcPr>
          <w:p>
            <w:pPr>
              <w:jc w:val="center"/>
              <w:outlineLvl w:val="0"/>
              <w:rPr>
                <w:rFonts w:hint="default" w:ascii="Times New Roman" w:hAnsi="Times New Roman" w:cs="Times New Roman"/>
                <w:color w:val="000000"/>
                <w:szCs w:val="21"/>
              </w:rPr>
            </w:pPr>
          </w:p>
        </w:tc>
        <w:tc>
          <w:tcPr>
            <w:tcW w:w="902" w:type="dxa"/>
            <w:vMerge w:val="continue"/>
            <w:vAlign w:val="center"/>
          </w:tcPr>
          <w:p>
            <w:pPr>
              <w:jc w:val="center"/>
              <w:outlineLvl w:val="0"/>
              <w:rPr>
                <w:rFonts w:hint="default" w:ascii="Times New Roman" w:hAnsi="Times New Roman" w:cs="Times New Roman"/>
                <w:color w:val="000000"/>
                <w:szCs w:val="21"/>
              </w:rPr>
            </w:pPr>
          </w:p>
        </w:tc>
        <w:tc>
          <w:tcPr>
            <w:tcW w:w="708" w:type="dxa"/>
            <w:vAlign w:val="center"/>
          </w:tcPr>
          <w:p>
            <w:pPr>
              <w:jc w:val="center"/>
              <w:outlineLvl w:val="0"/>
              <w:rPr>
                <w:rFonts w:hint="default" w:ascii="Times New Roman" w:hAnsi="Times New Roman" w:cs="Times New Roman"/>
                <w:color w:val="000000"/>
                <w:szCs w:val="21"/>
              </w:rPr>
            </w:pPr>
            <w:bookmarkStart w:id="299" w:name="_Toc17783"/>
            <w:bookmarkStart w:id="300" w:name="_Toc24431"/>
            <w:r>
              <w:rPr>
                <w:rFonts w:hint="default" w:ascii="Times New Roman" w:hAnsi="Times New Roman" w:cs="Times New Roman"/>
                <w:color w:val="000000"/>
                <w:szCs w:val="21"/>
              </w:rPr>
              <w:t>NH</w:t>
            </w:r>
            <w:r>
              <w:rPr>
                <w:rFonts w:hint="default" w:ascii="Times New Roman" w:hAnsi="Times New Roman" w:cs="Times New Roman"/>
                <w:color w:val="000000"/>
                <w:szCs w:val="21"/>
                <w:vertAlign w:val="subscript"/>
              </w:rPr>
              <w:t>3</w:t>
            </w:r>
            <w:bookmarkEnd w:id="299"/>
            <w:bookmarkEnd w:id="300"/>
          </w:p>
        </w:tc>
        <w:tc>
          <w:tcPr>
            <w:tcW w:w="2384" w:type="dxa"/>
            <w:vMerge w:val="continue"/>
            <w:vAlign w:val="center"/>
          </w:tcPr>
          <w:p>
            <w:pPr>
              <w:jc w:val="center"/>
              <w:outlineLvl w:val="0"/>
              <w:rPr>
                <w:rFonts w:hint="default" w:ascii="Times New Roman" w:hAnsi="Times New Roman" w:cs="Times New Roman"/>
                <w:color w:val="000000"/>
                <w:szCs w:val="21"/>
              </w:rPr>
            </w:pPr>
          </w:p>
        </w:tc>
        <w:tc>
          <w:tcPr>
            <w:tcW w:w="1253" w:type="dxa"/>
            <w:vMerge w:val="continue"/>
            <w:vAlign w:val="center"/>
          </w:tcPr>
          <w:p>
            <w:pPr>
              <w:jc w:val="center"/>
              <w:outlineLvl w:val="0"/>
              <w:rPr>
                <w:rFonts w:hint="default" w:ascii="Times New Roman" w:hAnsi="Times New Roman" w:cs="Times New Roman"/>
                <w:color w:val="000000"/>
                <w:szCs w:val="21"/>
              </w:rPr>
            </w:pPr>
          </w:p>
        </w:tc>
        <w:tc>
          <w:tcPr>
            <w:tcW w:w="1516" w:type="dxa"/>
            <w:vAlign w:val="center"/>
          </w:tcPr>
          <w:p>
            <w:pPr>
              <w:jc w:val="center"/>
              <w:outlineLvl w:val="0"/>
              <w:rPr>
                <w:rFonts w:hint="default" w:ascii="Times New Roman" w:hAnsi="Times New Roman" w:cs="Times New Roman"/>
                <w:szCs w:val="21"/>
              </w:rPr>
            </w:pPr>
            <w:bookmarkStart w:id="301" w:name="_Toc8654"/>
            <w:bookmarkStart w:id="302" w:name="_Toc23908"/>
            <w:r>
              <w:rPr>
                <w:rFonts w:hint="default" w:ascii="Times New Roman" w:hAnsi="Times New Roman" w:cs="Times New Roman"/>
                <w:szCs w:val="21"/>
              </w:rPr>
              <w:t>1500</w:t>
            </w:r>
            <w:bookmarkEnd w:id="301"/>
            <w:bookmarkEnd w:id="302"/>
          </w:p>
        </w:tc>
        <w:tc>
          <w:tcPr>
            <w:tcW w:w="1154" w:type="dxa"/>
            <w:vAlign w:val="center"/>
          </w:tcPr>
          <w:p>
            <w:pPr>
              <w:jc w:val="center"/>
              <w:outlineLvl w:val="0"/>
              <w:rPr>
                <w:rFonts w:hint="eastAsia"/>
                <w:lang w:val="en-US" w:eastAsia="zh-CN"/>
              </w:rPr>
            </w:pPr>
            <w:r>
              <w:rPr>
                <w:rFonts w:hint="eastAsia" w:ascii="Times New Roman" w:hAnsi="Times New Roman" w:cs="Times New Roman"/>
                <w:szCs w:val="21"/>
                <w:lang w:val="en-US" w:eastAsia="zh-CN"/>
              </w:rPr>
              <w:t>92.6808</w:t>
            </w:r>
          </w:p>
        </w:tc>
      </w:tr>
    </w:tbl>
    <w:p>
      <w:pPr>
        <w:pStyle w:val="88"/>
        <w:numPr>
          <w:ilvl w:val="0"/>
          <w:numId w:val="4"/>
        </w:numPr>
        <w:adjustRightInd w:val="0"/>
        <w:snapToGrid w:val="0"/>
        <w:spacing w:line="360" w:lineRule="auto"/>
        <w:ind w:firstLine="482" w:firstLineChars="200"/>
        <w:jc w:val="left"/>
        <w:outlineLvl w:val="3"/>
        <w:rPr>
          <w:rFonts w:hint="default" w:ascii="Times New Roman" w:hAnsi="Times New Roman" w:cs="Times New Roman"/>
          <w:b/>
          <w:sz w:val="24"/>
        </w:rPr>
      </w:pPr>
      <w:r>
        <w:rPr>
          <w:rFonts w:hint="default" w:ascii="Times New Roman" w:hAnsi="Times New Roman" w:cs="Times New Roman"/>
          <w:b/>
          <w:sz w:val="24"/>
        </w:rPr>
        <w:t>项目大气污染物年排放量核算</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项目运营期大气污染物年排放量核算如下示：</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表5.2-4  大气污染物年排放量核算表</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16"/>
        <w:gridCol w:w="3234"/>
        <w:gridCol w:w="32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16" w:type="dxa"/>
            <w:vAlign w:val="center"/>
          </w:tcPr>
          <w:p>
            <w:pPr>
              <w:jc w:val="center"/>
              <w:outlineLvl w:val="0"/>
              <w:rPr>
                <w:rFonts w:hint="default" w:ascii="Times New Roman" w:hAnsi="Times New Roman" w:cs="Times New Roman"/>
                <w:color w:val="000000"/>
                <w:szCs w:val="21"/>
              </w:rPr>
            </w:pPr>
            <w:bookmarkStart w:id="303" w:name="_Toc12437"/>
            <w:bookmarkStart w:id="304" w:name="_Toc28678"/>
            <w:r>
              <w:rPr>
                <w:rFonts w:hint="default" w:ascii="Times New Roman" w:hAnsi="Times New Roman" w:cs="Times New Roman"/>
                <w:color w:val="000000"/>
                <w:szCs w:val="21"/>
              </w:rPr>
              <w:t>序号</w:t>
            </w:r>
            <w:bookmarkEnd w:id="303"/>
            <w:bookmarkEnd w:id="304"/>
          </w:p>
        </w:tc>
        <w:tc>
          <w:tcPr>
            <w:tcW w:w="3234" w:type="dxa"/>
            <w:vAlign w:val="center"/>
          </w:tcPr>
          <w:p>
            <w:pPr>
              <w:jc w:val="center"/>
              <w:outlineLvl w:val="0"/>
              <w:rPr>
                <w:rFonts w:hint="default" w:ascii="Times New Roman" w:hAnsi="Times New Roman" w:cs="Times New Roman"/>
                <w:color w:val="000000"/>
                <w:szCs w:val="21"/>
              </w:rPr>
            </w:pPr>
            <w:bookmarkStart w:id="305" w:name="_Toc13629"/>
            <w:bookmarkStart w:id="306" w:name="_Toc28464"/>
            <w:r>
              <w:rPr>
                <w:rFonts w:hint="default" w:ascii="Times New Roman" w:hAnsi="Times New Roman" w:cs="Times New Roman"/>
                <w:color w:val="000000"/>
                <w:szCs w:val="21"/>
              </w:rPr>
              <w:t>污染物</w:t>
            </w:r>
            <w:bookmarkEnd w:id="305"/>
            <w:bookmarkEnd w:id="306"/>
          </w:p>
        </w:tc>
        <w:tc>
          <w:tcPr>
            <w:tcW w:w="3262" w:type="dxa"/>
            <w:vAlign w:val="center"/>
          </w:tcPr>
          <w:p>
            <w:pPr>
              <w:jc w:val="center"/>
              <w:outlineLvl w:val="0"/>
              <w:rPr>
                <w:rFonts w:hint="default" w:ascii="Times New Roman" w:hAnsi="Times New Roman" w:cs="Times New Roman"/>
                <w:color w:val="000000"/>
                <w:szCs w:val="21"/>
              </w:rPr>
            </w:pPr>
            <w:bookmarkStart w:id="307" w:name="_Toc30401"/>
            <w:bookmarkStart w:id="308" w:name="_Toc1321"/>
            <w:r>
              <w:rPr>
                <w:rFonts w:hint="default" w:ascii="Times New Roman" w:hAnsi="Times New Roman" w:cs="Times New Roman"/>
                <w:color w:val="000000"/>
                <w:szCs w:val="21"/>
              </w:rPr>
              <w:t>年排放量（</w:t>
            </w:r>
            <w:r>
              <w:rPr>
                <w:rFonts w:hint="eastAsia" w:ascii="Times New Roman" w:hAnsi="Times New Roman" w:cs="Times New Roman"/>
                <w:color w:val="000000"/>
                <w:szCs w:val="21"/>
                <w:lang w:val="en-US" w:eastAsia="zh-CN"/>
              </w:rPr>
              <w:t>kg</w:t>
            </w:r>
            <w:r>
              <w:rPr>
                <w:rFonts w:hint="default" w:ascii="Times New Roman" w:hAnsi="Times New Roman" w:cs="Times New Roman"/>
                <w:color w:val="000000"/>
                <w:szCs w:val="21"/>
              </w:rPr>
              <w:t>/a）</w:t>
            </w:r>
            <w:bookmarkEnd w:id="307"/>
            <w:bookmarkEnd w:id="308"/>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16" w:type="dxa"/>
            <w:vAlign w:val="center"/>
          </w:tcPr>
          <w:p>
            <w:pPr>
              <w:jc w:val="center"/>
              <w:outlineLvl w:val="0"/>
              <w:rPr>
                <w:rFonts w:hint="default" w:ascii="Times New Roman" w:hAnsi="Times New Roman" w:cs="Times New Roman"/>
                <w:color w:val="000000"/>
                <w:szCs w:val="21"/>
              </w:rPr>
            </w:pPr>
            <w:bookmarkStart w:id="309" w:name="_Toc28371"/>
            <w:bookmarkStart w:id="310" w:name="_Toc15021"/>
            <w:r>
              <w:rPr>
                <w:rFonts w:hint="default" w:ascii="Times New Roman" w:hAnsi="Times New Roman" w:cs="Times New Roman"/>
                <w:color w:val="000000"/>
                <w:szCs w:val="21"/>
              </w:rPr>
              <w:t>1</w:t>
            </w:r>
            <w:bookmarkEnd w:id="309"/>
            <w:bookmarkEnd w:id="310"/>
          </w:p>
        </w:tc>
        <w:tc>
          <w:tcPr>
            <w:tcW w:w="3234"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餐饮油烟</w:t>
            </w:r>
          </w:p>
        </w:tc>
        <w:tc>
          <w:tcPr>
            <w:tcW w:w="3262" w:type="dxa"/>
            <w:vAlign w:val="center"/>
          </w:tcPr>
          <w:p>
            <w:pPr>
              <w:jc w:val="center"/>
              <w:outlineLvl w:val="0"/>
              <w:rPr>
                <w:rFonts w:hint="default" w:ascii="Times New Roman" w:hAnsi="Times New Roman" w:cs="Times New Roman"/>
                <w:szCs w:val="21"/>
              </w:rPr>
            </w:pPr>
            <w:bookmarkStart w:id="311" w:name="_Toc16512"/>
            <w:bookmarkStart w:id="312" w:name="_Toc11644"/>
            <w:r>
              <w:rPr>
                <w:rFonts w:hint="default" w:ascii="Times New Roman" w:hAnsi="Times New Roman" w:cs="Times New Roman"/>
                <w:szCs w:val="21"/>
              </w:rPr>
              <w:t>2.479</w:t>
            </w:r>
            <w:bookmarkEnd w:id="311"/>
            <w:bookmarkEnd w:id="312"/>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16" w:type="dxa"/>
            <w:vAlign w:val="center"/>
          </w:tcPr>
          <w:p>
            <w:pPr>
              <w:jc w:val="center"/>
              <w:outlineLvl w:val="0"/>
              <w:rPr>
                <w:rFonts w:hint="default" w:ascii="Times New Roman" w:hAnsi="Times New Roman" w:cs="Times New Roman"/>
                <w:color w:val="000000"/>
                <w:szCs w:val="21"/>
              </w:rPr>
            </w:pPr>
            <w:bookmarkStart w:id="313" w:name="_Toc11068"/>
            <w:bookmarkStart w:id="314" w:name="_Toc20847"/>
            <w:r>
              <w:rPr>
                <w:rFonts w:hint="default" w:ascii="Times New Roman" w:hAnsi="Times New Roman" w:cs="Times New Roman"/>
                <w:color w:val="000000"/>
                <w:szCs w:val="21"/>
              </w:rPr>
              <w:t>2</w:t>
            </w:r>
            <w:bookmarkEnd w:id="313"/>
            <w:bookmarkEnd w:id="314"/>
          </w:p>
        </w:tc>
        <w:tc>
          <w:tcPr>
            <w:tcW w:w="3234"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p>
        </w:tc>
        <w:tc>
          <w:tcPr>
            <w:tcW w:w="3262" w:type="dxa"/>
            <w:vAlign w:val="center"/>
          </w:tcPr>
          <w:p>
            <w:pPr>
              <w:jc w:val="center"/>
              <w:outlineLvl w:val="0"/>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16.2936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16" w:type="dxa"/>
            <w:vAlign w:val="center"/>
          </w:tcPr>
          <w:p>
            <w:pPr>
              <w:jc w:val="center"/>
              <w:outlineLvl w:val="0"/>
              <w:rPr>
                <w:rFonts w:hint="default" w:ascii="Times New Roman" w:hAnsi="Times New Roman" w:cs="Times New Roman"/>
                <w:color w:val="000000"/>
                <w:szCs w:val="21"/>
              </w:rPr>
            </w:pPr>
            <w:bookmarkStart w:id="315" w:name="_Toc19074"/>
            <w:bookmarkStart w:id="316" w:name="_Toc19767"/>
            <w:r>
              <w:rPr>
                <w:rFonts w:hint="default" w:ascii="Times New Roman" w:hAnsi="Times New Roman" w:cs="Times New Roman"/>
                <w:color w:val="000000"/>
                <w:szCs w:val="21"/>
              </w:rPr>
              <w:t>3</w:t>
            </w:r>
            <w:bookmarkEnd w:id="315"/>
            <w:bookmarkEnd w:id="316"/>
          </w:p>
        </w:tc>
        <w:tc>
          <w:tcPr>
            <w:tcW w:w="3234"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p>
        </w:tc>
        <w:tc>
          <w:tcPr>
            <w:tcW w:w="3262" w:type="dxa"/>
            <w:vAlign w:val="center"/>
          </w:tcPr>
          <w:p>
            <w:pPr>
              <w:jc w:val="center"/>
              <w:outlineLvl w:val="0"/>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160.1328</w:t>
            </w:r>
          </w:p>
        </w:tc>
      </w:tr>
    </w:tbl>
    <w:p>
      <w:pPr>
        <w:pStyle w:val="88"/>
        <w:adjustRightInd w:val="0"/>
        <w:snapToGrid w:val="0"/>
        <w:spacing w:line="360" w:lineRule="auto"/>
        <w:ind w:firstLine="482" w:firstLineChars="200"/>
        <w:jc w:val="left"/>
        <w:outlineLvl w:val="3"/>
        <w:rPr>
          <w:rFonts w:hint="default" w:ascii="Times New Roman" w:hAnsi="Times New Roman" w:cs="Times New Roman"/>
          <w:b/>
          <w:sz w:val="24"/>
          <w:szCs w:val="24"/>
        </w:rPr>
      </w:pPr>
      <w:r>
        <w:rPr>
          <w:rFonts w:hint="default" w:ascii="Times New Roman" w:hAnsi="Times New Roman" w:cs="Times New Roman"/>
          <w:b/>
          <w:sz w:val="24"/>
        </w:rPr>
        <w:t>（4）非正常排放量核算</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项目运营期污染源非正产排放量核算如下：</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5.2-5  污染源非正产排放量核算表</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297"/>
        <w:gridCol w:w="984"/>
        <w:gridCol w:w="1027"/>
        <w:gridCol w:w="1318"/>
        <w:gridCol w:w="1245"/>
        <w:gridCol w:w="1052"/>
        <w:gridCol w:w="887"/>
        <w:gridCol w:w="11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vAlign w:val="center"/>
          </w:tcPr>
          <w:p>
            <w:pPr>
              <w:jc w:val="center"/>
              <w:outlineLvl w:val="0"/>
              <w:rPr>
                <w:rFonts w:hint="default" w:ascii="Times New Roman" w:hAnsi="Times New Roman" w:cs="Times New Roman"/>
                <w:b/>
                <w:color w:val="000000"/>
                <w:szCs w:val="21"/>
              </w:rPr>
            </w:pPr>
            <w:bookmarkStart w:id="317" w:name="_Toc14058"/>
            <w:bookmarkStart w:id="318" w:name="_Toc15494"/>
            <w:r>
              <w:rPr>
                <w:rFonts w:hint="default" w:ascii="Times New Roman" w:hAnsi="Times New Roman" w:cs="Times New Roman"/>
                <w:b/>
                <w:color w:val="000000"/>
                <w:szCs w:val="21"/>
              </w:rPr>
              <w:t>序号</w:t>
            </w:r>
            <w:bookmarkEnd w:id="317"/>
            <w:bookmarkEnd w:id="318"/>
          </w:p>
        </w:tc>
        <w:tc>
          <w:tcPr>
            <w:tcW w:w="1297" w:type="dxa"/>
            <w:vAlign w:val="center"/>
          </w:tcPr>
          <w:p>
            <w:pPr>
              <w:jc w:val="center"/>
              <w:outlineLvl w:val="0"/>
              <w:rPr>
                <w:rFonts w:hint="default" w:ascii="Times New Roman" w:hAnsi="Times New Roman" w:cs="Times New Roman"/>
                <w:b/>
                <w:color w:val="000000"/>
                <w:szCs w:val="21"/>
              </w:rPr>
            </w:pPr>
            <w:bookmarkStart w:id="319" w:name="_Toc22655"/>
            <w:bookmarkStart w:id="320" w:name="_Toc31593"/>
            <w:r>
              <w:rPr>
                <w:rFonts w:hint="default" w:ascii="Times New Roman" w:hAnsi="Times New Roman" w:cs="Times New Roman"/>
                <w:b/>
                <w:color w:val="000000"/>
                <w:szCs w:val="21"/>
              </w:rPr>
              <w:t>污染源</w:t>
            </w:r>
            <w:bookmarkEnd w:id="319"/>
            <w:bookmarkEnd w:id="320"/>
          </w:p>
        </w:tc>
        <w:tc>
          <w:tcPr>
            <w:tcW w:w="984" w:type="dxa"/>
            <w:vAlign w:val="center"/>
          </w:tcPr>
          <w:p>
            <w:pPr>
              <w:jc w:val="center"/>
              <w:outlineLvl w:val="0"/>
              <w:rPr>
                <w:rFonts w:hint="default" w:ascii="Times New Roman" w:hAnsi="Times New Roman" w:cs="Times New Roman"/>
                <w:b/>
                <w:color w:val="000000"/>
                <w:szCs w:val="21"/>
              </w:rPr>
            </w:pPr>
            <w:bookmarkStart w:id="321" w:name="_Toc31567"/>
            <w:bookmarkStart w:id="322" w:name="_Toc18459"/>
            <w:r>
              <w:rPr>
                <w:rFonts w:hint="default" w:ascii="Times New Roman" w:hAnsi="Times New Roman" w:cs="Times New Roman"/>
                <w:b/>
                <w:color w:val="000000"/>
                <w:szCs w:val="21"/>
              </w:rPr>
              <w:t>非正常排放原因</w:t>
            </w:r>
            <w:bookmarkEnd w:id="321"/>
            <w:bookmarkEnd w:id="322"/>
          </w:p>
        </w:tc>
        <w:tc>
          <w:tcPr>
            <w:tcW w:w="1027" w:type="dxa"/>
            <w:vAlign w:val="center"/>
          </w:tcPr>
          <w:p>
            <w:pPr>
              <w:jc w:val="center"/>
              <w:outlineLvl w:val="0"/>
              <w:rPr>
                <w:rFonts w:hint="default" w:ascii="Times New Roman" w:hAnsi="Times New Roman" w:cs="Times New Roman"/>
                <w:b/>
                <w:color w:val="000000"/>
                <w:szCs w:val="21"/>
              </w:rPr>
            </w:pPr>
            <w:bookmarkStart w:id="323" w:name="_Toc28770"/>
            <w:bookmarkStart w:id="324" w:name="_Toc30500"/>
            <w:r>
              <w:rPr>
                <w:rFonts w:hint="default" w:ascii="Times New Roman" w:hAnsi="Times New Roman" w:cs="Times New Roman"/>
                <w:b/>
                <w:color w:val="000000"/>
                <w:szCs w:val="21"/>
              </w:rPr>
              <w:t>污染物</w:t>
            </w:r>
            <w:bookmarkEnd w:id="323"/>
            <w:bookmarkEnd w:id="324"/>
          </w:p>
        </w:tc>
        <w:tc>
          <w:tcPr>
            <w:tcW w:w="1318" w:type="dxa"/>
            <w:vAlign w:val="center"/>
          </w:tcPr>
          <w:p>
            <w:pPr>
              <w:jc w:val="center"/>
              <w:outlineLvl w:val="0"/>
              <w:rPr>
                <w:rFonts w:hint="default" w:ascii="Times New Roman" w:hAnsi="Times New Roman" w:cs="Times New Roman"/>
                <w:b/>
                <w:color w:val="000000"/>
                <w:szCs w:val="21"/>
              </w:rPr>
            </w:pPr>
            <w:bookmarkStart w:id="325" w:name="_Toc23572"/>
            <w:bookmarkStart w:id="326" w:name="_Toc22298"/>
            <w:r>
              <w:rPr>
                <w:rFonts w:hint="default" w:ascii="Times New Roman" w:hAnsi="Times New Roman" w:cs="Times New Roman"/>
                <w:b/>
                <w:color w:val="000000"/>
                <w:szCs w:val="21"/>
              </w:rPr>
              <w:t>非正常排放浓度（mg/m³）</w:t>
            </w:r>
            <w:bookmarkEnd w:id="325"/>
            <w:bookmarkEnd w:id="326"/>
          </w:p>
        </w:tc>
        <w:tc>
          <w:tcPr>
            <w:tcW w:w="1245" w:type="dxa"/>
            <w:vAlign w:val="center"/>
          </w:tcPr>
          <w:p>
            <w:pPr>
              <w:jc w:val="center"/>
              <w:outlineLvl w:val="0"/>
              <w:rPr>
                <w:rFonts w:hint="default" w:ascii="Times New Roman" w:hAnsi="Times New Roman" w:cs="Times New Roman"/>
                <w:b/>
                <w:color w:val="000000"/>
                <w:szCs w:val="21"/>
              </w:rPr>
            </w:pPr>
            <w:bookmarkStart w:id="327" w:name="_Toc19952"/>
            <w:bookmarkStart w:id="328" w:name="_Toc10939"/>
            <w:r>
              <w:rPr>
                <w:rFonts w:hint="default" w:ascii="Times New Roman" w:hAnsi="Times New Roman" w:cs="Times New Roman"/>
                <w:b/>
                <w:color w:val="000000"/>
                <w:szCs w:val="21"/>
              </w:rPr>
              <w:t>非正常排放速率（kg/h）</w:t>
            </w:r>
            <w:bookmarkEnd w:id="327"/>
            <w:bookmarkEnd w:id="328"/>
          </w:p>
        </w:tc>
        <w:tc>
          <w:tcPr>
            <w:tcW w:w="1052" w:type="dxa"/>
            <w:vAlign w:val="center"/>
          </w:tcPr>
          <w:p>
            <w:pPr>
              <w:jc w:val="center"/>
              <w:outlineLvl w:val="0"/>
              <w:rPr>
                <w:rFonts w:hint="default" w:ascii="Times New Roman" w:hAnsi="Times New Roman" w:cs="Times New Roman"/>
                <w:b/>
                <w:color w:val="000000"/>
                <w:szCs w:val="21"/>
              </w:rPr>
            </w:pPr>
            <w:bookmarkStart w:id="329" w:name="_Toc22643"/>
            <w:bookmarkStart w:id="330" w:name="_Toc25919"/>
            <w:r>
              <w:rPr>
                <w:rFonts w:hint="default" w:ascii="Times New Roman" w:hAnsi="Times New Roman" w:cs="Times New Roman"/>
                <w:b/>
                <w:color w:val="000000"/>
                <w:szCs w:val="21"/>
              </w:rPr>
              <w:t>单次持续时间/min</w:t>
            </w:r>
            <w:bookmarkEnd w:id="329"/>
            <w:bookmarkEnd w:id="330"/>
          </w:p>
        </w:tc>
        <w:tc>
          <w:tcPr>
            <w:tcW w:w="887" w:type="dxa"/>
            <w:vAlign w:val="center"/>
          </w:tcPr>
          <w:p>
            <w:pPr>
              <w:jc w:val="center"/>
              <w:outlineLvl w:val="0"/>
              <w:rPr>
                <w:rFonts w:hint="default" w:ascii="Times New Roman" w:hAnsi="Times New Roman" w:cs="Times New Roman"/>
                <w:b/>
                <w:color w:val="000000"/>
                <w:szCs w:val="21"/>
              </w:rPr>
            </w:pPr>
            <w:bookmarkStart w:id="331" w:name="_Toc23510"/>
            <w:bookmarkStart w:id="332" w:name="_Toc9647"/>
            <w:r>
              <w:rPr>
                <w:rFonts w:hint="default" w:ascii="Times New Roman" w:hAnsi="Times New Roman" w:cs="Times New Roman"/>
                <w:b/>
                <w:color w:val="000000"/>
                <w:szCs w:val="21"/>
              </w:rPr>
              <w:t>年发生频次</w:t>
            </w:r>
            <w:bookmarkEnd w:id="331"/>
            <w:bookmarkEnd w:id="332"/>
          </w:p>
        </w:tc>
        <w:tc>
          <w:tcPr>
            <w:tcW w:w="1163" w:type="dxa"/>
            <w:vAlign w:val="center"/>
          </w:tcPr>
          <w:p>
            <w:pPr>
              <w:jc w:val="center"/>
              <w:outlineLvl w:val="0"/>
              <w:rPr>
                <w:rFonts w:hint="default" w:ascii="Times New Roman" w:hAnsi="Times New Roman" w:cs="Times New Roman"/>
                <w:b/>
                <w:color w:val="000000"/>
                <w:szCs w:val="21"/>
              </w:rPr>
            </w:pPr>
            <w:bookmarkStart w:id="333" w:name="_Toc24412"/>
            <w:bookmarkStart w:id="334" w:name="_Toc9175"/>
            <w:r>
              <w:rPr>
                <w:rFonts w:hint="default" w:ascii="Times New Roman" w:hAnsi="Times New Roman" w:cs="Times New Roman"/>
                <w:b/>
                <w:color w:val="000000"/>
                <w:szCs w:val="21"/>
              </w:rPr>
              <w:t>应对措施</w:t>
            </w:r>
            <w:bookmarkEnd w:id="333"/>
            <w:bookmarkEnd w:id="334"/>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739" w:type="dxa"/>
            <w:vAlign w:val="center"/>
          </w:tcPr>
          <w:p>
            <w:pPr>
              <w:jc w:val="center"/>
              <w:outlineLvl w:val="0"/>
              <w:rPr>
                <w:rFonts w:hint="default" w:ascii="Times New Roman" w:hAnsi="Times New Roman" w:cs="Times New Roman"/>
                <w:color w:val="000000"/>
                <w:szCs w:val="21"/>
              </w:rPr>
            </w:pPr>
            <w:bookmarkStart w:id="335" w:name="_Toc2154"/>
            <w:bookmarkStart w:id="336" w:name="_Toc31910"/>
            <w:r>
              <w:rPr>
                <w:rFonts w:hint="default" w:ascii="Times New Roman" w:hAnsi="Times New Roman" w:cs="Times New Roman"/>
                <w:color w:val="000000"/>
                <w:szCs w:val="21"/>
              </w:rPr>
              <w:t>1</w:t>
            </w:r>
            <w:bookmarkEnd w:id="335"/>
            <w:bookmarkEnd w:id="336"/>
          </w:p>
        </w:tc>
        <w:tc>
          <w:tcPr>
            <w:tcW w:w="1297" w:type="dxa"/>
            <w:vAlign w:val="center"/>
          </w:tcPr>
          <w:p>
            <w:pPr>
              <w:jc w:val="center"/>
              <w:outlineLvl w:val="0"/>
              <w:rPr>
                <w:rFonts w:hint="default" w:ascii="Times New Roman" w:hAnsi="Times New Roman" w:cs="Times New Roman"/>
                <w:color w:val="000000"/>
                <w:szCs w:val="21"/>
              </w:rPr>
            </w:pPr>
            <w:bookmarkStart w:id="337" w:name="_Toc7244"/>
            <w:bookmarkStart w:id="338" w:name="_Toc856"/>
            <w:r>
              <w:rPr>
                <w:rFonts w:hint="default" w:ascii="Times New Roman" w:hAnsi="Times New Roman" w:cs="Times New Roman"/>
                <w:color w:val="000000"/>
                <w:szCs w:val="21"/>
              </w:rPr>
              <w:t>餐饮油烟排气筒</w:t>
            </w:r>
            <w:bookmarkEnd w:id="337"/>
            <w:bookmarkEnd w:id="338"/>
          </w:p>
        </w:tc>
        <w:tc>
          <w:tcPr>
            <w:tcW w:w="984" w:type="dxa"/>
            <w:vAlign w:val="center"/>
          </w:tcPr>
          <w:p>
            <w:pPr>
              <w:jc w:val="center"/>
              <w:outlineLvl w:val="0"/>
              <w:rPr>
                <w:rFonts w:hint="default" w:ascii="Times New Roman" w:hAnsi="Times New Roman" w:cs="Times New Roman"/>
                <w:color w:val="000000"/>
                <w:szCs w:val="21"/>
              </w:rPr>
            </w:pPr>
            <w:bookmarkStart w:id="339" w:name="_Toc30135"/>
            <w:bookmarkStart w:id="340" w:name="_Toc23320"/>
            <w:r>
              <w:rPr>
                <w:rFonts w:hint="default" w:ascii="Times New Roman" w:hAnsi="Times New Roman" w:cs="Times New Roman"/>
                <w:color w:val="000000"/>
                <w:szCs w:val="21"/>
              </w:rPr>
              <w:t>抽油烟机故障</w:t>
            </w:r>
            <w:bookmarkEnd w:id="339"/>
            <w:bookmarkEnd w:id="340"/>
          </w:p>
        </w:tc>
        <w:tc>
          <w:tcPr>
            <w:tcW w:w="1027"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餐饮油烟</w:t>
            </w:r>
          </w:p>
        </w:tc>
        <w:tc>
          <w:tcPr>
            <w:tcW w:w="1318" w:type="dxa"/>
            <w:vAlign w:val="center"/>
          </w:tcPr>
          <w:p>
            <w:pPr>
              <w:jc w:val="center"/>
              <w:outlineLvl w:val="0"/>
              <w:rPr>
                <w:rFonts w:hint="default" w:ascii="Times New Roman" w:hAnsi="Times New Roman" w:cs="Times New Roman"/>
                <w:color w:val="000000"/>
                <w:szCs w:val="21"/>
              </w:rPr>
            </w:pPr>
            <w:bookmarkStart w:id="341" w:name="_Toc9142"/>
            <w:bookmarkStart w:id="342" w:name="_Toc29382"/>
            <w:r>
              <w:rPr>
                <w:rFonts w:hint="default" w:ascii="Times New Roman" w:hAnsi="Times New Roman" w:cs="Times New Roman"/>
                <w:color w:val="000000"/>
                <w:szCs w:val="21"/>
              </w:rPr>
              <w:t>4.245</w:t>
            </w:r>
            <w:bookmarkEnd w:id="341"/>
            <w:bookmarkEnd w:id="342"/>
          </w:p>
        </w:tc>
        <w:tc>
          <w:tcPr>
            <w:tcW w:w="1245" w:type="dxa"/>
            <w:vAlign w:val="center"/>
          </w:tcPr>
          <w:p>
            <w:pPr>
              <w:jc w:val="center"/>
              <w:outlineLvl w:val="0"/>
              <w:rPr>
                <w:rFonts w:hint="default" w:ascii="Times New Roman" w:hAnsi="Times New Roman" w:cs="Times New Roman"/>
                <w:color w:val="000000"/>
                <w:szCs w:val="21"/>
              </w:rPr>
            </w:pPr>
            <w:bookmarkStart w:id="343" w:name="_Toc16037"/>
            <w:bookmarkStart w:id="344" w:name="_Toc26529"/>
            <w:r>
              <w:rPr>
                <w:rFonts w:hint="default" w:ascii="Times New Roman" w:hAnsi="Times New Roman" w:cs="Times New Roman"/>
                <w:color w:val="000000"/>
                <w:szCs w:val="21"/>
              </w:rPr>
              <w:t>0.0085</w:t>
            </w:r>
            <w:bookmarkEnd w:id="343"/>
            <w:bookmarkEnd w:id="344"/>
          </w:p>
        </w:tc>
        <w:tc>
          <w:tcPr>
            <w:tcW w:w="1052" w:type="dxa"/>
            <w:vAlign w:val="center"/>
          </w:tcPr>
          <w:p>
            <w:pPr>
              <w:jc w:val="center"/>
              <w:outlineLvl w:val="0"/>
              <w:rPr>
                <w:rFonts w:hint="default" w:ascii="Times New Roman" w:hAnsi="Times New Roman" w:cs="Times New Roman"/>
                <w:color w:val="000000"/>
                <w:szCs w:val="21"/>
              </w:rPr>
            </w:pPr>
            <w:bookmarkStart w:id="345" w:name="_Toc17409"/>
            <w:bookmarkStart w:id="346" w:name="_Toc19281"/>
            <w:r>
              <w:rPr>
                <w:rFonts w:hint="default" w:ascii="Times New Roman" w:hAnsi="Times New Roman" w:cs="Times New Roman"/>
                <w:color w:val="000000"/>
                <w:szCs w:val="21"/>
              </w:rPr>
              <w:t>10</w:t>
            </w:r>
            <w:bookmarkEnd w:id="345"/>
            <w:bookmarkEnd w:id="346"/>
          </w:p>
        </w:tc>
        <w:tc>
          <w:tcPr>
            <w:tcW w:w="887" w:type="dxa"/>
            <w:vAlign w:val="center"/>
          </w:tcPr>
          <w:p>
            <w:pPr>
              <w:jc w:val="center"/>
              <w:outlineLvl w:val="0"/>
              <w:rPr>
                <w:rFonts w:hint="default" w:ascii="Times New Roman" w:hAnsi="Times New Roman" w:cs="Times New Roman"/>
                <w:color w:val="000000"/>
                <w:szCs w:val="21"/>
              </w:rPr>
            </w:pPr>
            <w:bookmarkStart w:id="347" w:name="_Toc8862"/>
            <w:bookmarkStart w:id="348" w:name="_Toc14251"/>
            <w:r>
              <w:rPr>
                <w:rFonts w:hint="default" w:ascii="Times New Roman" w:hAnsi="Times New Roman" w:cs="Times New Roman"/>
                <w:color w:val="000000"/>
                <w:szCs w:val="21"/>
              </w:rPr>
              <w:t>0.5</w:t>
            </w:r>
            <w:bookmarkEnd w:id="347"/>
            <w:bookmarkEnd w:id="348"/>
          </w:p>
        </w:tc>
        <w:tc>
          <w:tcPr>
            <w:tcW w:w="1163" w:type="dxa"/>
            <w:vAlign w:val="center"/>
          </w:tcPr>
          <w:p>
            <w:pPr>
              <w:jc w:val="center"/>
              <w:outlineLvl w:val="0"/>
              <w:rPr>
                <w:rFonts w:hint="default" w:ascii="Times New Roman" w:hAnsi="Times New Roman" w:cs="Times New Roman"/>
                <w:color w:val="000000"/>
                <w:szCs w:val="21"/>
              </w:rPr>
            </w:pPr>
            <w:bookmarkStart w:id="349" w:name="_Toc10023"/>
            <w:bookmarkStart w:id="350" w:name="_Toc20941"/>
            <w:r>
              <w:rPr>
                <w:rFonts w:hint="default" w:ascii="Times New Roman" w:hAnsi="Times New Roman" w:cs="Times New Roman"/>
                <w:color w:val="000000"/>
                <w:szCs w:val="21"/>
              </w:rPr>
              <w:t>立即对抽油烟机进行检修</w:t>
            </w:r>
            <w:bookmarkEnd w:id="349"/>
            <w:bookmarkEnd w:id="350"/>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39" w:type="dxa"/>
            <w:vMerge w:val="restart"/>
            <w:vAlign w:val="center"/>
          </w:tcPr>
          <w:p>
            <w:pPr>
              <w:jc w:val="center"/>
              <w:outlineLvl w:val="0"/>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2</w:t>
            </w:r>
          </w:p>
        </w:tc>
        <w:tc>
          <w:tcPr>
            <w:tcW w:w="1297" w:type="dxa"/>
            <w:vMerge w:val="restart"/>
            <w:vAlign w:val="center"/>
          </w:tcPr>
          <w:p>
            <w:pPr>
              <w:jc w:val="center"/>
              <w:outlineLvl w:val="0"/>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eastAsia="zh-CN"/>
              </w:rPr>
              <w:t>猪粪暂存间、污水处理站</w:t>
            </w:r>
          </w:p>
        </w:tc>
        <w:tc>
          <w:tcPr>
            <w:tcW w:w="984" w:type="dxa"/>
            <w:vMerge w:val="restart"/>
            <w:vAlign w:val="center"/>
          </w:tcPr>
          <w:p>
            <w:pPr>
              <w:pStyle w:val="2"/>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eastAsia="zh-CN"/>
              </w:rPr>
              <w:t>生物除臭设施故障</w:t>
            </w:r>
          </w:p>
        </w:tc>
        <w:tc>
          <w:tcPr>
            <w:tcW w:w="1027" w:type="dxa"/>
            <w:vAlign w:val="center"/>
          </w:tcPr>
          <w:p>
            <w:pPr>
              <w:pStyle w:val="2"/>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NH</w:t>
            </w:r>
            <w:r>
              <w:rPr>
                <w:rFonts w:hint="eastAsia" w:ascii="Times New Roman" w:hAnsi="Times New Roman" w:cs="Times New Roman"/>
                <w:color w:val="auto"/>
                <w:sz w:val="21"/>
                <w:szCs w:val="21"/>
                <w:vertAlign w:val="subscript"/>
                <w:lang w:val="en-US" w:eastAsia="zh-CN"/>
              </w:rPr>
              <w:t>3</w:t>
            </w:r>
          </w:p>
        </w:tc>
        <w:tc>
          <w:tcPr>
            <w:tcW w:w="1318" w:type="dxa"/>
            <w:vAlign w:val="center"/>
          </w:tcPr>
          <w:p>
            <w:pPr>
              <w:jc w:val="center"/>
              <w:outlineLvl w:val="0"/>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7.84</w:t>
            </w:r>
          </w:p>
        </w:tc>
        <w:tc>
          <w:tcPr>
            <w:tcW w:w="1245" w:type="dxa"/>
            <w:vAlign w:val="center"/>
          </w:tcPr>
          <w:p>
            <w:pPr>
              <w:jc w:val="center"/>
              <w:outlineLvl w:val="0"/>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0.0392</w:t>
            </w:r>
          </w:p>
        </w:tc>
        <w:tc>
          <w:tcPr>
            <w:tcW w:w="1052" w:type="dxa"/>
            <w:vAlign w:val="center"/>
          </w:tcPr>
          <w:p>
            <w:pPr>
              <w:jc w:val="center"/>
              <w:outlineLvl w:val="0"/>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10</w:t>
            </w:r>
          </w:p>
        </w:tc>
        <w:tc>
          <w:tcPr>
            <w:tcW w:w="887" w:type="dxa"/>
            <w:vAlign w:val="center"/>
          </w:tcPr>
          <w:p>
            <w:pPr>
              <w:jc w:val="center"/>
              <w:outlineLvl w:val="0"/>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0.5</w:t>
            </w:r>
          </w:p>
        </w:tc>
        <w:tc>
          <w:tcPr>
            <w:tcW w:w="1163" w:type="dxa"/>
            <w:vMerge w:val="restart"/>
            <w:vAlign w:val="center"/>
          </w:tcPr>
          <w:p>
            <w:pPr>
              <w:jc w:val="center"/>
              <w:outlineLvl w:val="0"/>
              <w:rPr>
                <w:rFonts w:hint="default" w:ascii="Times New Roman" w:hAnsi="Times New Roman" w:cs="Times New Roman"/>
                <w:color w:val="000000"/>
                <w:szCs w:val="21"/>
              </w:rPr>
            </w:pPr>
            <w:r>
              <w:rPr>
                <w:rFonts w:hint="default" w:ascii="Times New Roman" w:hAnsi="Times New Roman" w:cs="Times New Roman"/>
                <w:color w:val="000000"/>
                <w:szCs w:val="21"/>
              </w:rPr>
              <w:t>立即对</w:t>
            </w:r>
            <w:r>
              <w:rPr>
                <w:rFonts w:hint="eastAsia" w:ascii="Times New Roman" w:hAnsi="Times New Roman" w:cs="Times New Roman"/>
                <w:color w:val="000000"/>
                <w:szCs w:val="21"/>
                <w:lang w:eastAsia="zh-CN"/>
              </w:rPr>
              <w:t>生物除臭设施</w:t>
            </w:r>
            <w:r>
              <w:rPr>
                <w:rFonts w:hint="default" w:ascii="Times New Roman" w:hAnsi="Times New Roman" w:cs="Times New Roman"/>
                <w:color w:val="000000"/>
                <w:szCs w:val="21"/>
              </w:rPr>
              <w:t>进行检修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vMerge w:val="continue"/>
            <w:vAlign w:val="center"/>
          </w:tcPr>
          <w:p>
            <w:pPr>
              <w:jc w:val="center"/>
              <w:outlineLvl w:val="0"/>
              <w:rPr>
                <w:rFonts w:hint="eastAsia" w:ascii="Times New Roman" w:hAnsi="Times New Roman" w:cs="Times New Roman"/>
                <w:color w:val="000000"/>
                <w:szCs w:val="21"/>
                <w:lang w:val="en-US" w:eastAsia="zh-CN"/>
              </w:rPr>
            </w:pPr>
          </w:p>
        </w:tc>
        <w:tc>
          <w:tcPr>
            <w:tcW w:w="1297" w:type="dxa"/>
            <w:vMerge w:val="continue"/>
            <w:vAlign w:val="center"/>
          </w:tcPr>
          <w:p>
            <w:pPr>
              <w:jc w:val="center"/>
              <w:outlineLvl w:val="0"/>
              <w:rPr>
                <w:rFonts w:hint="eastAsia" w:ascii="Times New Roman" w:hAnsi="Times New Roman" w:cs="Times New Roman"/>
                <w:color w:val="000000"/>
                <w:szCs w:val="21"/>
                <w:lang w:eastAsia="zh-CN"/>
              </w:rPr>
            </w:pPr>
          </w:p>
        </w:tc>
        <w:tc>
          <w:tcPr>
            <w:tcW w:w="984" w:type="dxa"/>
            <w:vMerge w:val="continue"/>
            <w:vAlign w:val="center"/>
          </w:tcPr>
          <w:p>
            <w:pPr>
              <w:pStyle w:val="2"/>
              <w:jc w:val="center"/>
              <w:rPr>
                <w:rFonts w:hint="default" w:ascii="Times New Roman" w:hAnsi="Times New Roman" w:cs="Times New Roman"/>
                <w:color w:val="000000"/>
                <w:szCs w:val="21"/>
              </w:rPr>
            </w:pPr>
          </w:p>
        </w:tc>
        <w:tc>
          <w:tcPr>
            <w:tcW w:w="1027" w:type="dxa"/>
            <w:vAlign w:val="center"/>
          </w:tcPr>
          <w:p>
            <w:pPr>
              <w:pStyle w:val="2"/>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H</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cs="Times New Roman"/>
                <w:color w:val="auto"/>
                <w:sz w:val="21"/>
                <w:szCs w:val="21"/>
                <w:lang w:val="en-US" w:eastAsia="zh-CN"/>
              </w:rPr>
              <w:t>S</w:t>
            </w:r>
          </w:p>
        </w:tc>
        <w:tc>
          <w:tcPr>
            <w:tcW w:w="1318" w:type="dxa"/>
            <w:vAlign w:val="center"/>
          </w:tcPr>
          <w:p>
            <w:pPr>
              <w:jc w:val="center"/>
              <w:outlineLvl w:val="0"/>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0.8</w:t>
            </w:r>
          </w:p>
        </w:tc>
        <w:tc>
          <w:tcPr>
            <w:tcW w:w="1245" w:type="dxa"/>
            <w:vAlign w:val="center"/>
          </w:tcPr>
          <w:p>
            <w:pPr>
              <w:jc w:val="center"/>
              <w:outlineLvl w:val="0"/>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0.004</w:t>
            </w:r>
          </w:p>
        </w:tc>
        <w:tc>
          <w:tcPr>
            <w:tcW w:w="1052" w:type="dxa"/>
            <w:vAlign w:val="center"/>
          </w:tcPr>
          <w:p>
            <w:pPr>
              <w:jc w:val="center"/>
              <w:outlineLvl w:val="0"/>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10</w:t>
            </w:r>
          </w:p>
        </w:tc>
        <w:tc>
          <w:tcPr>
            <w:tcW w:w="887" w:type="dxa"/>
            <w:vAlign w:val="center"/>
          </w:tcPr>
          <w:p>
            <w:pPr>
              <w:jc w:val="center"/>
              <w:outlineLvl w:val="0"/>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0.5</w:t>
            </w:r>
          </w:p>
        </w:tc>
        <w:tc>
          <w:tcPr>
            <w:tcW w:w="1163" w:type="dxa"/>
            <w:vMerge w:val="continue"/>
            <w:vAlign w:val="center"/>
          </w:tcPr>
          <w:p>
            <w:pPr>
              <w:jc w:val="center"/>
              <w:outlineLvl w:val="0"/>
              <w:rPr>
                <w:rFonts w:hint="default" w:ascii="Times New Roman" w:hAnsi="Times New Roman" w:cs="Times New Roman"/>
                <w:color w:val="000000"/>
                <w:szCs w:val="21"/>
              </w:rPr>
            </w:pPr>
          </w:p>
        </w:tc>
      </w:tr>
    </w:tbl>
    <w:p>
      <w:pPr>
        <w:pStyle w:val="88"/>
        <w:adjustRightInd w:val="0"/>
        <w:snapToGrid w:val="0"/>
        <w:spacing w:line="360" w:lineRule="auto"/>
        <w:ind w:firstLine="482" w:firstLineChars="200"/>
        <w:jc w:val="left"/>
        <w:outlineLvl w:val="3"/>
        <w:rPr>
          <w:rFonts w:hint="default" w:ascii="Times New Roman" w:hAnsi="Times New Roman" w:cs="Times New Roman"/>
          <w:b/>
          <w:sz w:val="24"/>
          <w:szCs w:val="24"/>
        </w:rPr>
      </w:pPr>
      <w:r>
        <w:rPr>
          <w:rFonts w:hint="default" w:ascii="Times New Roman" w:hAnsi="Times New Roman" w:cs="Times New Roman"/>
          <w:b/>
          <w:sz w:val="24"/>
          <w:szCs w:val="24"/>
        </w:rPr>
        <w:t>3、防护距离</w:t>
      </w:r>
    </w:p>
    <w:p>
      <w:pPr>
        <w:widowControl/>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（1）大气环境防护距离</w:t>
      </w:r>
    </w:p>
    <w:p>
      <w:pPr>
        <w:widowControl/>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根据HJ2.2-2018中8.7.5大气环境防护距离</w:t>
      </w:r>
    </w:p>
    <w:p>
      <w:pPr>
        <w:widowControl/>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8.7.5.1对于项目厂界浓度满足大气污染物厂界浓度限值，但厂界外大气污染物短期贡献浓度超过环境质量浓度限值的，可以自厂界向外设置定范围的大气环境防护区域，以确保大气环境防护区域外的污染物贡献浓度满足环境质量标准。</w:t>
      </w:r>
    </w:p>
    <w:p>
      <w:pPr>
        <w:widowControl/>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8.7.5.2对于项目厂界浓度超过大气污染物厂界浓度限值的，应要求削减排放源强或调整工程布局，待满足厂界浓度限值后，再核算大气环境防护距离。</w:t>
      </w:r>
    </w:p>
    <w:p>
      <w:pPr>
        <w:widowControl/>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8.7.5.3大气环境防护距离内不应有长期居住的人群。</w:t>
      </w:r>
    </w:p>
    <w:p>
      <w:pPr>
        <w:widowControl/>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本项目为二级评价，本项目厂界外大气污染物（NH</w:t>
      </w:r>
      <w:r>
        <w:rPr>
          <w:rFonts w:hint="default" w:ascii="Times New Roman" w:hAnsi="Times New Roman" w:cs="Times New Roman"/>
          <w:bCs/>
          <w:sz w:val="24"/>
          <w:szCs w:val="24"/>
          <w:vertAlign w:val="subscript"/>
        </w:rPr>
        <w:t>3</w:t>
      </w:r>
      <w:r>
        <w:rPr>
          <w:rFonts w:hint="default" w:ascii="Times New Roman" w:hAnsi="Times New Roman" w:cs="Times New Roman"/>
          <w:bCs/>
          <w:sz w:val="24"/>
          <w:szCs w:val="24"/>
        </w:rPr>
        <w:t>、H</w:t>
      </w:r>
      <w:r>
        <w:rPr>
          <w:rFonts w:hint="default" w:ascii="Times New Roman" w:hAnsi="Times New Roman" w:cs="Times New Roman"/>
          <w:bCs/>
          <w:sz w:val="24"/>
          <w:szCs w:val="24"/>
          <w:vertAlign w:val="subscript"/>
        </w:rPr>
        <w:t>2</w:t>
      </w:r>
      <w:r>
        <w:rPr>
          <w:rFonts w:hint="default" w:ascii="Times New Roman" w:hAnsi="Times New Roman" w:cs="Times New Roman"/>
          <w:bCs/>
          <w:sz w:val="24"/>
          <w:szCs w:val="24"/>
        </w:rPr>
        <w:t>S）短期贡献浓度未超过环境质量浓度限值，故不需设置大气环境防护距离。</w:t>
      </w:r>
    </w:p>
    <w:p>
      <w:pPr>
        <w:widowControl/>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（2）卫生防护距离</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采用的模式参照GB/T3840-91《制定地方大气污染排放标准的技术方法》，具体的计算数学公式如下：</w:t>
      </w:r>
    </w:p>
    <w:p>
      <w:pPr>
        <w:pStyle w:val="88"/>
        <w:adjustRightInd w:val="0"/>
        <w:snapToGrid w:val="0"/>
        <w:spacing w:line="360" w:lineRule="auto"/>
        <w:ind w:firstLine="48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35" o:spt="75" type="#_x0000_t75" style="height:30pt;width:120pt;" o:ole="t" fillcolor="#6D6D6D" filled="f" o:preferrelative="t" stroked="f" coordsize="21600,21600">
            <v:path/>
            <v:fill on="f" focussize="0,0"/>
            <v:stroke on="f" joinstyle="miter"/>
            <v:imagedata r:id="rId53" o:title=""/>
            <o:lock v:ext="edit" aspectratio="t"/>
            <w10:wrap type="none"/>
            <w10:anchorlock/>
          </v:shape>
          <o:OLEObject Type="Embed" ProgID="Equation.3" ShapeID="_x0000_i1035" DrawAspect="Content" ObjectID="_1468075734" r:id="rId52">
            <o:LockedField>false</o:LockedField>
          </o:OLEObject>
        </w:objec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式中：</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Cm——标准浓度限值(mg/Nm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Qc——工业企业有害气体无组织排放量可以达到的控制水平(kg/h)；</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L——工业企业所需卫生防护距离(m)；</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r——有害气体无组织排放浓度在生产单元的等效半径(m)，</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A、B、C、D为防护距离计算系数，参数选取根据GB/T3840-91之附表。</w:t>
      </w:r>
    </w:p>
    <w:p>
      <w:pPr>
        <w:pStyle w:val="88"/>
        <w:adjustRightInd w:val="0"/>
        <w:snapToGrid w:val="0"/>
        <w:spacing w:line="360" w:lineRule="auto"/>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参数的选取：</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计算模式中，Qc为工业企业有害气体无组织排放时可以达到的控制水平。可取同类企业中生产工艺流程合理、生产管理与设备处于先进水平的企业，在正常运行时的无组织排放量。</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 xml:space="preserve">按照(GB/T3840-91)规定，按Qc/Cm最大值计算等效面积：  </w:t>
      </w:r>
    </w:p>
    <w:p>
      <w:pPr>
        <w:pStyle w:val="88"/>
        <w:adjustRightInd w:val="0"/>
        <w:snapToGrid w:val="0"/>
        <w:spacing w:line="360" w:lineRule="auto"/>
        <w:ind w:firstLine="48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36" o:spt="75" type="#_x0000_t75" style="height:33pt;width:45.75pt;" o:ole="t" fillcolor="#6D6D6D" filled="f" o:preferrelative="t" stroked="f" coordsize="21600,21600">
            <v:path/>
            <v:fill on="f" focussize="0,0"/>
            <v:stroke on="f" joinstyle="miter"/>
            <v:imagedata r:id="rId55" o:title=""/>
            <o:lock v:ext="edit" aspectratio="t"/>
            <w10:wrap type="none"/>
            <w10:anchorlock/>
          </v:shape>
          <o:OLEObject Type="Embed" ProgID="Equation.3" ShapeID="_x0000_i1036" DrawAspect="Content" ObjectID="_1468075735" r:id="rId54">
            <o:LockedField>false</o:LockedField>
          </o:OLEObject>
        </w:object>
      </w:r>
      <w:r>
        <w:rPr>
          <w:rFonts w:hint="default" w:ascii="Times New Roman" w:hAnsi="Times New Roman" w:cs="Times New Roman"/>
          <w:sz w:val="24"/>
          <w:szCs w:val="24"/>
        </w:rPr>
        <w:t>， S为生产单元占地面积</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公式中A、B、C、D的计算参数按乐山市的气象条件选取如下：A=400， B=0.01   C=1.85， D=0.78。</w:t>
      </w:r>
    </w:p>
    <w:p>
      <w:pPr>
        <w:pStyle w:val="88"/>
        <w:adjustRightInd w:val="0"/>
        <w:snapToGrid w:val="0"/>
        <w:spacing w:line="360" w:lineRule="auto"/>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本项目卫生防护距离：</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卫生防护距离是居住区边界与无组织排放源之间的距离，目的是给恶臭提供一段稀释距离，使污染物到达居住区时符合环境质量标准。Cm按二级标准给出，根据GB/T3840-91规定，计算卫生防护距离见表5.2-6：</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表5.2-6 项目恶臭排放源强及卫生防护距离</w:t>
      </w:r>
    </w:p>
    <w:tbl>
      <w:tblPr>
        <w:tblStyle w:val="33"/>
        <w:tblW w:w="9712"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25"/>
        <w:gridCol w:w="921"/>
        <w:gridCol w:w="1259"/>
        <w:gridCol w:w="1183"/>
        <w:gridCol w:w="886"/>
        <w:gridCol w:w="990"/>
        <w:gridCol w:w="871"/>
        <w:gridCol w:w="1123"/>
        <w:gridCol w:w="95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7" w:hRule="atLeast"/>
          <w:jc w:val="center"/>
        </w:trPr>
        <w:tc>
          <w:tcPr>
            <w:tcW w:w="1525" w:type="dxa"/>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地点</w:t>
            </w:r>
          </w:p>
        </w:tc>
        <w:tc>
          <w:tcPr>
            <w:tcW w:w="921" w:type="dxa"/>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名称</w:t>
            </w:r>
          </w:p>
        </w:tc>
        <w:tc>
          <w:tcPr>
            <w:tcW w:w="1259" w:type="dxa"/>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排放源强(kg/h)</w:t>
            </w:r>
          </w:p>
        </w:tc>
        <w:tc>
          <w:tcPr>
            <w:tcW w:w="1183" w:type="dxa"/>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标准浓度(</w:t>
            </w:r>
            <w:r>
              <w:rPr>
                <w:rFonts w:hint="default" w:ascii="Times New Roman" w:hAnsi="Times New Roman" w:cs="Times New Roman"/>
                <w:b/>
                <w:kern w:val="0"/>
                <w:szCs w:val="21"/>
              </w:rPr>
              <w:t>mg/m</w:t>
            </w:r>
            <w:r>
              <w:rPr>
                <w:rFonts w:hint="default" w:ascii="Times New Roman" w:hAnsi="Times New Roman" w:cs="Times New Roman"/>
                <w:b/>
                <w:kern w:val="0"/>
                <w:szCs w:val="21"/>
                <w:vertAlign w:val="superscript"/>
              </w:rPr>
              <w:t>3</w:t>
            </w:r>
            <w:r>
              <w:rPr>
                <w:rFonts w:hint="default" w:ascii="Times New Roman" w:hAnsi="Times New Roman" w:cs="Times New Roman"/>
                <w:b/>
                <w:szCs w:val="21"/>
              </w:rPr>
              <w:t>)</w:t>
            </w:r>
          </w:p>
        </w:tc>
        <w:tc>
          <w:tcPr>
            <w:tcW w:w="1876" w:type="dxa"/>
            <w:gridSpan w:val="2"/>
            <w:tcBorders>
              <w:top w:val="single" w:color="auto" w:sz="4" w:space="0"/>
              <w:bottom w:val="single"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面源</w:t>
            </w:r>
          </w:p>
        </w:tc>
        <w:tc>
          <w:tcPr>
            <w:tcW w:w="2948" w:type="dxa"/>
            <w:gridSpan w:val="3"/>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卫生防护距离(m)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696" w:hRule="atLeast"/>
          <w:jc w:val="center"/>
        </w:trPr>
        <w:tc>
          <w:tcPr>
            <w:tcW w:w="1525" w:type="dxa"/>
            <w:vMerge w:val="continue"/>
            <w:vAlign w:val="center"/>
          </w:tcPr>
          <w:p>
            <w:pPr>
              <w:jc w:val="center"/>
              <w:rPr>
                <w:rFonts w:hint="default" w:ascii="Times New Roman" w:hAnsi="Times New Roman" w:cs="Times New Roman"/>
                <w:b/>
                <w:szCs w:val="21"/>
              </w:rPr>
            </w:pPr>
          </w:p>
        </w:tc>
        <w:tc>
          <w:tcPr>
            <w:tcW w:w="921" w:type="dxa"/>
            <w:vMerge w:val="continue"/>
            <w:vAlign w:val="center"/>
          </w:tcPr>
          <w:p>
            <w:pPr>
              <w:jc w:val="center"/>
              <w:rPr>
                <w:rFonts w:hint="default" w:ascii="Times New Roman" w:hAnsi="Times New Roman" w:cs="Times New Roman"/>
                <w:b/>
                <w:szCs w:val="21"/>
              </w:rPr>
            </w:pPr>
          </w:p>
        </w:tc>
        <w:tc>
          <w:tcPr>
            <w:tcW w:w="1259" w:type="dxa"/>
            <w:vMerge w:val="continue"/>
            <w:vAlign w:val="center"/>
          </w:tcPr>
          <w:p>
            <w:pPr>
              <w:jc w:val="center"/>
              <w:rPr>
                <w:rFonts w:hint="default" w:ascii="Times New Roman" w:hAnsi="Times New Roman" w:cs="Times New Roman"/>
                <w:b/>
                <w:szCs w:val="21"/>
              </w:rPr>
            </w:pPr>
          </w:p>
        </w:tc>
        <w:tc>
          <w:tcPr>
            <w:tcW w:w="1183" w:type="dxa"/>
            <w:vMerge w:val="continue"/>
            <w:vAlign w:val="center"/>
          </w:tcPr>
          <w:p>
            <w:pPr>
              <w:jc w:val="center"/>
              <w:rPr>
                <w:rFonts w:hint="default" w:ascii="Times New Roman" w:hAnsi="Times New Roman" w:cs="Times New Roman"/>
                <w:b/>
                <w:szCs w:val="21"/>
              </w:rPr>
            </w:pPr>
          </w:p>
        </w:tc>
        <w:tc>
          <w:tcPr>
            <w:tcW w:w="886" w:type="dxa"/>
            <w:tcBorders>
              <w:top w:val="single" w:color="auto" w:sz="4" w:space="0"/>
              <w:right w:val="single"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长（m）</w:t>
            </w:r>
          </w:p>
        </w:tc>
        <w:tc>
          <w:tcPr>
            <w:tcW w:w="990" w:type="dxa"/>
            <w:tcBorders>
              <w:top w:val="single" w:color="auto" w:sz="4" w:space="0"/>
              <w:left w:val="single" w:color="auto" w:sz="4" w:space="0"/>
            </w:tcBorders>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宽（m）</w:t>
            </w:r>
          </w:p>
        </w:tc>
        <w:tc>
          <w:tcPr>
            <w:tcW w:w="871" w:type="dxa"/>
            <w:vAlign w:val="center"/>
          </w:tcPr>
          <w:p>
            <w:pPr>
              <w:jc w:val="center"/>
              <w:rPr>
                <w:rFonts w:hint="default" w:ascii="Times New Roman" w:hAnsi="Times New Roman" w:cs="Times New Roman"/>
                <w:b/>
                <w:szCs w:val="21"/>
              </w:rPr>
            </w:pPr>
            <w:r>
              <w:rPr>
                <w:rFonts w:hint="default" w:ascii="Times New Roman" w:hAnsi="Times New Roman" w:cs="Times New Roman"/>
                <w:b/>
                <w:szCs w:val="21"/>
              </w:rPr>
              <w:t>计算值</w:t>
            </w:r>
          </w:p>
        </w:tc>
        <w:tc>
          <w:tcPr>
            <w:tcW w:w="1123" w:type="dxa"/>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提级后距离</w:t>
            </w:r>
          </w:p>
        </w:tc>
        <w:tc>
          <w:tcPr>
            <w:tcW w:w="954" w:type="dxa"/>
            <w:vAlign w:val="center"/>
          </w:tcPr>
          <w:p>
            <w:pPr>
              <w:jc w:val="center"/>
              <w:rPr>
                <w:rFonts w:hint="default" w:ascii="Times New Roman" w:hAnsi="Times New Roman" w:cs="Times New Roman"/>
                <w:b/>
                <w:szCs w:val="21"/>
              </w:rPr>
            </w:pPr>
            <w:r>
              <w:rPr>
                <w:rFonts w:hint="default" w:ascii="Times New Roman" w:hAnsi="Times New Roman" w:cs="Times New Roman"/>
                <w:b/>
                <w:szCs w:val="21"/>
              </w:rPr>
              <w:t>确定值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76" w:hRule="atLeast"/>
          <w:jc w:val="center"/>
        </w:trPr>
        <w:tc>
          <w:tcPr>
            <w:tcW w:w="1525" w:type="dxa"/>
            <w:vMerge w:val="restart"/>
            <w:vAlign w:val="center"/>
          </w:tcPr>
          <w:p>
            <w:pPr>
              <w:jc w:val="center"/>
              <w:rPr>
                <w:rFonts w:hint="eastAsia" w:ascii="Times New Roman" w:hAnsi="Times New Roman" w:eastAsia="宋体" w:cs="Times New Roman"/>
                <w:szCs w:val="21"/>
                <w:lang w:eastAsia="zh-CN"/>
              </w:rPr>
            </w:pPr>
            <w:r>
              <w:rPr>
                <w:rFonts w:hint="default" w:ascii="Times New Roman" w:hAnsi="Times New Roman" w:cs="Times New Roman"/>
                <w:szCs w:val="21"/>
              </w:rPr>
              <w:t>圈舍、污水处理设施</w:t>
            </w:r>
            <w:r>
              <w:rPr>
                <w:rFonts w:hint="eastAsia" w:ascii="Times New Roman" w:hAnsi="Times New Roman" w:cs="Times New Roman"/>
                <w:szCs w:val="21"/>
                <w:lang w:eastAsia="zh-CN"/>
              </w:rPr>
              <w:t>、猪粪暂存间</w:t>
            </w:r>
          </w:p>
        </w:tc>
        <w:tc>
          <w:tcPr>
            <w:tcW w:w="92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p>
        </w:tc>
        <w:tc>
          <w:tcPr>
            <w:tcW w:w="1259"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0.01058</w:t>
            </w:r>
          </w:p>
        </w:tc>
        <w:tc>
          <w:tcPr>
            <w:tcW w:w="118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0.2</w:t>
            </w:r>
          </w:p>
        </w:tc>
        <w:tc>
          <w:tcPr>
            <w:tcW w:w="886" w:type="dxa"/>
            <w:vMerge w:val="restart"/>
            <w:tcBorders>
              <w:right w:val="single" w:color="auto" w:sz="4" w:space="0"/>
            </w:tcBorders>
            <w:vAlign w:val="center"/>
          </w:tcPr>
          <w:p>
            <w:pPr>
              <w:tabs>
                <w:tab w:val="left" w:pos="840"/>
                <w:tab w:val="right" w:pos="8160"/>
              </w:tabs>
              <w:jc w:val="center"/>
              <w:rPr>
                <w:rFonts w:hint="default" w:ascii="Times New Roman" w:hAnsi="Times New Roman" w:cs="Times New Roman"/>
                <w:szCs w:val="21"/>
              </w:rPr>
            </w:pPr>
            <w:r>
              <w:rPr>
                <w:rFonts w:hint="default" w:ascii="Times New Roman" w:hAnsi="Times New Roman" w:cs="Times New Roman"/>
                <w:szCs w:val="21"/>
              </w:rPr>
              <w:t>202</w:t>
            </w:r>
          </w:p>
        </w:tc>
        <w:tc>
          <w:tcPr>
            <w:tcW w:w="990" w:type="dxa"/>
            <w:vMerge w:val="restart"/>
            <w:tcBorders>
              <w:left w:val="single" w:color="auto" w:sz="4" w:space="0"/>
            </w:tcBorders>
            <w:vAlign w:val="center"/>
          </w:tcPr>
          <w:p>
            <w:pPr>
              <w:tabs>
                <w:tab w:val="left" w:pos="840"/>
                <w:tab w:val="right" w:pos="8160"/>
              </w:tabs>
              <w:jc w:val="center"/>
              <w:rPr>
                <w:rFonts w:hint="default" w:ascii="Times New Roman" w:hAnsi="Times New Roman" w:cs="Times New Roman"/>
                <w:szCs w:val="21"/>
              </w:rPr>
            </w:pPr>
            <w:r>
              <w:rPr>
                <w:rFonts w:hint="default" w:ascii="Times New Roman" w:hAnsi="Times New Roman" w:cs="Times New Roman"/>
                <w:szCs w:val="21"/>
              </w:rPr>
              <w:t>98</w:t>
            </w:r>
          </w:p>
        </w:tc>
        <w:tc>
          <w:tcPr>
            <w:tcW w:w="871"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0.45</w:t>
            </w:r>
          </w:p>
        </w:tc>
        <w:tc>
          <w:tcPr>
            <w:tcW w:w="112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50</w:t>
            </w:r>
          </w:p>
        </w:tc>
        <w:tc>
          <w:tcPr>
            <w:tcW w:w="954"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100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43" w:hRule="atLeast"/>
          <w:jc w:val="center"/>
        </w:trPr>
        <w:tc>
          <w:tcPr>
            <w:tcW w:w="1525" w:type="dxa"/>
            <w:vMerge w:val="continue"/>
            <w:vAlign w:val="center"/>
          </w:tcPr>
          <w:p>
            <w:pPr>
              <w:jc w:val="center"/>
              <w:rPr>
                <w:rFonts w:hint="default" w:ascii="Times New Roman" w:hAnsi="Times New Roman" w:cs="Times New Roman"/>
                <w:szCs w:val="21"/>
              </w:rPr>
            </w:pPr>
          </w:p>
        </w:tc>
        <w:tc>
          <w:tcPr>
            <w:tcW w:w="92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H</w:t>
            </w:r>
            <w:r>
              <w:rPr>
                <w:rFonts w:hint="default" w:ascii="Times New Roman" w:hAnsi="Times New Roman" w:cs="Times New Roman"/>
                <w:szCs w:val="21"/>
                <w:vertAlign w:val="subscript"/>
              </w:rPr>
              <w:t>2</w:t>
            </w:r>
            <w:r>
              <w:rPr>
                <w:rFonts w:hint="default" w:ascii="Times New Roman" w:hAnsi="Times New Roman" w:cs="Times New Roman"/>
                <w:szCs w:val="21"/>
              </w:rPr>
              <w:t>S</w:t>
            </w:r>
          </w:p>
        </w:tc>
        <w:tc>
          <w:tcPr>
            <w:tcW w:w="1259"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0.00108</w:t>
            </w:r>
          </w:p>
        </w:tc>
        <w:tc>
          <w:tcPr>
            <w:tcW w:w="118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0.01</w:t>
            </w:r>
          </w:p>
        </w:tc>
        <w:tc>
          <w:tcPr>
            <w:tcW w:w="886" w:type="dxa"/>
            <w:vMerge w:val="continue"/>
            <w:tcBorders>
              <w:right w:val="single" w:color="auto" w:sz="4" w:space="0"/>
            </w:tcBorders>
            <w:vAlign w:val="center"/>
          </w:tcPr>
          <w:p>
            <w:pPr>
              <w:jc w:val="center"/>
              <w:rPr>
                <w:rFonts w:hint="default" w:ascii="Times New Roman" w:hAnsi="Times New Roman" w:cs="Times New Roman"/>
                <w:szCs w:val="21"/>
              </w:rPr>
            </w:pPr>
          </w:p>
        </w:tc>
        <w:tc>
          <w:tcPr>
            <w:tcW w:w="990" w:type="dxa"/>
            <w:vMerge w:val="continue"/>
            <w:tcBorders>
              <w:left w:val="single" w:color="auto" w:sz="4" w:space="0"/>
            </w:tcBorders>
            <w:vAlign w:val="center"/>
          </w:tcPr>
          <w:p>
            <w:pPr>
              <w:jc w:val="center"/>
              <w:rPr>
                <w:rFonts w:hint="default" w:ascii="Times New Roman" w:hAnsi="Times New Roman" w:cs="Times New Roman"/>
                <w:szCs w:val="21"/>
              </w:rPr>
            </w:pPr>
          </w:p>
        </w:tc>
        <w:tc>
          <w:tcPr>
            <w:tcW w:w="871"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1.12</w:t>
            </w:r>
          </w:p>
        </w:tc>
        <w:tc>
          <w:tcPr>
            <w:tcW w:w="112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50</w:t>
            </w:r>
          </w:p>
        </w:tc>
        <w:tc>
          <w:tcPr>
            <w:tcW w:w="954" w:type="dxa"/>
            <w:vMerge w:val="continue"/>
            <w:vAlign w:val="center"/>
          </w:tcPr>
          <w:p>
            <w:pPr>
              <w:jc w:val="center"/>
              <w:rPr>
                <w:rFonts w:hint="default" w:ascii="Times New Roman" w:hAnsi="Times New Roman" w:cs="Times New Roman"/>
                <w:szCs w:val="21"/>
              </w:rPr>
            </w:pPr>
          </w:p>
        </w:tc>
      </w:tr>
    </w:tbl>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根据《制定地方大气污染物排放标准的技术方法》（GB/T3840-91）中“卫生防护距离在100m以内时，级差为50m；无组织排放多种有害气体的工业企业，按Qc/Cm的最大值计算其所需卫生防护距离，但当按两种或两种以上的有害气体的Qc/Cm值计算的卫生防护距离在同一级别时，该类工业企业的卫生防护距离级别应提高一级”的规定，则本项目卫生防护距离计算取值为100m。项目卫生防护距离以圈舍、污水处理设施为边界，向外延伸100m范围内。</w:t>
      </w:r>
    </w:p>
    <w:p>
      <w:pPr>
        <w:pStyle w:val="88"/>
        <w:adjustRightInd w:val="0"/>
        <w:snapToGrid w:val="0"/>
        <w:spacing w:line="360" w:lineRule="auto"/>
        <w:ind w:firstLine="480" w:firstLineChars="200"/>
        <w:jc w:val="left"/>
        <w:rPr>
          <w:rFonts w:hint="default" w:ascii="Times New Roman" w:hAnsi="Times New Roman" w:cs="Times New Roman"/>
          <w:sz w:val="24"/>
          <w:szCs w:val="24"/>
          <w:u w:val="single"/>
        </w:rPr>
      </w:pPr>
      <w:r>
        <w:rPr>
          <w:rFonts w:hint="default" w:ascii="Times New Roman" w:hAnsi="Times New Roman" w:cs="Times New Roman"/>
          <w:sz w:val="24"/>
          <w:szCs w:val="24"/>
        </w:rPr>
        <w:t>根据外环境关系图和平面布置图可知，</w:t>
      </w:r>
      <w:r>
        <w:rPr>
          <w:rFonts w:hint="default" w:ascii="Times New Roman" w:hAnsi="Times New Roman" w:cs="Times New Roman"/>
          <w:sz w:val="24"/>
        </w:rPr>
        <w:t>项目卫生防护距离内共1户住户，但本项目已租用这1户住户的房屋作为本项目的员工休息室（租房协议见附件）。</w:t>
      </w:r>
      <w:r>
        <w:rPr>
          <w:rFonts w:hint="default" w:ascii="Times New Roman" w:hAnsi="Times New Roman" w:cs="Times New Roman"/>
          <w:sz w:val="24"/>
          <w:u w:val="single"/>
        </w:rPr>
        <w:t>除此之外，</w:t>
      </w:r>
      <w:r>
        <w:rPr>
          <w:rFonts w:hint="default" w:ascii="Times New Roman" w:hAnsi="Times New Roman" w:cs="Times New Roman"/>
          <w:sz w:val="24"/>
          <w:szCs w:val="24"/>
          <w:u w:val="single"/>
        </w:rPr>
        <w:t>本项目卫生防护距离内无其他环境敏感目标</w:t>
      </w:r>
      <w:r>
        <w:rPr>
          <w:rFonts w:hint="default" w:ascii="Times New Roman" w:hAnsi="Times New Roman" w:cs="Times New Roman"/>
          <w:sz w:val="24"/>
          <w:u w:val="single"/>
        </w:rPr>
        <w:t>。</w:t>
      </w:r>
      <w:r>
        <w:rPr>
          <w:rFonts w:hint="default" w:ascii="Times New Roman" w:hAnsi="Times New Roman" w:cs="Times New Roman"/>
          <w:sz w:val="24"/>
          <w:szCs w:val="24"/>
          <w:u w:val="single"/>
        </w:rPr>
        <w:t>同时，评价要求</w:t>
      </w:r>
      <w:r>
        <w:rPr>
          <w:rFonts w:hint="default" w:ascii="Times New Roman" w:hAnsi="Times New Roman" w:cs="Times New Roman"/>
          <w:sz w:val="24"/>
          <w:u w:val="single"/>
        </w:rPr>
        <w:t>今后在此卫生防护距离范围内不得迁入居民、学校、医院等和其他对环境空气质量要求较高的敏感点。</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该地区主导风向为西北风，养殖场处于山丘顶部位置，扩散条件较好，且项目四周树林较多，可有效吸收项目产生恶臭同时阻挡项目恶臭对周边居民产生影响，减少恶臭的影响。</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综上，本项目采取恶臭控制的环保措施可行，且以圈舍、污水处理设施边界设置100m的卫生防护距离、卫生防护距离内无常住居民点等敏感点，对周围环境空气影响不大。</w:t>
      </w:r>
    </w:p>
    <w:p>
      <w:pPr>
        <w:pStyle w:val="88"/>
        <w:adjustRightInd w:val="0"/>
        <w:snapToGrid w:val="0"/>
        <w:spacing w:line="360" w:lineRule="auto"/>
        <w:ind w:firstLine="482" w:firstLineChars="200"/>
        <w:jc w:val="left"/>
        <w:outlineLvl w:val="2"/>
        <w:rPr>
          <w:rFonts w:hint="default" w:ascii="Times New Roman" w:hAnsi="Times New Roman" w:cs="Times New Roman"/>
          <w:b/>
          <w:bCs/>
          <w:sz w:val="24"/>
          <w:szCs w:val="24"/>
        </w:rPr>
      </w:pPr>
      <w:bookmarkStart w:id="351" w:name="_Toc7880"/>
      <w:r>
        <w:rPr>
          <w:rFonts w:hint="default" w:ascii="Times New Roman" w:hAnsi="Times New Roman" w:cs="Times New Roman"/>
          <w:b/>
          <w:bCs/>
          <w:sz w:val="24"/>
          <w:szCs w:val="24"/>
        </w:rPr>
        <w:t>5.2.2 水环境影响分析</w:t>
      </w:r>
      <w:bookmarkEnd w:id="351"/>
      <w:bookmarkStart w:id="352" w:name="_Toc7181"/>
    </w:p>
    <w:p>
      <w:pPr>
        <w:adjustRightInd w:val="0"/>
        <w:snapToGrid w:val="0"/>
        <w:spacing w:line="360" w:lineRule="auto"/>
        <w:ind w:firstLine="482" w:firstLineChars="200"/>
        <w:outlineLvl w:val="3"/>
        <w:rPr>
          <w:rFonts w:hint="default" w:ascii="Times New Roman" w:hAnsi="Times New Roman" w:cs="Times New Roman"/>
          <w:b/>
          <w:sz w:val="24"/>
          <w:szCs w:val="24"/>
        </w:rPr>
      </w:pPr>
      <w:r>
        <w:rPr>
          <w:rFonts w:hint="default" w:ascii="Times New Roman" w:hAnsi="Times New Roman" w:cs="Times New Roman"/>
          <w:b/>
          <w:sz w:val="24"/>
          <w:szCs w:val="24"/>
        </w:rPr>
        <w:t>5.2.2.1 地表水环境影响分析</w:t>
      </w:r>
    </w:p>
    <w:p>
      <w:pPr>
        <w:pStyle w:val="88"/>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根据前面1.5.1评价等级判断（1）地表水环境影响评价等级可知，本项目地表水评价等级为三级B。根据《环境影响评价技术导则  地表水环境》（HJ2.3-2018）中7.1.2三级B评价，可不进行水环境影响预测。本项目废水进行处理后用于农村施肥，不外排。因此本报告不进行水环境影响预测。</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水帘降温系统用水通过圈舍门口设置循环水池，循环使用，每天进行新鲜水的补给。</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本项目产生的废水主要为养殖废水（包括猪饮用、圈舍冲洗产生的废水）、员工日常生活废水、餐饮废水。</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生活污水的产生量为1.2m³/d，428m³/a，主要污染因子为COD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rPr>
        <w:t>、BOD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、SS、氨氮。餐饮废水产生量为0.8m³/d，292m³/a，主要污染因子为动植物油。生活污水通过化粪池处理后，排入污水处理设施。餐饮废水经隔油池收集处理后，再进入化粪池中与生活污水一同排入污水处理设施。</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养殖废水有机物浓度高、悬浮物多、氨氮含量大、臭味大。污水中主要污染物质为高浓度的COD、BOD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、SS、NH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-N等，不含有毒物质，项目污水产生量为</w:t>
      </w:r>
      <w:r>
        <w:rPr>
          <w:rFonts w:hint="default" w:ascii="Times New Roman" w:hAnsi="Times New Roman" w:cs="Times New Roman"/>
          <w:color w:val="000000"/>
          <w:sz w:val="24"/>
          <w:szCs w:val="24"/>
        </w:rPr>
        <w:t>28333.018m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/a</w:t>
      </w:r>
      <w:r>
        <w:rPr>
          <w:rFonts w:hint="default" w:ascii="Times New Roman" w:hAnsi="Times New Roman" w:cs="Times New Roman"/>
          <w:sz w:val="24"/>
          <w:szCs w:val="24"/>
        </w:rPr>
        <w:t>。养殖废水及生活污水水质可生化性较高，因此养殖场拟建废水处理系统集中处理，处理能力为90m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经“粪污收集池+集水池+固液分离+调节酸化池+沼气池+好氧池+沉淀池+消毒+沼液暂存池”工艺处理达《农田灌溉水质标准》（GB5084-2005）旱作标准后用于农场土地施肥使用。处理后的养殖废水和生活污水用作农肥，可以节省大量化肥，提高作物产量，还可以改善土壤的物理化学性质，提高土壤肥力，有利于农作物的生长，节约水资源，减少污染物排放量。</w:t>
      </w:r>
    </w:p>
    <w:p>
      <w:pPr>
        <w:adjustRightInd w:val="0"/>
        <w:snapToGrid w:val="0"/>
        <w:spacing w:line="360" w:lineRule="auto"/>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（1）土地消纳可行性分析</w:t>
      </w:r>
    </w:p>
    <w:p>
      <w:pPr>
        <w:adjustRightInd w:val="0"/>
        <w:snapToGrid w:val="0"/>
        <w:spacing w:line="360" w:lineRule="auto"/>
        <w:ind w:firstLine="480" w:firstLineChars="200"/>
        <w:rPr>
          <w:rFonts w:hint="default" w:ascii="Times New Roman" w:hAnsi="Times New Roman" w:cs="Times New Roman"/>
          <w:sz w:val="24"/>
          <w:szCs w:val="24"/>
          <w:lang w:val="zh-CN"/>
        </w:rPr>
      </w:pPr>
      <w:r>
        <w:rPr>
          <w:rFonts w:hint="default" w:ascii="Times New Roman" w:hAnsi="Times New Roman" w:cs="Times New Roman"/>
          <w:sz w:val="24"/>
          <w:szCs w:val="24"/>
          <w:lang w:val="zh-CN"/>
        </w:rPr>
        <w:t>根据《2011年四川省规模化畜禽养殖业主要污染物减排核查方案（试行）》川环发﹝2011﹞20号中的规定：规模化畜禽养殖场和养殖小区建设有全过程、全要素的污染治理设施的，如没有独立的污水排放口，且所生产的废弃物综合利用产品（有机肥、沼渣、沼液及经处理后的污水等）经认定完全进入农田利用（需配备与养殖规模相适应的消纳土地，以生猪计算每存栏3头不少于1亩土地，处理工艺若修建有固液分离设备和水解酸化池的，以生猪计算每存栏5头不少于1亩土地），COD和氨氮可按产生量计算全部减排量。</w:t>
      </w:r>
    </w:p>
    <w:p>
      <w:pPr>
        <w:adjustRightInd w:val="0"/>
        <w:snapToGrid w:val="0"/>
        <w:spacing w:line="360" w:lineRule="auto"/>
        <w:ind w:firstLine="480" w:firstLineChars="200"/>
        <w:rPr>
          <w:rFonts w:hint="default" w:ascii="Times New Roman" w:hAnsi="Times New Roman" w:cs="Times New Roman"/>
          <w:sz w:val="24"/>
          <w:szCs w:val="24"/>
          <w:lang w:val="zh-CN"/>
        </w:rPr>
      </w:pPr>
      <w:r>
        <w:rPr>
          <w:rFonts w:hint="default" w:ascii="Times New Roman" w:hAnsi="Times New Roman" w:cs="Times New Roman"/>
          <w:sz w:val="24"/>
          <w:szCs w:val="24"/>
          <w:lang w:val="zh-CN"/>
        </w:rPr>
        <w:t>本项目</w:t>
      </w:r>
      <w:r>
        <w:rPr>
          <w:rFonts w:hint="default" w:ascii="Times New Roman" w:hAnsi="Times New Roman" w:cs="Times New Roman"/>
          <w:sz w:val="24"/>
          <w:szCs w:val="24"/>
        </w:rPr>
        <w:t>采取干清粪工艺，废水经过厂区修建的废水处理系统（粪污收集池+集水池+固液分离+调节酸化池+沼气池+好氧池+沉淀池+消毒+沼液暂存池）处理后，用于耕地施肥，不外排。因此，本项目沼液消纳可按照5头猪（存栏）1亩地计算。</w:t>
      </w:r>
      <w:r>
        <w:rPr>
          <w:rFonts w:hint="default" w:ascii="Times New Roman" w:hAnsi="Times New Roman" w:cs="Times New Roman"/>
          <w:sz w:val="24"/>
          <w:szCs w:val="24"/>
          <w:lang w:val="zh-CN"/>
        </w:rPr>
        <w:t>项目</w:t>
      </w:r>
      <w:r>
        <w:rPr>
          <w:rFonts w:hint="default" w:ascii="Times New Roman" w:hAnsi="Times New Roman" w:cs="Times New Roman"/>
          <w:sz w:val="24"/>
          <w:szCs w:val="24"/>
        </w:rPr>
        <w:t>存栏量为700头。</w:t>
      </w:r>
      <w:r>
        <w:rPr>
          <w:rFonts w:hint="default" w:ascii="Times New Roman" w:hAnsi="Times New Roman" w:cs="Times New Roman"/>
          <w:sz w:val="24"/>
          <w:szCs w:val="24"/>
          <w:lang w:val="zh-CN"/>
        </w:rPr>
        <w:t>则本项目产生的沼液经过污水处理系统处理后，需要</w:t>
      </w:r>
      <w:r>
        <w:rPr>
          <w:rFonts w:hint="default" w:ascii="Times New Roman" w:hAnsi="Times New Roman" w:cs="Times New Roman"/>
          <w:sz w:val="24"/>
          <w:szCs w:val="24"/>
        </w:rPr>
        <w:t>1400</w:t>
      </w:r>
      <w:r>
        <w:rPr>
          <w:rFonts w:hint="default" w:ascii="Times New Roman" w:hAnsi="Times New Roman" w:cs="Times New Roman"/>
          <w:sz w:val="24"/>
          <w:szCs w:val="24"/>
          <w:lang w:val="zh-CN"/>
        </w:rPr>
        <w:t>亩土地才能消纳完。</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业主与夹江县三洞镇周冲村村民委员会（消纳土地位于养殖场西北方向，分布于周冲村3社、4社、5社社、6社、17组，主要种植茶叶、水稻等）及夹江县果香四季家庭农场签订了1523亩的土地消纳合同（消纳土地位于养殖场西南方向，直线距离6km，主要种植茶叶、果树）。因此，本项目沼液可全部被消纳。</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（2）污水贮存池设置合理性分析</w:t>
      </w:r>
    </w:p>
    <w:p>
      <w:pPr>
        <w:autoSpaceDE w:val="0"/>
        <w:autoSpaceDN w:val="0"/>
        <w:adjustRightInd w:val="0"/>
        <w:snapToGrid w:val="0"/>
        <w:spacing w:line="360" w:lineRule="auto"/>
        <w:ind w:firstLine="470" w:firstLineChars="196"/>
        <w:rPr>
          <w:rFonts w:hint="default" w:ascii="Times New Roman" w:hAnsi="Times New Roman" w:cs="Times New Roman"/>
          <w:sz w:val="24"/>
          <w:u w:val="single"/>
        </w:rPr>
      </w:pPr>
      <w:r>
        <w:rPr>
          <w:rFonts w:hint="default" w:ascii="Times New Roman" w:hAnsi="Times New Roman" w:cs="Times New Roman"/>
          <w:sz w:val="24"/>
          <w:szCs w:val="24"/>
        </w:rPr>
        <w:t>按照四川省环境保护厅《2011年四川省规模化畜禽养殖主要污染物减排核查方案》（试行）川环发﹝2011﹞20号文件规定：“沼液贮存设施总容积应满足3个月粪污贮存要求”。</w:t>
      </w:r>
      <w:r>
        <w:rPr>
          <w:rFonts w:hint="default" w:ascii="Times New Roman" w:hAnsi="Times New Roman" w:cs="Times New Roman"/>
          <w:sz w:val="24"/>
          <w:u w:val="single"/>
        </w:rPr>
        <w:t>本项目用于施肥的沼液（按夏季最大量计）约89.845m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/d，按照文件规定沼液储存池设置需大于89.845（m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）*90（天）=8086.05m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，因此环评要求本项目沼液储存设施的有效容积总和不得小于8087m</w:t>
      </w:r>
      <w:r>
        <w:rPr>
          <w:rFonts w:hint="default" w:ascii="Times New Roman" w:hAnsi="Times New Roman" w:cs="Times New Roman"/>
          <w:sz w:val="24"/>
          <w:u w:val="single"/>
          <w:vertAlign w:val="superscript"/>
        </w:rPr>
        <w:t>3</w:t>
      </w:r>
      <w:r>
        <w:rPr>
          <w:rFonts w:hint="default" w:ascii="Times New Roman" w:hAnsi="Times New Roman" w:cs="Times New Roman"/>
          <w:sz w:val="24"/>
          <w:u w:val="single"/>
        </w:rPr>
        <w:t>。</w:t>
      </w:r>
    </w:p>
    <w:p>
      <w:pPr>
        <w:pStyle w:val="2"/>
        <w:spacing w:line="360" w:lineRule="auto"/>
        <w:ind w:firstLine="480" w:firstLineChars="200"/>
        <w:rPr>
          <w:rFonts w:hint="default" w:ascii="Times New Roman" w:hAnsi="Times New Roman" w:cs="Times New Roman"/>
          <w:color w:val="auto"/>
          <w:kern w:val="2"/>
        </w:rPr>
      </w:pPr>
      <w:r>
        <w:rPr>
          <w:rFonts w:hint="default" w:ascii="Times New Roman" w:hAnsi="Times New Roman" w:cs="Times New Roman"/>
          <w:color w:val="auto"/>
          <w:kern w:val="2"/>
        </w:rPr>
        <w:t>根据实际情况，夹江县果香四季家庭农场</w:t>
      </w:r>
      <w:r>
        <w:rPr>
          <w:rFonts w:hint="default" w:ascii="Times New Roman" w:hAnsi="Times New Roman" w:cs="Times New Roman"/>
          <w:color w:val="auto"/>
        </w:rPr>
        <w:t>消纳土地需要沼液时，由养殖场的密闭罐车（建设单位拟设置3台密闭罐车，每台有效容积约为5m</w:t>
      </w:r>
      <w:r>
        <w:rPr>
          <w:rFonts w:hint="default" w:ascii="Times New Roman" w:hAnsi="Times New Roman" w:cs="Times New Roman"/>
          <w:color w:val="auto"/>
          <w:vertAlign w:val="superscript"/>
        </w:rPr>
        <w:t>3</w:t>
      </w:r>
      <w:r>
        <w:rPr>
          <w:rFonts w:hint="default" w:ascii="Times New Roman" w:hAnsi="Times New Roman" w:cs="Times New Roman"/>
          <w:color w:val="auto"/>
        </w:rPr>
        <w:t>）将沼液运至施肥土地，暂存于</w:t>
      </w:r>
      <w:r>
        <w:rPr>
          <w:rFonts w:hint="default" w:ascii="Times New Roman" w:hAnsi="Times New Roman" w:cs="Times New Roman"/>
          <w:bCs/>
          <w:color w:val="auto"/>
        </w:rPr>
        <w:t>农场的田间池中暂存</w:t>
      </w:r>
      <w:r>
        <w:rPr>
          <w:rFonts w:hint="default" w:ascii="Times New Roman" w:hAnsi="Times New Roman" w:cs="Times New Roman"/>
          <w:color w:val="auto"/>
        </w:rPr>
        <w:t>，废水经农场灌溉系统经管道输送至施肥土地。三洞镇周冲村村民耕地需要沼液时，通过管网输送至施肥土地。使用</w:t>
      </w:r>
      <w:r>
        <w:rPr>
          <w:rFonts w:hint="default" w:ascii="Times New Roman" w:hAnsi="Times New Roman" w:cs="Times New Roman"/>
          <w:color w:val="auto"/>
          <w:kern w:val="2"/>
        </w:rPr>
        <w:t>本项目不设置高位水池以及田间池，拟在养殖场内设置1个沼液暂存池。因此，本项目需要建设的场内沼液暂存池容积不小于8087m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w:t>
      </w:r>
    </w:p>
    <w:p>
      <w:pPr>
        <w:autoSpaceDE w:val="0"/>
        <w:autoSpaceDN w:val="0"/>
        <w:adjustRightInd w:val="0"/>
        <w:snapToGrid w:val="0"/>
        <w:spacing w:line="360" w:lineRule="auto"/>
        <w:ind w:firstLine="470" w:firstLineChars="196"/>
        <w:rPr>
          <w:rFonts w:hint="default" w:ascii="Times New Roman" w:hAnsi="Times New Roman" w:cs="Times New Roman"/>
          <w:sz w:val="24"/>
          <w:szCs w:val="24"/>
        </w:rPr>
      </w:pPr>
      <w:r>
        <w:rPr>
          <w:rFonts w:hint="default" w:ascii="Times New Roman" w:hAnsi="Times New Roman" w:cs="Times New Roman"/>
          <w:sz w:val="24"/>
          <w:szCs w:val="24"/>
        </w:rPr>
        <w:t>当农田生产灌溉的最大间隔时间和冬季冰封冻期或雨季最长降雨期，土地不能接纳沼液时，沼液储存池能有效防止沼液在当地生产用肥的最大间隔时间、冬季、雨季最长降雨期排放可能造成的土壤污染。</w:t>
      </w:r>
    </w:p>
    <w:p>
      <w:pPr>
        <w:adjustRightInd w:val="0"/>
        <w:snapToGrid w:val="0"/>
        <w:spacing w:line="360" w:lineRule="auto"/>
        <w:ind w:firstLine="482" w:firstLineChars="200"/>
        <w:outlineLvl w:val="3"/>
        <w:rPr>
          <w:rFonts w:hint="default" w:ascii="Times New Roman" w:hAnsi="Times New Roman" w:cs="Times New Roman"/>
          <w:b/>
          <w:sz w:val="24"/>
          <w:szCs w:val="24"/>
        </w:rPr>
      </w:pPr>
      <w:r>
        <w:rPr>
          <w:rFonts w:hint="default" w:ascii="Times New Roman" w:hAnsi="Times New Roman" w:cs="Times New Roman"/>
          <w:b/>
          <w:sz w:val="24"/>
          <w:szCs w:val="24"/>
        </w:rPr>
        <w:t>5.2.2.2 地下水环境影响分析</w:t>
      </w:r>
    </w:p>
    <w:p>
      <w:pPr>
        <w:adjustRightInd w:val="0"/>
        <w:snapToGrid w:val="0"/>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（1）地下水污染源分析</w:t>
      </w:r>
    </w:p>
    <w:p>
      <w:pPr>
        <w:spacing w:line="360" w:lineRule="auto"/>
        <w:ind w:firstLine="482"/>
        <w:rPr>
          <w:rFonts w:hint="default" w:ascii="Times New Roman" w:hAnsi="Times New Roman" w:cs="Times New Roman"/>
          <w:bCs/>
          <w:sz w:val="24"/>
          <w:szCs w:val="24"/>
        </w:rPr>
      </w:pPr>
      <w:r>
        <w:rPr>
          <w:rFonts w:hint="default" w:ascii="Times New Roman" w:hAnsi="Times New Roman" w:cs="Times New Roman"/>
          <w:sz w:val="24"/>
          <w:szCs w:val="24"/>
        </w:rPr>
        <w:t>该项目投产后</w:t>
      </w:r>
      <w:r>
        <w:rPr>
          <w:rFonts w:hint="default" w:ascii="Times New Roman" w:hAnsi="Times New Roman" w:cs="Times New Roman"/>
          <w:color w:val="000000"/>
          <w:sz w:val="24"/>
          <w:szCs w:val="24"/>
        </w:rPr>
        <w:t>，项目废水产生量为28333.018m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/a。废水</w:t>
      </w:r>
      <w:r>
        <w:rPr>
          <w:rFonts w:hint="default" w:ascii="Times New Roman" w:hAnsi="Times New Roman" w:cs="Times New Roman"/>
          <w:sz w:val="24"/>
          <w:szCs w:val="24"/>
        </w:rPr>
        <w:t>中主要污染因子为COD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rPr>
        <w:t>、NH</w:t>
      </w:r>
      <w:r>
        <w:rPr>
          <w:rFonts w:hint="eastAsia" w:ascii="Times New Roman" w:hAnsi="Times New Roman" w:cs="Times New Roman"/>
          <w:sz w:val="24"/>
          <w:szCs w:val="24"/>
          <w:vertAlign w:val="subscript"/>
          <w:lang w:val="en-US" w:eastAsia="zh-CN"/>
        </w:rPr>
        <w:t>3</w:t>
      </w:r>
      <w:r>
        <w:rPr>
          <w:rFonts w:hint="default" w:ascii="Times New Roman" w:hAnsi="Times New Roman" w:cs="Times New Roman"/>
          <w:sz w:val="24"/>
          <w:szCs w:val="24"/>
        </w:rPr>
        <w:t>-N等，本本项目清粪工艺采用改良型全漏缝地板和机械干清粪工艺，原理是猪舍内产生的粪尿依靠重力进入缝隙地板下的收集池，在缝隙地板下设一斜坡，使固液立即进行干湿分离，分离出的固体粪渣采用自动式机械刮粪机收集至专门的粪沟，再由吸粪管输送至制肥车间，用作生物有机肥原料。分离出的污水通过管道排入配套的污水处理站进行处理。液体进入厂区拟建污水处理系统后达到《农田灌溉水质标准》（GB5084-2005）旱作标准后，通过密闭罐车输送至田间，用于耕地灌溉，不外排</w:t>
      </w:r>
      <w:r>
        <w:rPr>
          <w:rFonts w:hint="default" w:ascii="Times New Roman" w:hAnsi="Times New Roman" w:cs="Times New Roman"/>
          <w:bCs/>
          <w:sz w:val="24"/>
          <w:szCs w:val="24"/>
        </w:rPr>
        <w:t>。</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污水处理系统和猪粪暂存间是评价区地下水主要污染源，处理后废水中各项污染物浓度为COD</w:t>
      </w:r>
      <w:r>
        <w:rPr>
          <w:rFonts w:hint="default" w:ascii="Times New Roman" w:hAnsi="Times New Roman" w:cs="Times New Roman"/>
          <w:sz w:val="24"/>
          <w:szCs w:val="24"/>
          <w:vertAlign w:val="subscript"/>
        </w:rPr>
        <w:t xml:space="preserve">cr </w:t>
      </w:r>
      <w:r>
        <w:rPr>
          <w:rFonts w:hint="default" w:ascii="Times New Roman" w:hAnsi="Times New Roman" w:cs="Times New Roman"/>
          <w:sz w:val="24"/>
          <w:szCs w:val="24"/>
        </w:rPr>
        <w:t>100.41mg/l，NH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-N51.04mg/l。该项目在营运过程中，废水中污染物含量较低，故对附近地下水环境影响较小。</w:t>
      </w:r>
    </w:p>
    <w:p>
      <w:pPr>
        <w:adjustRightInd w:val="0"/>
        <w:snapToGrid w:val="0"/>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（2）地下水污染途径</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地下水污染途径一般分为四种，即间接入渗型、连续入渗型、越流型和径流型。</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    1）间接入渗型</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间接入渗型的特点是污染物通过大气降水或灌溉水的淋滤，使固体废弃物、表层土壤或地层中的有毒或有害物质周期性从污染源通过包气带土层渗入含水层。这种渗入形式一般呈非饱水状态的淋雨状渗流形式，或者呈短时间的饱水状态连续渗流形式。此类污水，无论在其范围或浓度上，均可能有明显的季节性变化，受污染的对象主要是浅层地下水。</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   2）连续入渗型</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    连续入渗型的特点是污染物随各种液体废弃物不断地经包气带渗入含水层，这种情况下或者包气带完全饱水，呈连续入渗的形式，或者是包气带上部的表土层完全饱水呈连续渗流形式，而其下部（下包气带）呈非饱水的淋雨状的渗流形式，渗入含水层。 这种类型的污染对象亦主要是浅水含水层。</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    3）越流型</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    越流型的特点是污染物通过层间越流的形式转入其他含水层。这种转移或者是通过天然途径（水文地质天窗），或者通过人为途径（结构不合理的井管、破损的老井管），或者人为开采引起的地下水动力条件的变化而改变了越流方向，使污染物通过大面积的弱隔水层越流转移到其它含水层，其污染来源可能是地下水环境本身的，也可能是外来的，它可能污染承压水或者潜水。研究这一类型污染的困难之处是难于查清越流具体的地点及地质部位。</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    4）径流型</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    径流型的特点是污染物通过地下水径流的形式进入含水层，或者通过废水处理井，或者通过岩溶发育的巨大岩溶通道，或者通过废液地下储存层的裂隙进入其他含水层。此中形式的污染，其污染物可能是认为来源，也可能是天然来源，可能污染潜水或承压水。其污染范围可能不很大，但其污染程度往往由于缺乏自然净化作用而显得十分严重。</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本项目位于</w:t>
      </w:r>
      <w:r>
        <w:rPr>
          <w:rFonts w:hint="default" w:ascii="Times New Roman" w:hAnsi="Times New Roman" w:cs="Times New Roman"/>
          <w:kern w:val="0"/>
          <w:sz w:val="24"/>
          <w:szCs w:val="24"/>
        </w:rPr>
        <w:t>夹江县三洞镇周冲村6社</w:t>
      </w:r>
      <w:r>
        <w:rPr>
          <w:rFonts w:hint="default" w:ascii="Times New Roman" w:hAnsi="Times New Roman" w:cs="Times New Roman"/>
          <w:sz w:val="24"/>
          <w:szCs w:val="24"/>
        </w:rPr>
        <w:t>，为丘陵地带。养殖场采用改良型全漏缝地板和机械干清粪工艺，仅在清圈时进行冲洗，产生废水量较少，形成的养殖废水经管道收集后进入污水处理设施，处理后用于土地设施。</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污染物从污染源进入地下水所经过路径称为地下水污染途径，地下水污染途径是多种多样的。本项目营运期环境影响因素主要为生活污水、养殖废水、猪粪及污水处理设施各单元池体的渗滤液。以上污染因素若不加以管理，污水处理池存在下渗污染地下水的隐患；猪粪、腐殖质乱堆乱放，可能转入环境空气或地表水体，并通过下渗影响到地下水环境；初期雨水冲刷污染场地携带污染物进入地表下渗，污染地下水。</w:t>
      </w:r>
    </w:p>
    <w:p>
      <w:pPr>
        <w:adjustRightInd w:val="0"/>
        <w:snapToGrid w:val="0"/>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（3）区域地下水情况</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本项目位于夹江县三洞镇周冲村6社，项目所在区域地下水主要由大气降水补给。项目所在区域饮用水源为自来水。项目场地未见泉眼出露。</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项目对区域地下水进行监测，根据监测结果，各监测因子均满足《地下水质量标准》（GB/T14848-2017）Ⅲ类水质要求。区域饮用水主要为自来水，有部分农户采用井水。</w:t>
      </w:r>
    </w:p>
    <w:p>
      <w:pPr>
        <w:adjustRightInd w:val="0"/>
        <w:snapToGrid w:val="0"/>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（4）养殖场地地下水环境影响分析</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地下水污染防治措施坚持“源头控制、分区防治、污染监控、应急响应相结合”的原则，即采取主动控制和被动控制相结合的措施。</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防止地下水污染的被动控制措施即为地面防渗工程。包括两部分内容：一是全厂污染区参照相应标准要求铺设防渗层，以阻止泄漏到地面的污染物进入地下水中；二是全厂污染区防渗层内设置渗漏污染物收集系统，将滞留在地面的污染物收集起来。</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1）地面防渗工程设计原则：</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1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①</w:t>
      </w:r>
      <w:r>
        <w:rPr>
          <w:rFonts w:hint="default" w:ascii="Times New Roman" w:hAnsi="Times New Roman" w:cs="Times New Roman"/>
          <w:sz w:val="24"/>
          <w:szCs w:val="24"/>
        </w:rPr>
        <w:fldChar w:fldCharType="end"/>
      </w:r>
      <w:r>
        <w:rPr>
          <w:rFonts w:hint="default" w:ascii="Times New Roman" w:hAnsi="Times New Roman" w:cs="Times New Roman"/>
          <w:sz w:val="24"/>
          <w:szCs w:val="24"/>
        </w:rPr>
        <w:t>采用国内先进的防渗材料、技术和实施手段，杜绝对区域内地下水的影响，确保不因项目运行而对区域地下水造成任何污染影响，确保现有地下水水体功能。</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2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②</w:t>
      </w:r>
      <w:r>
        <w:rPr>
          <w:rFonts w:hint="default" w:ascii="Times New Roman" w:hAnsi="Times New Roman" w:cs="Times New Roman"/>
          <w:sz w:val="24"/>
          <w:szCs w:val="24"/>
        </w:rPr>
        <w:fldChar w:fldCharType="end"/>
      </w:r>
      <w:r>
        <w:rPr>
          <w:rFonts w:hint="default" w:ascii="Times New Roman" w:hAnsi="Times New Roman" w:cs="Times New Roman"/>
          <w:sz w:val="24"/>
          <w:szCs w:val="24"/>
        </w:rPr>
        <w:t>坚持分区管理和控制原则，根据场址所在地的工程水文地质条件和可能发生泄漏的物料性质，参照相应标准要求有针对性的分区，并分别设计地面防渗层结构。</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3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③</w:t>
      </w:r>
      <w:r>
        <w:rPr>
          <w:rFonts w:hint="default" w:ascii="Times New Roman" w:hAnsi="Times New Roman" w:cs="Times New Roman"/>
          <w:sz w:val="24"/>
          <w:szCs w:val="24"/>
        </w:rPr>
        <w:fldChar w:fldCharType="end"/>
      </w:r>
      <w:r>
        <w:rPr>
          <w:rFonts w:hint="default" w:ascii="Times New Roman" w:hAnsi="Times New Roman" w:cs="Times New Roman"/>
          <w:sz w:val="24"/>
          <w:szCs w:val="24"/>
        </w:rPr>
        <w:t>坚持“可视化”原则，在满足工程和防渗层结构标准要求的前提下，尽量在地表面实施防渗措施，便于泄漏物质的收集和及时发现破损的防渗层。</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4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④</w:t>
      </w:r>
      <w:r>
        <w:rPr>
          <w:rFonts w:hint="default" w:ascii="Times New Roman" w:hAnsi="Times New Roman" w:cs="Times New Roman"/>
          <w:sz w:val="24"/>
          <w:szCs w:val="24"/>
        </w:rPr>
        <w:fldChar w:fldCharType="end"/>
      </w:r>
      <w:r>
        <w:rPr>
          <w:rFonts w:hint="default" w:ascii="Times New Roman" w:hAnsi="Times New Roman" w:cs="Times New Roman"/>
          <w:sz w:val="24"/>
          <w:szCs w:val="24"/>
        </w:rPr>
        <w:t>防渗层上渗漏污染物和防渗层内渗漏污染物收集系统与全厂“三废”处理措施统筹考虑，统一处理。</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2)防渗材料选取和层设计方案：</w:t>
      </w:r>
    </w:p>
    <w:p>
      <w:pPr>
        <w:snapToGrid w:val="0"/>
        <w:spacing w:line="360" w:lineRule="auto"/>
        <w:ind w:firstLine="508" w:firstLineChars="212"/>
        <w:rPr>
          <w:rFonts w:hint="default" w:ascii="Times New Roman" w:hAnsi="Times New Roman" w:cs="Times New Roman"/>
          <w:bCs/>
          <w:sz w:val="24"/>
          <w:szCs w:val="24"/>
        </w:rPr>
      </w:pPr>
      <w:r>
        <w:rPr>
          <w:rFonts w:hint="default" w:ascii="Times New Roman" w:hAnsi="Times New Roman" w:cs="Times New Roman"/>
          <w:bCs/>
          <w:sz w:val="24"/>
          <w:szCs w:val="24"/>
        </w:rPr>
        <w:t>针对本次评价环境影响分析中可能出现的地下水污染情况，评价对几个重点区域提出地下水污染的分区防治措施。</w:t>
      </w:r>
    </w:p>
    <w:p>
      <w:pPr>
        <w:snapToGrid w:val="0"/>
        <w:spacing w:line="360" w:lineRule="auto"/>
        <w:ind w:firstLine="508" w:firstLineChars="212"/>
        <w:rPr>
          <w:rFonts w:hint="default" w:ascii="Times New Roman" w:hAnsi="Times New Roman" w:cs="Times New Roman"/>
          <w:sz w:val="24"/>
          <w:szCs w:val="24"/>
        </w:rPr>
      </w:pPr>
      <w:r>
        <w:rPr>
          <w:rFonts w:hint="default" w:ascii="Times New Roman" w:hAnsi="Times New Roman" w:cs="Times New Roman"/>
          <w:sz w:val="24"/>
          <w:szCs w:val="24"/>
        </w:rPr>
        <w:t>根据《环境影响评价技术导则 地下水环境》（HJ 610-2016），</w:t>
      </w:r>
      <w:r>
        <w:rPr>
          <w:rFonts w:hint="default" w:ascii="Times New Roman" w:hAnsi="Times New Roman" w:cs="Times New Roman"/>
          <w:bCs/>
          <w:sz w:val="24"/>
          <w:szCs w:val="24"/>
        </w:rPr>
        <w:t>本次评价将养殖场区地下水污染防治区分为</w:t>
      </w:r>
      <w:r>
        <w:rPr>
          <w:rFonts w:hint="default" w:ascii="Times New Roman" w:hAnsi="Times New Roman" w:cs="Times New Roman"/>
          <w:sz w:val="24"/>
          <w:szCs w:val="24"/>
        </w:rPr>
        <w:t>非防渗区、简单防渗区域、一般防渗区域和重点防渗区域</w:t>
      </w:r>
      <w:r>
        <w:rPr>
          <w:rFonts w:hint="default" w:ascii="Times New Roman" w:hAnsi="Times New Roman" w:cs="Times New Roman"/>
          <w:bCs/>
          <w:sz w:val="24"/>
          <w:szCs w:val="24"/>
        </w:rPr>
        <w:t>。非防渗区为绿化用地；</w:t>
      </w:r>
      <w:r>
        <w:rPr>
          <w:rFonts w:hint="default" w:ascii="Times New Roman" w:hAnsi="Times New Roman" w:cs="Times New Roman"/>
          <w:sz w:val="24"/>
          <w:szCs w:val="24"/>
        </w:rPr>
        <w:t>简单防渗区域</w:t>
      </w:r>
      <w:r>
        <w:rPr>
          <w:rFonts w:hint="default" w:ascii="Times New Roman" w:hAnsi="Times New Roman" w:cs="Times New Roman"/>
          <w:color w:val="000000"/>
          <w:sz w:val="24"/>
          <w:szCs w:val="24"/>
        </w:rPr>
        <w:t>主要包括办公楼、饲料仓及场内道路等；一般防</w:t>
      </w:r>
      <w:r>
        <w:rPr>
          <w:rFonts w:hint="default" w:ascii="Times New Roman" w:hAnsi="Times New Roman" w:cs="Times New Roman"/>
          <w:sz w:val="24"/>
          <w:szCs w:val="24"/>
        </w:rPr>
        <w:t>渗区域为猪舍、污水处理设施</w:t>
      </w:r>
      <w:r>
        <w:rPr>
          <w:rFonts w:hint="eastAsia" w:ascii="Times New Roman" w:hAnsi="Times New Roman" w:cs="Times New Roman"/>
          <w:sz w:val="24"/>
          <w:szCs w:val="24"/>
          <w:lang w:eastAsia="zh-CN"/>
        </w:rPr>
        <w:t>、猪粪暂存间</w:t>
      </w:r>
      <w:r>
        <w:rPr>
          <w:rFonts w:hint="default" w:ascii="Times New Roman" w:hAnsi="Times New Roman" w:cs="Times New Roman"/>
          <w:sz w:val="24"/>
          <w:szCs w:val="24"/>
        </w:rPr>
        <w:t>、</w:t>
      </w:r>
      <w:r>
        <w:rPr>
          <w:rFonts w:hint="eastAsia" w:ascii="Times New Roman" w:hAnsi="Times New Roman" w:cs="Times New Roman"/>
          <w:sz w:val="24"/>
          <w:szCs w:val="24"/>
          <w:lang w:eastAsia="zh-CN"/>
        </w:rPr>
        <w:t>隔油池、沼液暂存池、</w:t>
      </w:r>
      <w:r>
        <w:rPr>
          <w:rFonts w:hint="default" w:ascii="Times New Roman" w:hAnsi="Times New Roman" w:cs="Times New Roman"/>
          <w:sz w:val="24"/>
          <w:szCs w:val="24"/>
        </w:rPr>
        <w:t>粪污管道；重点防渗区：柴油储存间、医疗废物暂存间。分区防渗图详见附图。</w:t>
      </w:r>
    </w:p>
    <w:p>
      <w:pPr>
        <w:snapToGrid w:val="0"/>
        <w:spacing w:line="360" w:lineRule="auto"/>
        <w:ind w:firstLine="508" w:firstLineChars="212"/>
        <w:rPr>
          <w:rFonts w:hint="default" w:ascii="Times New Roman" w:hAnsi="Times New Roman" w:cs="Times New Roman"/>
          <w:b/>
          <w:bCs/>
          <w:sz w:val="24"/>
          <w:szCs w:val="24"/>
        </w:rPr>
      </w:pPr>
      <w:r>
        <w:rPr>
          <w:rFonts w:hint="default" w:ascii="Times New Roman" w:hAnsi="Times New Roman" w:cs="Times New Roman"/>
          <w:bCs/>
          <w:sz w:val="24"/>
          <w:szCs w:val="24"/>
        </w:rPr>
        <w:t>以上各区均须进行地面硬化，并做特殊防渗处理。本项目各地下水污染防治区防渗强度要求见表5.2-7。</w:t>
      </w:r>
    </w:p>
    <w:p>
      <w:pPr>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表5.2-7    地下水污染分区防治措施表</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78"/>
        <w:gridCol w:w="4293"/>
        <w:gridCol w:w="23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3078"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分区</w:t>
            </w:r>
          </w:p>
        </w:tc>
        <w:tc>
          <w:tcPr>
            <w:tcW w:w="4293"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防渗结构与材料</w:t>
            </w:r>
          </w:p>
        </w:tc>
        <w:tc>
          <w:tcPr>
            <w:tcW w:w="2341"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渗透系数/（cm·s</w:t>
            </w:r>
            <w:r>
              <w:rPr>
                <w:rFonts w:hint="default" w:ascii="Times New Roman" w:hAnsi="Times New Roman" w:cs="Times New Roman"/>
                <w:bCs/>
                <w:szCs w:val="21"/>
                <w:vertAlign w:val="superscript"/>
              </w:rPr>
              <w:t>-1</w:t>
            </w:r>
            <w:r>
              <w:rPr>
                <w:rFonts w:hint="default"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3078"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绿化</w:t>
            </w:r>
            <w:r>
              <w:rPr>
                <w:rFonts w:hint="default" w:ascii="Times New Roman" w:hAnsi="Times New Roman" w:cs="Times New Roman"/>
                <w:b/>
                <w:szCs w:val="21"/>
              </w:rPr>
              <w:t>（非防渗区）</w:t>
            </w:r>
          </w:p>
        </w:tc>
        <w:tc>
          <w:tcPr>
            <w:tcW w:w="4293"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w:t>
            </w:r>
          </w:p>
        </w:tc>
        <w:tc>
          <w:tcPr>
            <w:tcW w:w="2341"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34" w:hRule="atLeast"/>
          <w:jc w:val="center"/>
        </w:trPr>
        <w:tc>
          <w:tcPr>
            <w:tcW w:w="3078" w:type="dxa"/>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办公楼、库房及场内道路等</w:t>
            </w:r>
          </w:p>
          <w:p>
            <w:pPr>
              <w:snapToGrid w:val="0"/>
              <w:jc w:val="center"/>
              <w:rPr>
                <w:rFonts w:hint="default" w:ascii="Times New Roman" w:hAnsi="Times New Roman" w:cs="Times New Roman"/>
                <w:b/>
                <w:bCs/>
                <w:szCs w:val="21"/>
              </w:rPr>
            </w:pPr>
            <w:r>
              <w:rPr>
                <w:rFonts w:hint="default" w:ascii="Times New Roman" w:hAnsi="Times New Roman" w:cs="Times New Roman"/>
                <w:b/>
                <w:bCs/>
                <w:szCs w:val="21"/>
              </w:rPr>
              <w:t>（简单防渗区）</w:t>
            </w:r>
          </w:p>
        </w:tc>
        <w:tc>
          <w:tcPr>
            <w:tcW w:w="4293" w:type="dxa"/>
            <w:tcBorders>
              <w:bottom w:val="single" w:color="auto" w:sz="4" w:space="0"/>
            </w:tcBorders>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一般地面硬化</w:t>
            </w:r>
          </w:p>
        </w:tc>
        <w:tc>
          <w:tcPr>
            <w:tcW w:w="2341" w:type="dxa"/>
            <w:tcBorders>
              <w:bottom w:val="single" w:color="auto" w:sz="4" w:space="0"/>
            </w:tcBorders>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3078"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szCs w:val="21"/>
              </w:rPr>
              <w:t>猪舍、</w:t>
            </w:r>
            <w:r>
              <w:rPr>
                <w:rFonts w:hint="eastAsia" w:ascii="Times New Roman" w:hAnsi="Times New Roman" w:cs="Times New Roman"/>
                <w:szCs w:val="21"/>
                <w:lang w:eastAsia="zh-CN"/>
              </w:rPr>
              <w:t>猪粪暂存间、</w:t>
            </w:r>
            <w:r>
              <w:rPr>
                <w:rFonts w:hint="default" w:ascii="Times New Roman" w:hAnsi="Times New Roman" w:cs="Times New Roman"/>
                <w:szCs w:val="21"/>
              </w:rPr>
              <w:t>污水处理设施、</w:t>
            </w:r>
            <w:r>
              <w:rPr>
                <w:rFonts w:hint="eastAsia" w:ascii="Times New Roman" w:hAnsi="Times New Roman" w:cs="Times New Roman"/>
                <w:szCs w:val="21"/>
                <w:lang w:eastAsia="zh-CN"/>
              </w:rPr>
              <w:t>隔油池、沼液暂存池、</w:t>
            </w:r>
            <w:r>
              <w:rPr>
                <w:rFonts w:hint="default" w:ascii="Times New Roman" w:hAnsi="Times New Roman" w:cs="Times New Roman"/>
                <w:szCs w:val="21"/>
              </w:rPr>
              <w:t>粪污管道</w:t>
            </w:r>
            <w:r>
              <w:rPr>
                <w:rFonts w:hint="default" w:ascii="Times New Roman" w:hAnsi="Times New Roman" w:cs="Times New Roman"/>
                <w:b/>
                <w:szCs w:val="21"/>
              </w:rPr>
              <w:t>（</w:t>
            </w:r>
            <w:r>
              <w:rPr>
                <w:rFonts w:hint="default" w:ascii="Times New Roman" w:hAnsi="Times New Roman" w:cs="Times New Roman"/>
                <w:b/>
                <w:bCs/>
                <w:szCs w:val="21"/>
              </w:rPr>
              <w:t>一般防渗区）</w:t>
            </w:r>
          </w:p>
        </w:tc>
        <w:tc>
          <w:tcPr>
            <w:tcW w:w="4293"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防渗混凝土+HDPE土工膜（厚度大于1.5mm）</w:t>
            </w:r>
          </w:p>
        </w:tc>
        <w:tc>
          <w:tcPr>
            <w:tcW w:w="2341"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1.0×10</w:t>
            </w:r>
            <w:r>
              <w:rPr>
                <w:rFonts w:hint="default" w:ascii="Times New Roman" w:hAnsi="Times New Roman" w:cs="Times New Roman"/>
                <w:bCs/>
                <w:szCs w:val="21"/>
                <w:vertAlign w:val="superscript"/>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3078" w:type="dxa"/>
            <w:vAlign w:val="center"/>
          </w:tcPr>
          <w:p>
            <w:pPr>
              <w:snapToGrid w:val="0"/>
              <w:jc w:val="center"/>
              <w:rPr>
                <w:rFonts w:hint="default" w:ascii="Times New Roman" w:hAnsi="Times New Roman" w:cs="Times New Roman"/>
                <w:b/>
                <w:szCs w:val="21"/>
              </w:rPr>
            </w:pPr>
            <w:r>
              <w:rPr>
                <w:rFonts w:hint="default" w:ascii="Times New Roman" w:hAnsi="Times New Roman" w:cs="Times New Roman"/>
                <w:szCs w:val="21"/>
              </w:rPr>
              <w:t>柴油储存间、医疗废物暂存间</w:t>
            </w:r>
            <w:r>
              <w:rPr>
                <w:rFonts w:hint="default" w:ascii="Times New Roman" w:hAnsi="Times New Roman" w:cs="Times New Roman"/>
                <w:b/>
                <w:szCs w:val="21"/>
              </w:rPr>
              <w:t>（重点防渗）</w:t>
            </w:r>
          </w:p>
        </w:tc>
        <w:tc>
          <w:tcPr>
            <w:tcW w:w="4293"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防渗混凝土+HDPE土工膜（厚度大于2.0mm）</w:t>
            </w:r>
          </w:p>
        </w:tc>
        <w:tc>
          <w:tcPr>
            <w:tcW w:w="2341" w:type="dxa"/>
            <w:vAlign w:val="center"/>
          </w:tcPr>
          <w:p>
            <w:pPr>
              <w:snapToGrid w:val="0"/>
              <w:jc w:val="center"/>
              <w:rPr>
                <w:rFonts w:hint="default" w:ascii="Times New Roman" w:hAnsi="Times New Roman" w:eastAsia="宋体" w:cs="Times New Roman"/>
                <w:bCs/>
                <w:szCs w:val="21"/>
                <w:lang w:eastAsia="zh-CN"/>
              </w:rPr>
            </w:pPr>
            <w:r>
              <w:rPr>
                <w:rFonts w:hint="default" w:ascii="Times New Roman" w:hAnsi="Times New Roman" w:cs="Times New Roman"/>
                <w:bCs/>
                <w:szCs w:val="21"/>
              </w:rPr>
              <w:t>1.0×10</w:t>
            </w:r>
            <w:r>
              <w:rPr>
                <w:rFonts w:hint="default" w:ascii="Times New Roman" w:hAnsi="Times New Roman" w:cs="Times New Roman"/>
                <w:bCs/>
                <w:szCs w:val="21"/>
                <w:vertAlign w:val="superscript"/>
              </w:rPr>
              <w:t>-</w:t>
            </w:r>
            <w:r>
              <w:rPr>
                <w:rFonts w:hint="default" w:ascii="Times New Roman" w:hAnsi="Times New Roman" w:cs="Times New Roman"/>
                <w:bCs/>
                <w:szCs w:val="21"/>
                <w:vertAlign w:val="superscript"/>
                <w:lang w:val="en-US" w:eastAsia="zh-CN"/>
              </w:rPr>
              <w:t>7</w:t>
            </w:r>
          </w:p>
        </w:tc>
      </w:tr>
    </w:tbl>
    <w:p>
      <w:pPr>
        <w:adjustRightInd w:val="0"/>
        <w:snapToGrid w:val="0"/>
        <w:spacing w:line="360" w:lineRule="auto"/>
        <w:ind w:firstLine="480" w:firstLineChars="200"/>
        <w:rPr>
          <w:rFonts w:hint="default" w:ascii="Times New Roman" w:hAnsi="Times New Roman" w:cs="Times New Roman"/>
          <w:snapToGrid w:val="0"/>
          <w:color w:val="000000"/>
          <w:sz w:val="24"/>
          <w:szCs w:val="24"/>
        </w:rPr>
      </w:pPr>
      <w:r>
        <w:rPr>
          <w:rFonts w:hint="default" w:ascii="Times New Roman" w:hAnsi="Times New Roman" w:cs="Times New Roman"/>
          <w:color w:val="000000"/>
          <w:sz w:val="24"/>
          <w:szCs w:val="24"/>
        </w:rPr>
        <w:t>综上分析，评价认为在上述相关措施得到切实落实的前提下，项目实施对评价区地下水环境不会造成污染影响，不改变其现有水环境现状和功能。</w:t>
      </w:r>
    </w:p>
    <w:p>
      <w:pPr>
        <w:adjustRightInd w:val="0"/>
        <w:snapToGrid w:val="0"/>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（5）环评要求采取的其他措施</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①养殖场的排水系统应实行雨水和污水收集输送系统分离，在场区内外设置的污水收集输送系统，不得采取明沟布设。</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②猪粪贮存设施应采取有效的防渗处理工艺，防止粪便污染地下水。</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sz w:val="24"/>
          <w:szCs w:val="24"/>
        </w:rPr>
        <w:t>③做好污水处理设施的防渗处理</w:t>
      </w:r>
      <w:r>
        <w:rPr>
          <w:rFonts w:hint="default" w:ascii="Times New Roman" w:hAnsi="Times New Roman" w:cs="Times New Roman"/>
          <w:color w:val="000000"/>
          <w:sz w:val="24"/>
          <w:szCs w:val="24"/>
        </w:rPr>
        <w:t>，并保证要有应急池，保证在污水处理设施发生故障，停止运行的情况下，保证污水池有足够的容量，防止粪污直接用于农田施肥，污染地下水。</w:t>
      </w:r>
    </w:p>
    <w:p>
      <w:pPr>
        <w:adjustRightInd w:val="0"/>
        <w:snapToGrid w:val="0"/>
        <w:spacing w:line="360" w:lineRule="auto"/>
        <w:ind w:firstLine="480" w:firstLineChars="200"/>
        <w:rPr>
          <w:rFonts w:hint="default" w:ascii="Times New Roman" w:hAnsi="Times New Roman" w:cs="Times New Roman"/>
          <w:color w:val="000000"/>
          <w:kern w:val="0"/>
          <w:sz w:val="24"/>
          <w:szCs w:val="24"/>
        </w:rPr>
      </w:pPr>
      <w:r>
        <w:rPr>
          <w:rFonts w:hint="default" w:ascii="Times New Roman" w:hAnsi="Times New Roman" w:cs="Times New Roman"/>
          <w:color w:val="000000"/>
          <w:sz w:val="24"/>
          <w:szCs w:val="24"/>
        </w:rPr>
        <w:t>④</w:t>
      </w:r>
      <w:r>
        <w:rPr>
          <w:rFonts w:hint="default" w:ascii="Times New Roman" w:hAnsi="Times New Roman" w:cs="Times New Roman"/>
          <w:color w:val="000000"/>
          <w:kern w:val="0"/>
          <w:sz w:val="24"/>
          <w:szCs w:val="24"/>
        </w:rPr>
        <w:t>对场区地面进行硬化，防止废水渗漏。</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⑤报告要求，将养殖场附近水井作为养殖场地下水跟踪监测井，对地下水水质进行定期监测，监测周期至少1年1次。</w:t>
      </w:r>
    </w:p>
    <w:p>
      <w:pPr>
        <w:pStyle w:val="2"/>
        <w:spacing w:line="360" w:lineRule="auto"/>
        <w:rPr>
          <w:rFonts w:hint="default" w:ascii="Times New Roman" w:hAnsi="Times New Roman" w:cs="Times New Roman"/>
          <w:b/>
          <w:bCs/>
          <w:u w:val="single"/>
        </w:rPr>
      </w:pPr>
      <w:r>
        <w:rPr>
          <w:rFonts w:hint="default" w:ascii="Times New Roman" w:hAnsi="Times New Roman" w:cs="Times New Roman"/>
          <w:color w:val="auto"/>
        </w:rPr>
        <w:t xml:space="preserve">  </w:t>
      </w:r>
      <w:r>
        <w:rPr>
          <w:rFonts w:hint="default" w:ascii="Times New Roman" w:hAnsi="Times New Roman" w:cs="Times New Roman"/>
        </w:rPr>
        <w:t xml:space="preserve"> </w:t>
      </w:r>
      <w:r>
        <w:rPr>
          <w:rFonts w:hint="default" w:ascii="Times New Roman" w:hAnsi="Times New Roman" w:cs="Times New Roman"/>
          <w:b/>
          <w:bCs/>
          <w:u w:val="single"/>
        </w:rPr>
        <w:t xml:space="preserve"> 综上，本项目不涉及集中式饮用水水源保护区，建设单位做好以上措施后，运营期不会对地下水造成影响。</w:t>
      </w:r>
    </w:p>
    <w:p>
      <w:pPr>
        <w:pStyle w:val="5"/>
        <w:spacing w:before="0" w:after="0" w:line="360" w:lineRule="auto"/>
        <w:ind w:firstLine="482" w:firstLineChars="200"/>
        <w:jc w:val="left"/>
        <w:rPr>
          <w:rFonts w:hint="default" w:ascii="Times New Roman" w:hAnsi="Times New Roman" w:cs="Times New Roman"/>
          <w:sz w:val="24"/>
          <w:szCs w:val="24"/>
        </w:rPr>
      </w:pPr>
      <w:r>
        <w:rPr>
          <w:rFonts w:hint="default" w:ascii="Times New Roman" w:hAnsi="Times New Roman" w:cs="Times New Roman"/>
          <w:sz w:val="24"/>
          <w:szCs w:val="24"/>
        </w:rPr>
        <w:t>5.2.3噪声环境影响分析</w:t>
      </w:r>
      <w:bookmarkEnd w:id="352"/>
    </w:p>
    <w:p>
      <w:pPr>
        <w:adjustRightInd w:val="0"/>
        <w:snapToGrid w:val="0"/>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1、预测源强</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该项目噪声源主要为风机、水泵、污水处理设施以及猪只叫声等，噪声声级范围60-85dB（A），本次评价选取猪叫声、污水处理系统进行预测，猪叫声位于养殖场室内，经环保治理再经房间隔声；污水处理站将采用地下以及建筑隔声，噪声值衰减约15dB(A)。经估算，项目产生各源强噪声值详见表5.2-8。</w:t>
      </w:r>
    </w:p>
    <w:p>
      <w:pPr>
        <w:adjustRightInd w:val="0"/>
        <w:snapToGrid w:val="0"/>
        <w:ind w:firstLine="480" w:firstLineChars="20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表5.2-8  各噪声源强及治理措施</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116"/>
        <w:gridCol w:w="1152"/>
        <w:gridCol w:w="693"/>
        <w:gridCol w:w="1320"/>
        <w:gridCol w:w="3480"/>
        <w:gridCol w:w="14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538" w:type="dxa"/>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1116" w:type="dxa"/>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设备名称</w:t>
            </w:r>
          </w:p>
        </w:tc>
        <w:tc>
          <w:tcPr>
            <w:tcW w:w="1152" w:type="dxa"/>
            <w:tcBorders>
              <w:right w:val="single" w:color="auto" w:sz="8" w:space="0"/>
            </w:tcBorders>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噪声值dB（A）</w:t>
            </w:r>
          </w:p>
        </w:tc>
        <w:tc>
          <w:tcPr>
            <w:tcW w:w="693" w:type="dxa"/>
            <w:tcBorders>
              <w:left w:val="single" w:color="auto" w:sz="8" w:space="0"/>
            </w:tcBorders>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数量</w:t>
            </w:r>
          </w:p>
        </w:tc>
        <w:tc>
          <w:tcPr>
            <w:tcW w:w="1320" w:type="dxa"/>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所在位置</w:t>
            </w:r>
          </w:p>
        </w:tc>
        <w:tc>
          <w:tcPr>
            <w:tcW w:w="3480" w:type="dxa"/>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治理措施</w:t>
            </w:r>
          </w:p>
        </w:tc>
        <w:tc>
          <w:tcPr>
            <w:tcW w:w="1413" w:type="dxa"/>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治理后噪声dB（A）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538"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111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备用发电机</w:t>
            </w:r>
          </w:p>
        </w:tc>
        <w:tc>
          <w:tcPr>
            <w:tcW w:w="1152" w:type="dxa"/>
            <w:tcBorders>
              <w:righ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75~85</w:t>
            </w:r>
          </w:p>
        </w:tc>
        <w:tc>
          <w:tcPr>
            <w:tcW w:w="693" w:type="dxa"/>
            <w:tcBorders>
              <w:lef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1台</w:t>
            </w:r>
          </w:p>
        </w:tc>
        <w:tc>
          <w:tcPr>
            <w:tcW w:w="132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备用发电机房</w:t>
            </w:r>
          </w:p>
        </w:tc>
        <w:tc>
          <w:tcPr>
            <w:tcW w:w="34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专用发电机房，建筑隔声，距离衰减</w:t>
            </w:r>
          </w:p>
        </w:tc>
        <w:tc>
          <w:tcPr>
            <w:tcW w:w="1413"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538"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111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风机</w:t>
            </w:r>
          </w:p>
        </w:tc>
        <w:tc>
          <w:tcPr>
            <w:tcW w:w="1152" w:type="dxa"/>
            <w:tcBorders>
              <w:righ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60~70</w:t>
            </w:r>
          </w:p>
        </w:tc>
        <w:tc>
          <w:tcPr>
            <w:tcW w:w="693" w:type="dxa"/>
            <w:tcBorders>
              <w:lef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18台</w:t>
            </w:r>
          </w:p>
        </w:tc>
        <w:tc>
          <w:tcPr>
            <w:tcW w:w="132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圈舍</w:t>
            </w:r>
          </w:p>
        </w:tc>
        <w:tc>
          <w:tcPr>
            <w:tcW w:w="3480"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合理布局，采用低噪声设备，风机柔性连接，水泵基座减震，距离衰减</w:t>
            </w:r>
          </w:p>
        </w:tc>
        <w:tc>
          <w:tcPr>
            <w:tcW w:w="1413"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538"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111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水泵</w:t>
            </w:r>
          </w:p>
        </w:tc>
        <w:tc>
          <w:tcPr>
            <w:tcW w:w="1152" w:type="dxa"/>
            <w:tcBorders>
              <w:righ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65~75</w:t>
            </w:r>
          </w:p>
        </w:tc>
        <w:tc>
          <w:tcPr>
            <w:tcW w:w="693" w:type="dxa"/>
            <w:tcBorders>
              <w:lef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4台</w:t>
            </w:r>
          </w:p>
        </w:tc>
        <w:tc>
          <w:tcPr>
            <w:tcW w:w="1320" w:type="dxa"/>
            <w:vMerge w:val="restart"/>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地块东侧</w:t>
            </w:r>
          </w:p>
        </w:tc>
        <w:tc>
          <w:tcPr>
            <w:tcW w:w="3480" w:type="dxa"/>
            <w:vMerge w:val="continue"/>
            <w:vAlign w:val="center"/>
          </w:tcPr>
          <w:p>
            <w:pPr>
              <w:adjustRightInd w:val="0"/>
              <w:snapToGrid w:val="0"/>
              <w:jc w:val="center"/>
              <w:rPr>
                <w:rFonts w:hint="default" w:ascii="Times New Roman" w:hAnsi="Times New Roman" w:cs="Times New Roman"/>
                <w:szCs w:val="21"/>
              </w:rPr>
            </w:pPr>
          </w:p>
        </w:tc>
        <w:tc>
          <w:tcPr>
            <w:tcW w:w="1413"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538"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111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污水处理系统</w:t>
            </w:r>
          </w:p>
        </w:tc>
        <w:tc>
          <w:tcPr>
            <w:tcW w:w="1152" w:type="dxa"/>
            <w:tcBorders>
              <w:righ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65~80</w:t>
            </w:r>
          </w:p>
        </w:tc>
        <w:tc>
          <w:tcPr>
            <w:tcW w:w="693" w:type="dxa"/>
            <w:tcBorders>
              <w:lef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1套</w:t>
            </w:r>
          </w:p>
        </w:tc>
        <w:tc>
          <w:tcPr>
            <w:tcW w:w="1320" w:type="dxa"/>
            <w:vMerge w:val="continue"/>
            <w:vAlign w:val="center"/>
          </w:tcPr>
          <w:p>
            <w:pPr>
              <w:adjustRightInd w:val="0"/>
              <w:snapToGrid w:val="0"/>
              <w:jc w:val="center"/>
              <w:rPr>
                <w:rFonts w:hint="default" w:ascii="Times New Roman" w:hAnsi="Times New Roman" w:cs="Times New Roman"/>
                <w:szCs w:val="21"/>
              </w:rPr>
            </w:pPr>
          </w:p>
        </w:tc>
        <w:tc>
          <w:tcPr>
            <w:tcW w:w="34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部分采用地下室，地上设施密闭处理</w:t>
            </w:r>
          </w:p>
        </w:tc>
        <w:tc>
          <w:tcPr>
            <w:tcW w:w="1413"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538"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5</w:t>
            </w:r>
          </w:p>
        </w:tc>
        <w:tc>
          <w:tcPr>
            <w:tcW w:w="111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猪只叫声</w:t>
            </w:r>
          </w:p>
        </w:tc>
        <w:tc>
          <w:tcPr>
            <w:tcW w:w="1152" w:type="dxa"/>
            <w:tcBorders>
              <w:righ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60~75</w:t>
            </w:r>
          </w:p>
        </w:tc>
        <w:tc>
          <w:tcPr>
            <w:tcW w:w="693" w:type="dxa"/>
            <w:tcBorders>
              <w:lef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若干</w:t>
            </w:r>
          </w:p>
        </w:tc>
        <w:tc>
          <w:tcPr>
            <w:tcW w:w="132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圈舍</w:t>
            </w:r>
          </w:p>
        </w:tc>
        <w:tc>
          <w:tcPr>
            <w:tcW w:w="3480" w:type="dxa"/>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封闭养殖，加强管理，定时投食</w:t>
            </w:r>
          </w:p>
        </w:tc>
        <w:tc>
          <w:tcPr>
            <w:tcW w:w="1413" w:type="dxa"/>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538"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w:t>
            </w:r>
          </w:p>
        </w:tc>
        <w:tc>
          <w:tcPr>
            <w:tcW w:w="111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运输车辆</w:t>
            </w:r>
          </w:p>
        </w:tc>
        <w:tc>
          <w:tcPr>
            <w:tcW w:w="1152" w:type="dxa"/>
            <w:tcBorders>
              <w:righ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60~70</w:t>
            </w:r>
          </w:p>
        </w:tc>
        <w:tc>
          <w:tcPr>
            <w:tcW w:w="693" w:type="dxa"/>
            <w:tcBorders>
              <w:left w:val="single" w:color="auto" w:sz="8"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132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3480" w:type="dxa"/>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限制车速，采用噪声小的车辆，禁止鸣笛</w:t>
            </w:r>
          </w:p>
        </w:tc>
        <w:tc>
          <w:tcPr>
            <w:tcW w:w="1413" w:type="dxa"/>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55</w:t>
            </w:r>
          </w:p>
        </w:tc>
      </w:tr>
    </w:tbl>
    <w:p>
      <w:pPr>
        <w:adjustRightInd w:val="0"/>
        <w:snapToGrid w:val="0"/>
        <w:spacing w:line="360" w:lineRule="auto"/>
        <w:ind w:firstLine="482" w:firstLineChars="200"/>
        <w:rPr>
          <w:rFonts w:hint="default" w:ascii="Times New Roman" w:hAnsi="Times New Roman" w:cs="Times New Roman"/>
          <w:b/>
          <w:sz w:val="24"/>
          <w:szCs w:val="24"/>
          <w:lang w:val="zh-CN"/>
        </w:rPr>
      </w:pPr>
      <w:r>
        <w:rPr>
          <w:rFonts w:hint="default" w:ascii="Times New Roman" w:hAnsi="Times New Roman" w:cs="Times New Roman"/>
          <w:b/>
          <w:sz w:val="24"/>
          <w:szCs w:val="24"/>
        </w:rPr>
        <w:t xml:space="preserve"> </w:t>
      </w:r>
      <w:r>
        <w:rPr>
          <w:rFonts w:hint="default" w:ascii="Times New Roman" w:hAnsi="Times New Roman" w:cs="Times New Roman"/>
          <w:b/>
          <w:sz w:val="24"/>
          <w:szCs w:val="24"/>
          <w:lang w:val="zh-CN"/>
        </w:rPr>
        <w:t>2、预测方法</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环评采用噪声衰减模式和多源叠加模式，具体模式如下：</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噪声衰减模式：</w:t>
      </w:r>
    </w:p>
    <w:p>
      <w:pPr>
        <w:adjustRightInd w:val="0"/>
        <w:snapToGrid w:val="0"/>
        <w:spacing w:line="360" w:lineRule="auto"/>
        <w:ind w:firstLine="48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P</w:t>
      </w: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W</w:t>
      </w:r>
      <w:r>
        <w:rPr>
          <w:rFonts w:hint="default" w:ascii="Times New Roman" w:hAnsi="Times New Roman" w:cs="Times New Roman"/>
          <w:sz w:val="24"/>
          <w:szCs w:val="24"/>
        </w:rPr>
        <w:t>－20lgr－K</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式中：L</w:t>
      </w:r>
      <w:r>
        <w:rPr>
          <w:rFonts w:hint="default" w:ascii="Times New Roman" w:hAnsi="Times New Roman" w:cs="Times New Roman"/>
          <w:sz w:val="24"/>
          <w:szCs w:val="24"/>
          <w:vertAlign w:val="subscript"/>
        </w:rPr>
        <w:t>P</w:t>
      </w:r>
      <w:r>
        <w:rPr>
          <w:rFonts w:hint="default" w:ascii="Times New Roman" w:hAnsi="Times New Roman" w:cs="Times New Roman"/>
          <w:sz w:val="24"/>
          <w:szCs w:val="24"/>
        </w:rPr>
        <w:t>——距离声源r 米处的声压级；</w:t>
      </w:r>
    </w:p>
    <w:p>
      <w:pPr>
        <w:adjustRightInd w:val="0"/>
        <w:snapToGrid w:val="0"/>
        <w:spacing w:line="360" w:lineRule="auto"/>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W</w:t>
      </w:r>
      <w:r>
        <w:rPr>
          <w:rFonts w:hint="default" w:ascii="Times New Roman" w:hAnsi="Times New Roman" w:cs="Times New Roman"/>
          <w:sz w:val="24"/>
          <w:szCs w:val="24"/>
        </w:rPr>
        <w:t>——声源声功率级；</w:t>
      </w:r>
    </w:p>
    <w:p>
      <w:pPr>
        <w:adjustRightInd w:val="0"/>
        <w:snapToGrid w:val="0"/>
        <w:spacing w:line="360" w:lineRule="auto"/>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r——距离声源中心的距离；</w:t>
      </w:r>
    </w:p>
    <w:p>
      <w:pPr>
        <w:adjustRightInd w:val="0"/>
        <w:snapToGrid w:val="0"/>
        <w:spacing w:line="360" w:lineRule="auto"/>
        <w:ind w:firstLine="1200" w:firstLineChars="500"/>
        <w:rPr>
          <w:rFonts w:hint="default" w:ascii="Times New Roman" w:hAnsi="Times New Roman" w:cs="Times New Roman"/>
          <w:sz w:val="24"/>
          <w:szCs w:val="24"/>
        </w:rPr>
      </w:pPr>
      <w:r>
        <w:rPr>
          <w:rFonts w:hint="default" w:ascii="Times New Roman" w:hAnsi="Times New Roman" w:cs="Times New Roman"/>
          <w:sz w:val="24"/>
          <w:szCs w:val="24"/>
        </w:rPr>
        <w:t>K——修正值。</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对于同一声源可知r</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和r</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处声压级L</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和L</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间关系为：</w:t>
      </w:r>
    </w:p>
    <w:p>
      <w:pPr>
        <w:adjustRightInd w:val="0"/>
        <w:snapToGrid w:val="0"/>
        <w:spacing w:line="360" w:lineRule="auto"/>
        <w:ind w:firstLine="48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－20lg(r</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/r</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多源叠加模式：</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在预测过程中，根据实际情况把各具体复杂的噪声源简化为点声源进行计算，再将其计算结果与本底进行能量叠加，得到该处噪声预测值。</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对于任何一个预测点，其总噪声效应是多个叠加声级(即各声源分别在该点的贡献值L2 和本底噪声值)的能量总和，其计算式如下：</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L = 10 lg (Σ100.1Li )</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式中：L——某点噪声总叠加值，dB(A)；</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Li——第i 个声源的噪声值，dB(A)；</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n——声源个数。</w:t>
      </w:r>
    </w:p>
    <w:p>
      <w:pPr>
        <w:adjustRightInd w:val="0"/>
        <w:snapToGrid w:val="0"/>
        <w:spacing w:line="360" w:lineRule="auto"/>
        <w:ind w:firstLine="482" w:firstLineChars="200"/>
        <w:rPr>
          <w:rFonts w:hint="default" w:ascii="Times New Roman" w:hAnsi="Times New Roman" w:cs="Times New Roman"/>
          <w:b/>
          <w:sz w:val="24"/>
          <w:szCs w:val="24"/>
          <w:lang w:val="zh-CN"/>
        </w:rPr>
      </w:pPr>
      <w:r>
        <w:rPr>
          <w:rFonts w:hint="default" w:ascii="Times New Roman" w:hAnsi="Times New Roman" w:cs="Times New Roman"/>
          <w:b/>
          <w:sz w:val="24"/>
          <w:szCs w:val="24"/>
          <w:lang w:val="zh-CN"/>
        </w:rPr>
        <w:t>3、声环境影响预测</w:t>
      </w:r>
    </w:p>
    <w:p>
      <w:pPr>
        <w:snapToGrid w:val="0"/>
        <w:spacing w:line="360" w:lineRule="auto"/>
        <w:ind w:firstLine="480" w:firstLineChars="200"/>
        <w:rPr>
          <w:rFonts w:hint="default" w:ascii="Times New Roman" w:hAnsi="Times New Roman" w:cs="Times New Roman"/>
          <w:bCs/>
          <w:color w:val="000000"/>
          <w:sz w:val="24"/>
          <w:szCs w:val="24"/>
        </w:rPr>
      </w:pPr>
      <w:r>
        <w:rPr>
          <w:rFonts w:hint="default" w:ascii="Times New Roman" w:hAnsi="Times New Roman" w:cs="Times New Roman"/>
          <w:bCs/>
          <w:sz w:val="24"/>
          <w:szCs w:val="24"/>
        </w:rPr>
        <w:t>厂界贡献值：</w:t>
      </w:r>
    </w:p>
    <w:p>
      <w:pPr>
        <w:adjustRightInd w:val="0"/>
        <w:snapToGrid w:val="0"/>
        <w:ind w:firstLine="480" w:firstLineChars="20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表5.2-9   场界噪声预测结果     单位dB(A)</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2443"/>
        <w:gridCol w:w="1628"/>
        <w:gridCol w:w="1628"/>
        <w:gridCol w:w="1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blHeader/>
          <w:jc w:val="center"/>
        </w:trPr>
        <w:tc>
          <w:tcPr>
            <w:tcW w:w="2110" w:type="dxa"/>
            <w:vAlign w:val="center"/>
          </w:tcPr>
          <w:p>
            <w:pPr>
              <w:pStyle w:val="45"/>
              <w:jc w:val="center"/>
              <w:rPr>
                <w:rFonts w:hint="default" w:ascii="Times New Roman" w:hAnsi="Times New Roman" w:cs="Times New Roman"/>
                <w:b/>
                <w:sz w:val="21"/>
                <w:szCs w:val="21"/>
              </w:rPr>
            </w:pPr>
            <w:r>
              <w:rPr>
                <w:rFonts w:hint="default" w:ascii="Times New Roman" w:hAnsi="Times New Roman" w:cs="Times New Roman"/>
                <w:b/>
                <w:sz w:val="21"/>
                <w:szCs w:val="21"/>
              </w:rPr>
              <w:t>噪声预测点</w:t>
            </w:r>
          </w:p>
        </w:tc>
        <w:tc>
          <w:tcPr>
            <w:tcW w:w="2443" w:type="dxa"/>
            <w:vAlign w:val="center"/>
          </w:tcPr>
          <w:p>
            <w:pPr>
              <w:pStyle w:val="45"/>
              <w:jc w:val="center"/>
              <w:rPr>
                <w:rFonts w:hint="default" w:ascii="Times New Roman" w:hAnsi="Times New Roman" w:cs="Times New Roman"/>
                <w:b/>
                <w:sz w:val="21"/>
                <w:szCs w:val="21"/>
              </w:rPr>
            </w:pPr>
            <w:r>
              <w:rPr>
                <w:rFonts w:hint="default" w:ascii="Times New Roman" w:hAnsi="Times New Roman" w:cs="Times New Roman"/>
                <w:b/>
                <w:sz w:val="21"/>
                <w:szCs w:val="21"/>
              </w:rPr>
              <w:t>噪声源</w:t>
            </w:r>
          </w:p>
        </w:tc>
        <w:tc>
          <w:tcPr>
            <w:tcW w:w="1628" w:type="dxa"/>
            <w:vAlign w:val="center"/>
          </w:tcPr>
          <w:p>
            <w:pPr>
              <w:pStyle w:val="45"/>
              <w:jc w:val="center"/>
              <w:rPr>
                <w:rFonts w:hint="default" w:ascii="Times New Roman" w:hAnsi="Times New Roman" w:cs="Times New Roman"/>
                <w:b/>
                <w:sz w:val="21"/>
                <w:szCs w:val="21"/>
              </w:rPr>
            </w:pPr>
            <w:r>
              <w:rPr>
                <w:rFonts w:hint="default" w:ascii="Times New Roman" w:hAnsi="Times New Roman" w:cs="Times New Roman"/>
                <w:b/>
                <w:sz w:val="21"/>
                <w:szCs w:val="21"/>
              </w:rPr>
              <w:t>距离厂界距离m</w:t>
            </w:r>
          </w:p>
        </w:tc>
        <w:tc>
          <w:tcPr>
            <w:tcW w:w="3531" w:type="dxa"/>
            <w:gridSpan w:val="2"/>
            <w:vAlign w:val="center"/>
          </w:tcPr>
          <w:p>
            <w:pPr>
              <w:pStyle w:val="45"/>
              <w:jc w:val="center"/>
              <w:rPr>
                <w:rFonts w:hint="default" w:ascii="Times New Roman" w:hAnsi="Times New Roman" w:cs="Times New Roman"/>
                <w:b/>
                <w:sz w:val="21"/>
                <w:szCs w:val="21"/>
              </w:rPr>
            </w:pPr>
            <w:r>
              <w:rPr>
                <w:rFonts w:hint="default" w:ascii="Times New Roman" w:hAnsi="Times New Roman" w:cs="Times New Roman"/>
                <w:b/>
                <w:sz w:val="21"/>
                <w:szCs w:val="21"/>
              </w:rPr>
              <w:t>厂界噪声贡献值dB(A)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110" w:type="dxa"/>
            <w:vMerge w:val="restart"/>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1#（东面厂界）</w:t>
            </w:r>
          </w:p>
        </w:tc>
        <w:tc>
          <w:tcPr>
            <w:tcW w:w="2443"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圈舍</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43.69</w:t>
            </w:r>
          </w:p>
        </w:tc>
        <w:tc>
          <w:tcPr>
            <w:tcW w:w="1903" w:type="dxa"/>
            <w:vMerge w:val="restart"/>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110" w:type="dxa"/>
            <w:vMerge w:val="continue"/>
            <w:vAlign w:val="center"/>
          </w:tcPr>
          <w:p>
            <w:pPr>
              <w:pStyle w:val="45"/>
              <w:jc w:val="center"/>
              <w:rPr>
                <w:rFonts w:hint="default" w:ascii="Times New Roman" w:hAnsi="Times New Roman" w:cs="Times New Roman"/>
                <w:sz w:val="21"/>
                <w:szCs w:val="21"/>
              </w:rPr>
            </w:pPr>
          </w:p>
        </w:tc>
        <w:tc>
          <w:tcPr>
            <w:tcW w:w="2443"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污水处理设施</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43.69</w:t>
            </w:r>
          </w:p>
        </w:tc>
        <w:tc>
          <w:tcPr>
            <w:tcW w:w="1903" w:type="dxa"/>
            <w:vMerge w:val="continue"/>
            <w:vAlign w:val="center"/>
          </w:tcPr>
          <w:p>
            <w:pPr>
              <w:pStyle w:val="45"/>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110" w:type="dxa"/>
            <w:vMerge w:val="restart"/>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2#（南面厂界）</w:t>
            </w:r>
          </w:p>
        </w:tc>
        <w:tc>
          <w:tcPr>
            <w:tcW w:w="2443"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圈舍</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30</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37.67</w:t>
            </w:r>
          </w:p>
        </w:tc>
        <w:tc>
          <w:tcPr>
            <w:tcW w:w="1903" w:type="dxa"/>
            <w:vMerge w:val="restart"/>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38.64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110" w:type="dxa"/>
            <w:vMerge w:val="continue"/>
            <w:vAlign w:val="center"/>
          </w:tcPr>
          <w:p>
            <w:pPr>
              <w:pStyle w:val="45"/>
              <w:jc w:val="center"/>
              <w:rPr>
                <w:rFonts w:hint="default" w:ascii="Times New Roman" w:hAnsi="Times New Roman" w:cs="Times New Roman"/>
                <w:sz w:val="21"/>
                <w:szCs w:val="21"/>
              </w:rPr>
            </w:pPr>
          </w:p>
        </w:tc>
        <w:tc>
          <w:tcPr>
            <w:tcW w:w="2443"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污水处理设施</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60</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31.65</w:t>
            </w:r>
          </w:p>
        </w:tc>
        <w:tc>
          <w:tcPr>
            <w:tcW w:w="1903" w:type="dxa"/>
            <w:vMerge w:val="continue"/>
            <w:vAlign w:val="center"/>
          </w:tcPr>
          <w:p>
            <w:pPr>
              <w:pStyle w:val="45"/>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110" w:type="dxa"/>
            <w:vMerge w:val="restart"/>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3#（西面厂界）</w:t>
            </w:r>
          </w:p>
        </w:tc>
        <w:tc>
          <w:tcPr>
            <w:tcW w:w="2443"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圈舍</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47.21</w:t>
            </w:r>
          </w:p>
        </w:tc>
        <w:tc>
          <w:tcPr>
            <w:tcW w:w="1903" w:type="dxa"/>
            <w:vMerge w:val="restart"/>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47.26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110" w:type="dxa"/>
            <w:vMerge w:val="continue"/>
            <w:vAlign w:val="center"/>
          </w:tcPr>
          <w:p>
            <w:pPr>
              <w:pStyle w:val="45"/>
              <w:jc w:val="center"/>
              <w:rPr>
                <w:rFonts w:hint="default" w:ascii="Times New Roman" w:hAnsi="Times New Roman" w:cs="Times New Roman"/>
                <w:sz w:val="21"/>
                <w:szCs w:val="21"/>
              </w:rPr>
            </w:pPr>
          </w:p>
        </w:tc>
        <w:tc>
          <w:tcPr>
            <w:tcW w:w="2443"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污水处理设施</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80</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28.15</w:t>
            </w:r>
          </w:p>
        </w:tc>
        <w:tc>
          <w:tcPr>
            <w:tcW w:w="1903" w:type="dxa"/>
            <w:vMerge w:val="continue"/>
            <w:vAlign w:val="center"/>
          </w:tcPr>
          <w:p>
            <w:pPr>
              <w:pStyle w:val="45"/>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110" w:type="dxa"/>
            <w:vMerge w:val="restart"/>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4#（北面厂界）</w:t>
            </w:r>
          </w:p>
        </w:tc>
        <w:tc>
          <w:tcPr>
            <w:tcW w:w="2443"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圈舍</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43.69</w:t>
            </w:r>
          </w:p>
        </w:tc>
        <w:tc>
          <w:tcPr>
            <w:tcW w:w="1903" w:type="dxa"/>
            <w:vMerge w:val="restart"/>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43.81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110" w:type="dxa"/>
            <w:vMerge w:val="continue"/>
            <w:vAlign w:val="center"/>
          </w:tcPr>
          <w:p>
            <w:pPr>
              <w:pStyle w:val="45"/>
              <w:jc w:val="center"/>
              <w:rPr>
                <w:rFonts w:hint="default" w:ascii="Times New Roman" w:hAnsi="Times New Roman" w:cs="Times New Roman"/>
                <w:sz w:val="21"/>
                <w:szCs w:val="21"/>
              </w:rPr>
            </w:pPr>
          </w:p>
        </w:tc>
        <w:tc>
          <w:tcPr>
            <w:tcW w:w="2443"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污水处理设施</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80</w:t>
            </w:r>
          </w:p>
        </w:tc>
        <w:tc>
          <w:tcPr>
            <w:tcW w:w="1628"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28.15</w:t>
            </w:r>
          </w:p>
        </w:tc>
        <w:tc>
          <w:tcPr>
            <w:tcW w:w="1903" w:type="dxa"/>
            <w:vMerge w:val="continue"/>
            <w:vAlign w:val="center"/>
          </w:tcPr>
          <w:p>
            <w:pPr>
              <w:pStyle w:val="45"/>
              <w:jc w:val="center"/>
              <w:rPr>
                <w:rFonts w:hint="default" w:ascii="Times New Roman" w:hAnsi="Times New Roman" w:cs="Times New Roman"/>
                <w:sz w:val="21"/>
                <w:szCs w:val="21"/>
              </w:rPr>
            </w:pPr>
          </w:p>
        </w:tc>
      </w:tr>
    </w:tbl>
    <w:p>
      <w:pPr>
        <w:snapToGrid w:val="0"/>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预测结果：</w:t>
      </w:r>
    </w:p>
    <w:p>
      <w:pPr>
        <w:adjustRightInd w:val="0"/>
        <w:snapToGrid w:val="0"/>
        <w:ind w:firstLine="480" w:firstLineChars="20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表5.2-10    运营期噪声影响预测结果      单位：dB(A)</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750"/>
        <w:gridCol w:w="1189"/>
        <w:gridCol w:w="1111"/>
        <w:gridCol w:w="1220"/>
        <w:gridCol w:w="1239"/>
        <w:gridCol w:w="1130"/>
        <w:gridCol w:w="1175"/>
        <w:gridCol w:w="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2638" w:type="dxa"/>
            <w:gridSpan w:val="2"/>
            <w:vMerge w:val="restart"/>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预测点</w:t>
            </w:r>
          </w:p>
        </w:tc>
        <w:tc>
          <w:tcPr>
            <w:tcW w:w="3520" w:type="dxa"/>
            <w:gridSpan w:val="3"/>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昼 间</w:t>
            </w:r>
          </w:p>
        </w:tc>
        <w:tc>
          <w:tcPr>
            <w:tcW w:w="3554" w:type="dxa"/>
            <w:gridSpan w:val="4"/>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夜 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70" w:hRule="atLeast"/>
          <w:jc w:val="center"/>
        </w:trPr>
        <w:tc>
          <w:tcPr>
            <w:tcW w:w="2638" w:type="dxa"/>
            <w:gridSpan w:val="2"/>
            <w:vMerge w:val="continue"/>
            <w:vAlign w:val="center"/>
          </w:tcPr>
          <w:p>
            <w:pPr>
              <w:adjustRightInd w:val="0"/>
              <w:ind w:left="-42" w:leftChars="-20" w:right="-42" w:rightChars="-20"/>
              <w:jc w:val="center"/>
              <w:textAlignment w:val="baseline"/>
              <w:rPr>
                <w:rFonts w:hint="default" w:ascii="Times New Roman" w:hAnsi="Times New Roman" w:cs="Times New Roman"/>
                <w:kern w:val="0"/>
                <w:szCs w:val="21"/>
              </w:rPr>
            </w:pPr>
          </w:p>
        </w:tc>
        <w:tc>
          <w:tcPr>
            <w:tcW w:w="1189" w:type="dxa"/>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贡献值</w:t>
            </w:r>
          </w:p>
        </w:tc>
        <w:tc>
          <w:tcPr>
            <w:tcW w:w="1111" w:type="dxa"/>
            <w:vAlign w:val="center"/>
          </w:tcPr>
          <w:p>
            <w:pPr>
              <w:adjustRightInd w:val="0"/>
              <w:ind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背景值</w:t>
            </w:r>
          </w:p>
        </w:tc>
        <w:tc>
          <w:tcPr>
            <w:tcW w:w="1220" w:type="dxa"/>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预测值</w:t>
            </w:r>
          </w:p>
        </w:tc>
        <w:tc>
          <w:tcPr>
            <w:tcW w:w="1239" w:type="dxa"/>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贡献值</w:t>
            </w:r>
          </w:p>
        </w:tc>
        <w:tc>
          <w:tcPr>
            <w:tcW w:w="1130" w:type="dxa"/>
            <w:vAlign w:val="center"/>
          </w:tcPr>
          <w:p>
            <w:pPr>
              <w:adjustRightInd w:val="0"/>
              <w:ind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背景值</w:t>
            </w:r>
          </w:p>
        </w:tc>
        <w:tc>
          <w:tcPr>
            <w:tcW w:w="1175" w:type="dxa"/>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预测值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70" w:hRule="atLeast"/>
          <w:jc w:val="center"/>
        </w:trPr>
        <w:tc>
          <w:tcPr>
            <w:tcW w:w="888" w:type="dxa"/>
            <w:vMerge w:val="restart"/>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2018.11.20</w:t>
            </w:r>
          </w:p>
        </w:tc>
        <w:tc>
          <w:tcPr>
            <w:tcW w:w="1750" w:type="dxa"/>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东面</w:t>
            </w:r>
          </w:p>
        </w:tc>
        <w:tc>
          <w:tcPr>
            <w:tcW w:w="118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46.7</w:t>
            </w:r>
          </w:p>
        </w:tc>
        <w:tc>
          <w:tcPr>
            <w:tcW w:w="1111" w:type="dxa"/>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57.7</w:t>
            </w:r>
          </w:p>
        </w:tc>
        <w:tc>
          <w:tcPr>
            <w:tcW w:w="1220"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58.03</w:t>
            </w:r>
          </w:p>
        </w:tc>
        <w:tc>
          <w:tcPr>
            <w:tcW w:w="123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48.81</w:t>
            </w:r>
          </w:p>
        </w:tc>
        <w:tc>
          <w:tcPr>
            <w:tcW w:w="1130" w:type="dxa"/>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42.0</w:t>
            </w:r>
          </w:p>
        </w:tc>
        <w:tc>
          <w:tcPr>
            <w:tcW w:w="1175"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47.97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70" w:hRule="atLeast"/>
          <w:jc w:val="center"/>
        </w:trPr>
        <w:tc>
          <w:tcPr>
            <w:tcW w:w="888" w:type="dxa"/>
            <w:vMerge w:val="continue"/>
            <w:vAlign w:val="center"/>
          </w:tcPr>
          <w:p>
            <w:pPr>
              <w:adjustRightInd w:val="0"/>
              <w:ind w:left="-42" w:leftChars="-20" w:right="-42" w:rightChars="-20"/>
              <w:jc w:val="center"/>
              <w:textAlignment w:val="baseline"/>
              <w:rPr>
                <w:rFonts w:hint="default" w:ascii="Times New Roman" w:hAnsi="Times New Roman" w:cs="Times New Roman"/>
                <w:kern w:val="0"/>
                <w:szCs w:val="21"/>
              </w:rPr>
            </w:pPr>
          </w:p>
        </w:tc>
        <w:tc>
          <w:tcPr>
            <w:tcW w:w="1750" w:type="dxa"/>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南面</w:t>
            </w:r>
          </w:p>
        </w:tc>
        <w:tc>
          <w:tcPr>
            <w:tcW w:w="118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38.64</w:t>
            </w:r>
          </w:p>
        </w:tc>
        <w:tc>
          <w:tcPr>
            <w:tcW w:w="1111" w:type="dxa"/>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52.5</w:t>
            </w:r>
          </w:p>
        </w:tc>
        <w:tc>
          <w:tcPr>
            <w:tcW w:w="1220"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52.67</w:t>
            </w:r>
          </w:p>
        </w:tc>
        <w:tc>
          <w:tcPr>
            <w:tcW w:w="123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38.64</w:t>
            </w:r>
          </w:p>
        </w:tc>
        <w:tc>
          <w:tcPr>
            <w:tcW w:w="1130" w:type="dxa"/>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44.2</w:t>
            </w:r>
          </w:p>
        </w:tc>
        <w:tc>
          <w:tcPr>
            <w:tcW w:w="1175"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45.27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70" w:hRule="atLeast"/>
          <w:jc w:val="center"/>
        </w:trPr>
        <w:tc>
          <w:tcPr>
            <w:tcW w:w="888" w:type="dxa"/>
            <w:vMerge w:val="continue"/>
            <w:vAlign w:val="center"/>
          </w:tcPr>
          <w:p>
            <w:pPr>
              <w:adjustRightInd w:val="0"/>
              <w:ind w:left="-42" w:leftChars="-20" w:right="-42" w:rightChars="-20"/>
              <w:jc w:val="center"/>
              <w:textAlignment w:val="baseline"/>
              <w:rPr>
                <w:rFonts w:hint="default" w:ascii="Times New Roman" w:hAnsi="Times New Roman" w:cs="Times New Roman"/>
                <w:kern w:val="0"/>
                <w:szCs w:val="21"/>
              </w:rPr>
            </w:pPr>
          </w:p>
        </w:tc>
        <w:tc>
          <w:tcPr>
            <w:tcW w:w="1750" w:type="dxa"/>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西面</w:t>
            </w:r>
          </w:p>
        </w:tc>
        <w:tc>
          <w:tcPr>
            <w:tcW w:w="118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47.26</w:t>
            </w:r>
          </w:p>
        </w:tc>
        <w:tc>
          <w:tcPr>
            <w:tcW w:w="1111" w:type="dxa"/>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55.7</w:t>
            </w:r>
          </w:p>
        </w:tc>
        <w:tc>
          <w:tcPr>
            <w:tcW w:w="1220"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56.28</w:t>
            </w:r>
          </w:p>
        </w:tc>
        <w:tc>
          <w:tcPr>
            <w:tcW w:w="123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47.26</w:t>
            </w:r>
          </w:p>
        </w:tc>
        <w:tc>
          <w:tcPr>
            <w:tcW w:w="1130" w:type="dxa"/>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44.5</w:t>
            </w:r>
          </w:p>
        </w:tc>
        <w:tc>
          <w:tcPr>
            <w:tcW w:w="1175"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49.11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70" w:hRule="atLeast"/>
          <w:jc w:val="center"/>
        </w:trPr>
        <w:tc>
          <w:tcPr>
            <w:tcW w:w="888" w:type="dxa"/>
            <w:vMerge w:val="continue"/>
            <w:vAlign w:val="center"/>
          </w:tcPr>
          <w:p>
            <w:pPr>
              <w:adjustRightInd w:val="0"/>
              <w:ind w:left="-42" w:leftChars="-20" w:right="-42" w:rightChars="-20"/>
              <w:jc w:val="center"/>
              <w:textAlignment w:val="baseline"/>
              <w:rPr>
                <w:rFonts w:hint="default" w:ascii="Times New Roman" w:hAnsi="Times New Roman" w:cs="Times New Roman"/>
                <w:kern w:val="0"/>
                <w:szCs w:val="21"/>
              </w:rPr>
            </w:pPr>
          </w:p>
        </w:tc>
        <w:tc>
          <w:tcPr>
            <w:tcW w:w="1750" w:type="dxa"/>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北面</w:t>
            </w:r>
          </w:p>
        </w:tc>
        <w:tc>
          <w:tcPr>
            <w:tcW w:w="118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43.81</w:t>
            </w:r>
          </w:p>
        </w:tc>
        <w:tc>
          <w:tcPr>
            <w:tcW w:w="1111" w:type="dxa"/>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56.1</w:t>
            </w:r>
          </w:p>
        </w:tc>
        <w:tc>
          <w:tcPr>
            <w:tcW w:w="1220"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56.35</w:t>
            </w:r>
          </w:p>
        </w:tc>
        <w:tc>
          <w:tcPr>
            <w:tcW w:w="123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43.81</w:t>
            </w:r>
          </w:p>
        </w:tc>
        <w:tc>
          <w:tcPr>
            <w:tcW w:w="1130" w:type="dxa"/>
            <w:vAlign w:val="center"/>
          </w:tcPr>
          <w:p>
            <w:pPr>
              <w:tabs>
                <w:tab w:val="center" w:pos="589"/>
              </w:tabs>
              <w:jc w:val="center"/>
              <w:rPr>
                <w:rFonts w:hint="default" w:ascii="Times New Roman" w:hAnsi="Times New Roman" w:cs="Times New Roman"/>
                <w:szCs w:val="21"/>
              </w:rPr>
            </w:pPr>
            <w:r>
              <w:rPr>
                <w:rFonts w:hint="default" w:ascii="Times New Roman" w:hAnsi="Times New Roman" w:cs="Times New Roman"/>
                <w:color w:val="000000"/>
                <w:szCs w:val="21"/>
              </w:rPr>
              <w:t>44.0</w:t>
            </w:r>
          </w:p>
        </w:tc>
        <w:tc>
          <w:tcPr>
            <w:tcW w:w="1175"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46.92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70" w:hRule="atLeast"/>
          <w:jc w:val="center"/>
        </w:trPr>
        <w:tc>
          <w:tcPr>
            <w:tcW w:w="888" w:type="dxa"/>
            <w:vMerge w:val="restart"/>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2018.11.21</w:t>
            </w:r>
          </w:p>
        </w:tc>
        <w:tc>
          <w:tcPr>
            <w:tcW w:w="1750" w:type="dxa"/>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东面</w:t>
            </w:r>
          </w:p>
        </w:tc>
        <w:tc>
          <w:tcPr>
            <w:tcW w:w="118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46.7</w:t>
            </w:r>
          </w:p>
        </w:tc>
        <w:tc>
          <w:tcPr>
            <w:tcW w:w="1111" w:type="dxa"/>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53.6</w:t>
            </w:r>
          </w:p>
        </w:tc>
        <w:tc>
          <w:tcPr>
            <w:tcW w:w="1220"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54.41</w:t>
            </w:r>
          </w:p>
        </w:tc>
        <w:tc>
          <w:tcPr>
            <w:tcW w:w="123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46.7</w:t>
            </w:r>
          </w:p>
        </w:tc>
        <w:tc>
          <w:tcPr>
            <w:tcW w:w="1130" w:type="dxa"/>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45.0</w:t>
            </w:r>
          </w:p>
        </w:tc>
        <w:tc>
          <w:tcPr>
            <w:tcW w:w="1175"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48.94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70" w:hRule="atLeast"/>
          <w:jc w:val="center"/>
        </w:trPr>
        <w:tc>
          <w:tcPr>
            <w:tcW w:w="888" w:type="dxa"/>
            <w:vMerge w:val="continue"/>
            <w:vAlign w:val="center"/>
          </w:tcPr>
          <w:p>
            <w:pPr>
              <w:adjustRightInd w:val="0"/>
              <w:ind w:left="-42" w:leftChars="-20" w:right="-42" w:rightChars="-20"/>
              <w:jc w:val="center"/>
              <w:textAlignment w:val="baseline"/>
              <w:rPr>
                <w:rFonts w:hint="default" w:ascii="Times New Roman" w:hAnsi="Times New Roman" w:cs="Times New Roman"/>
                <w:kern w:val="0"/>
                <w:szCs w:val="21"/>
              </w:rPr>
            </w:pPr>
          </w:p>
        </w:tc>
        <w:tc>
          <w:tcPr>
            <w:tcW w:w="1750" w:type="dxa"/>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南面</w:t>
            </w:r>
          </w:p>
        </w:tc>
        <w:tc>
          <w:tcPr>
            <w:tcW w:w="118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38.64</w:t>
            </w:r>
          </w:p>
        </w:tc>
        <w:tc>
          <w:tcPr>
            <w:tcW w:w="1111" w:type="dxa"/>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54.5</w:t>
            </w:r>
          </w:p>
        </w:tc>
        <w:tc>
          <w:tcPr>
            <w:tcW w:w="1220"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54.61</w:t>
            </w:r>
          </w:p>
        </w:tc>
        <w:tc>
          <w:tcPr>
            <w:tcW w:w="123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38.64</w:t>
            </w:r>
          </w:p>
        </w:tc>
        <w:tc>
          <w:tcPr>
            <w:tcW w:w="1130" w:type="dxa"/>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46.3</w:t>
            </w:r>
          </w:p>
        </w:tc>
        <w:tc>
          <w:tcPr>
            <w:tcW w:w="1175"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46.99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70" w:hRule="atLeast"/>
          <w:jc w:val="center"/>
        </w:trPr>
        <w:tc>
          <w:tcPr>
            <w:tcW w:w="888" w:type="dxa"/>
            <w:vMerge w:val="continue"/>
            <w:vAlign w:val="center"/>
          </w:tcPr>
          <w:p>
            <w:pPr>
              <w:adjustRightInd w:val="0"/>
              <w:ind w:left="-42" w:leftChars="-20" w:right="-42" w:rightChars="-20"/>
              <w:jc w:val="center"/>
              <w:textAlignment w:val="baseline"/>
              <w:rPr>
                <w:rFonts w:hint="default" w:ascii="Times New Roman" w:hAnsi="Times New Roman" w:cs="Times New Roman"/>
                <w:kern w:val="0"/>
                <w:szCs w:val="21"/>
              </w:rPr>
            </w:pPr>
          </w:p>
        </w:tc>
        <w:tc>
          <w:tcPr>
            <w:tcW w:w="1750" w:type="dxa"/>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西面</w:t>
            </w:r>
          </w:p>
        </w:tc>
        <w:tc>
          <w:tcPr>
            <w:tcW w:w="118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47.26</w:t>
            </w:r>
          </w:p>
        </w:tc>
        <w:tc>
          <w:tcPr>
            <w:tcW w:w="1111" w:type="dxa"/>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53.4</w:t>
            </w:r>
          </w:p>
        </w:tc>
        <w:tc>
          <w:tcPr>
            <w:tcW w:w="1220"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51.35</w:t>
            </w:r>
          </w:p>
        </w:tc>
        <w:tc>
          <w:tcPr>
            <w:tcW w:w="123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47.26</w:t>
            </w:r>
          </w:p>
        </w:tc>
        <w:tc>
          <w:tcPr>
            <w:tcW w:w="1130" w:type="dxa"/>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45.9</w:t>
            </w:r>
          </w:p>
        </w:tc>
        <w:tc>
          <w:tcPr>
            <w:tcW w:w="1175"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49.64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70" w:hRule="atLeast"/>
          <w:jc w:val="center"/>
        </w:trPr>
        <w:tc>
          <w:tcPr>
            <w:tcW w:w="888" w:type="dxa"/>
            <w:vMerge w:val="continue"/>
            <w:vAlign w:val="center"/>
          </w:tcPr>
          <w:p>
            <w:pPr>
              <w:adjustRightInd w:val="0"/>
              <w:ind w:left="-42" w:leftChars="-20" w:right="-42" w:rightChars="-20"/>
              <w:jc w:val="center"/>
              <w:textAlignment w:val="baseline"/>
              <w:rPr>
                <w:rFonts w:hint="default" w:ascii="Times New Roman" w:hAnsi="Times New Roman" w:cs="Times New Roman"/>
                <w:kern w:val="0"/>
                <w:szCs w:val="21"/>
              </w:rPr>
            </w:pPr>
          </w:p>
        </w:tc>
        <w:tc>
          <w:tcPr>
            <w:tcW w:w="1750" w:type="dxa"/>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北面</w:t>
            </w:r>
          </w:p>
        </w:tc>
        <w:tc>
          <w:tcPr>
            <w:tcW w:w="118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43.81</w:t>
            </w:r>
          </w:p>
        </w:tc>
        <w:tc>
          <w:tcPr>
            <w:tcW w:w="1111" w:type="dxa"/>
            <w:vAlign w:val="center"/>
          </w:tcPr>
          <w:p>
            <w:pPr>
              <w:tabs>
                <w:tab w:val="center" w:pos="589"/>
              </w:tabs>
              <w:jc w:val="center"/>
              <w:rPr>
                <w:rFonts w:hint="default" w:ascii="Times New Roman" w:hAnsi="Times New Roman" w:cs="Times New Roman"/>
                <w:szCs w:val="21"/>
              </w:rPr>
            </w:pPr>
            <w:r>
              <w:rPr>
                <w:rFonts w:hint="default" w:ascii="Times New Roman" w:hAnsi="Times New Roman" w:cs="Times New Roman"/>
                <w:color w:val="000000"/>
                <w:szCs w:val="21"/>
              </w:rPr>
              <w:t>56.3</w:t>
            </w:r>
          </w:p>
        </w:tc>
        <w:tc>
          <w:tcPr>
            <w:tcW w:w="1220"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56.54</w:t>
            </w:r>
          </w:p>
        </w:tc>
        <w:tc>
          <w:tcPr>
            <w:tcW w:w="1239" w:type="dxa"/>
            <w:vAlign w:val="center"/>
          </w:tcPr>
          <w:p>
            <w:pPr>
              <w:pStyle w:val="45"/>
              <w:jc w:val="center"/>
              <w:rPr>
                <w:rFonts w:hint="default" w:ascii="Times New Roman" w:hAnsi="Times New Roman" w:cs="Times New Roman"/>
                <w:sz w:val="21"/>
                <w:szCs w:val="21"/>
              </w:rPr>
            </w:pPr>
            <w:r>
              <w:rPr>
                <w:rFonts w:hint="default" w:ascii="Times New Roman" w:hAnsi="Times New Roman" w:cs="Times New Roman"/>
                <w:sz w:val="21"/>
                <w:szCs w:val="21"/>
              </w:rPr>
              <w:t>43.81</w:t>
            </w:r>
          </w:p>
        </w:tc>
        <w:tc>
          <w:tcPr>
            <w:tcW w:w="1130" w:type="dxa"/>
            <w:vAlign w:val="center"/>
          </w:tcPr>
          <w:p>
            <w:pPr>
              <w:tabs>
                <w:tab w:val="center" w:pos="589"/>
              </w:tabs>
              <w:jc w:val="center"/>
              <w:rPr>
                <w:rFonts w:hint="default" w:ascii="Times New Roman" w:hAnsi="Times New Roman" w:cs="Times New Roman"/>
                <w:szCs w:val="21"/>
              </w:rPr>
            </w:pPr>
            <w:r>
              <w:rPr>
                <w:rFonts w:hint="default" w:ascii="Times New Roman" w:hAnsi="Times New Roman" w:cs="Times New Roman"/>
                <w:color w:val="000000"/>
                <w:szCs w:val="21"/>
              </w:rPr>
              <w:t>47.6</w:t>
            </w:r>
          </w:p>
        </w:tc>
        <w:tc>
          <w:tcPr>
            <w:tcW w:w="1175" w:type="dxa"/>
            <w:vAlign w:val="bottom"/>
          </w:tcPr>
          <w:p>
            <w:pPr>
              <w:adjustRightIn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49.12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trHeight w:val="457" w:hRule="atLeast"/>
          <w:jc w:val="center"/>
        </w:trPr>
        <w:tc>
          <w:tcPr>
            <w:tcW w:w="2638" w:type="dxa"/>
            <w:gridSpan w:val="2"/>
            <w:vAlign w:val="center"/>
          </w:tcPr>
          <w:p>
            <w:pPr>
              <w:adjustRightInd w:val="0"/>
              <w:ind w:left="-42" w:leftChars="-20" w:right="-42" w:rightChars="-2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执行标准</w:t>
            </w:r>
          </w:p>
        </w:tc>
        <w:tc>
          <w:tcPr>
            <w:tcW w:w="7064" w:type="dxa"/>
            <w:gridSpan w:val="6"/>
            <w:vAlign w:val="center"/>
          </w:tcPr>
          <w:p>
            <w:pPr>
              <w:adjustRightInd w:val="0"/>
              <w:ind w:left="-42" w:leftChars="-20" w:right="-42" w:rightChars="-20"/>
              <w:textAlignment w:val="baseline"/>
              <w:rPr>
                <w:rFonts w:hint="default" w:ascii="Times New Roman" w:hAnsi="Times New Roman" w:cs="Times New Roman"/>
                <w:kern w:val="0"/>
                <w:szCs w:val="21"/>
              </w:rPr>
            </w:pPr>
            <w:r>
              <w:rPr>
                <w:rFonts w:hint="default" w:ascii="Times New Roman" w:hAnsi="Times New Roman" w:cs="Times New Roman"/>
                <w:kern w:val="0"/>
                <w:szCs w:val="21"/>
              </w:rPr>
              <w:t>贡献值：执行《工业企业厂界环境噪声排放标准》（GB12348-2008）2类标准，昼间60dB(A)，夜间50dB(A)标准；</w:t>
            </w:r>
          </w:p>
          <w:p>
            <w:pPr>
              <w:adjustRightInd w:val="0"/>
              <w:ind w:left="-42" w:leftChars="-20" w:right="-42" w:rightChars="-20"/>
              <w:textAlignment w:val="baseline"/>
              <w:rPr>
                <w:rFonts w:hint="default" w:ascii="Times New Roman" w:hAnsi="Times New Roman" w:cs="Times New Roman"/>
                <w:kern w:val="0"/>
                <w:szCs w:val="21"/>
              </w:rPr>
            </w:pPr>
            <w:r>
              <w:rPr>
                <w:rFonts w:hint="default" w:ascii="Times New Roman" w:hAnsi="Times New Roman" w:cs="Times New Roman"/>
                <w:kern w:val="0"/>
                <w:szCs w:val="21"/>
              </w:rPr>
              <w:t>预测值：执行《声环境质量标准》（GB3096-2008）中2类声环境功能区标准，昼间60dB(A)，夜间50dB(A)标准。</w:t>
            </w:r>
          </w:p>
        </w:tc>
      </w:tr>
    </w:tbl>
    <w:p>
      <w:pPr>
        <w:snapToGrid w:val="0"/>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从上表可见，在对各产噪设备实施减震、墙隔声等治理措施，并加强猪只的饲养管理后，各场界噪声预测值均能满足《工业企业厂界环境噪声排放标准》（GB12348－2008）中2类标准限值要求（昼间≤60dB(A)，夜间≤50dB(A)）。</w:t>
      </w:r>
    </w:p>
    <w:p>
      <w:pPr>
        <w:pStyle w:val="5"/>
        <w:spacing w:before="0" w:after="0" w:line="360" w:lineRule="auto"/>
        <w:ind w:firstLine="482" w:firstLineChars="200"/>
        <w:jc w:val="left"/>
        <w:rPr>
          <w:rFonts w:hint="default" w:ascii="Times New Roman" w:hAnsi="Times New Roman" w:cs="Times New Roman"/>
          <w:sz w:val="24"/>
          <w:szCs w:val="24"/>
        </w:rPr>
      </w:pPr>
      <w:bookmarkStart w:id="353" w:name="_Toc11648"/>
      <w:r>
        <w:rPr>
          <w:rFonts w:hint="default" w:ascii="Times New Roman" w:hAnsi="Times New Roman" w:cs="Times New Roman"/>
          <w:sz w:val="24"/>
          <w:szCs w:val="24"/>
        </w:rPr>
        <w:t>5.2.4固废环境影响评价</w:t>
      </w:r>
      <w:bookmarkEnd w:id="353"/>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bCs/>
          <w:sz w:val="24"/>
          <w:szCs w:val="24"/>
        </w:rPr>
        <w:t>项目</w:t>
      </w:r>
      <w:r>
        <w:rPr>
          <w:rFonts w:hint="default" w:ascii="Times New Roman" w:hAnsi="Times New Roman" w:cs="Times New Roman"/>
          <w:sz w:val="24"/>
          <w:szCs w:val="24"/>
        </w:rPr>
        <w:t>产生的固体废弃物包含猪粪、病死猪、员工生活垃圾、医疗废物、废包装袋、废脱硫剂、污水处理设施栅渣和污泥等。</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①生活垃圾桶内衬塑料袋收集生活垃圾，生活垃圾集中收集后，送至乡镇垃圾收集点，交由当地环卫部门统一清运处理，对环境影响不大。</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②病死猪交由成都市科农动物无害化处置有限公司处理。</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w:t>
      </w:r>
      <w:r>
        <w:rPr>
          <w:rFonts w:hint="default" w:ascii="Times New Roman" w:hAnsi="Times New Roman" w:cs="Times New Roman"/>
          <w:bCs/>
          <w:kern w:val="0"/>
          <w:sz w:val="24"/>
        </w:rPr>
        <w:t>污水处理站栅渣和污泥同</w:t>
      </w:r>
      <w:r>
        <w:rPr>
          <w:rFonts w:hint="default" w:ascii="Times New Roman" w:hAnsi="Times New Roman" w:cs="Times New Roman"/>
          <w:sz w:val="24"/>
          <w:szCs w:val="24"/>
        </w:rPr>
        <w:t>产生的猪粪外售给夹江县果香四季家庭农场用于制作有机肥。</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④沼气脱硫装置中失去活性的废脱硫剂由生产厂家统一回收处置。</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⑤废饲料袋收集后用于本项目猪粪堆肥后有机肥袋装，若有剩余则由饲料供应商回收利用。</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⑥本项目场区卫生防疫废药品（含器具）产生量约为0.25t/a。该部分废物属《国家危险废物名录》中“HW01医疗废物”中“831-002-01、831-002-01”。</w:t>
      </w:r>
      <w:r>
        <w:rPr>
          <w:rFonts w:hint="default" w:ascii="Times New Roman" w:hAnsi="Times New Roman" w:cs="Times New Roman"/>
          <w:b/>
          <w:bCs/>
          <w:sz w:val="24"/>
          <w:szCs w:val="24"/>
        </w:rPr>
        <w:t>本环评要求：设置专门的医疗废物暂存间，</w:t>
      </w:r>
      <w:r>
        <w:rPr>
          <w:rFonts w:hint="default" w:ascii="Times New Roman" w:hAnsi="Times New Roman" w:cs="Times New Roman"/>
          <w:sz w:val="24"/>
          <w:szCs w:val="24"/>
        </w:rPr>
        <w:t>设立高密度聚乙烯塑料桶（内衬专用塑料袋）对卫生防疫产生的废药品（含器具）进行分类收集暂存，禁止与生活办公垃圾进行混装，危险废物需定期交由具资质单位处理，并落实联单责任制。</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本项目设置医疗废物暂存间，位于办公生活区内，建筑面积5m</w:t>
      </w:r>
      <w:r>
        <w:rPr>
          <w:rFonts w:hint="default" w:ascii="Times New Roman" w:hAnsi="Times New Roman" w:cs="Times New Roman"/>
          <w:kern w:val="0"/>
          <w:sz w:val="24"/>
          <w:szCs w:val="24"/>
          <w:vertAlign w:val="superscript"/>
        </w:rPr>
        <w:t>2</w:t>
      </w:r>
      <w:r>
        <w:rPr>
          <w:rFonts w:hint="default" w:ascii="Times New Roman" w:hAnsi="Times New Roman" w:cs="Times New Roman"/>
          <w:kern w:val="0"/>
          <w:sz w:val="24"/>
          <w:szCs w:val="24"/>
        </w:rPr>
        <w:t>。</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环评要求医疗废物中收集、贮存、转运过程中，应按照《危险废物贮存污染控制标准》（GB18597-2001）、《危险废物转移管理办法》等相关规范执行。医疗废物暂存间严格按照规范设置，做好消毒清洁工作以及防渗等，平时保持关闭，定期外运处理。</w:t>
      </w:r>
      <w:r>
        <w:rPr>
          <w:rFonts w:hint="default" w:ascii="Times New Roman" w:hAnsi="Times New Roman" w:cs="Times New Roman"/>
          <w:sz w:val="24"/>
          <w:szCs w:val="24"/>
        </w:rPr>
        <w:t>卫生防疫废药品（含器具）</w:t>
      </w:r>
      <w:r>
        <w:rPr>
          <w:rFonts w:hint="default" w:ascii="Times New Roman" w:hAnsi="Times New Roman" w:cs="Times New Roman"/>
          <w:kern w:val="0"/>
          <w:sz w:val="24"/>
          <w:szCs w:val="24"/>
        </w:rPr>
        <w:t>全部交由有资质单位处理。同时应设置危险废物台账，危险废物转运实施转移联单制度。</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sz w:val="24"/>
          <w:szCs w:val="24"/>
        </w:rPr>
        <w:t>防疫废药品</w:t>
      </w:r>
      <w:r>
        <w:rPr>
          <w:rFonts w:hint="default" w:ascii="Times New Roman" w:hAnsi="Times New Roman" w:cs="Times New Roman"/>
          <w:kern w:val="0"/>
          <w:sz w:val="24"/>
          <w:szCs w:val="24"/>
        </w:rPr>
        <w:t>为危废，危险废物临时贮存应按《危险废物贮存污染控制标准》（GB18597-2001）严格执行以下措施：</w:t>
      </w:r>
    </w:p>
    <w:p>
      <w:pPr>
        <w:numPr>
          <w:ilvl w:val="0"/>
          <w:numId w:val="5"/>
        </w:num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一般措施</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①对所有的危险废物应建造专用的危险废物贮存设施。</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②在常温常压下不水解、不挥发的固体危险废物可在贮存设施内分别堆放，其余的危险废物必须装入容器内。</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③禁止将不相容（相互反应）的危险废物在同一容器内混装。</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④无法装入常用容器的危险废物可用防漏胶袋等盛装。</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⑤装载液体、半固体危险废物的容器内须留足够空间，容器顶部与液体表面之间保留100mm以上的空间。</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⑥盛装危险废物的容器上必须粘贴符合标准的标签。</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⑦项目危险废物均于医疗废物暂存间进行储存。</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（2）危险废物贮存容器</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①应当使用符合标准的容器盛装危险废物。</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②装载危险废物的容器及材质要满足相应的强度要求。</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③装载危险废物的容器必须完好无损。</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④盛装危险废物的容器材质和衬里要与危险废物相容（不相互反应）。</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⑤液体危险废物可注入开孔直径不超过70mm并有放气孔的桶中。</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（3）危险废物贮存设施的运行与管理</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①从事危险废物贮存的单位，必须得到有资质单位出具的该危险废物样品物理和化学性质的分析报告，认定可以贮存后，方可接收。</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②危险废物贮存前应进行检验，确保同预定接收的危险废物一致，并登记注册。</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③不得接收未粘贴符合规定的标签或标签没按规定填写的危险废物。</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④盛装在容器内的同类危险废物可以堆叠存放。</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⑤每个堆间应留有搬运通道。</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⑥不得将不相容的废物混合或合并存放。</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⑦危险废物产生者和危险废物贮存设施经营者均须作好危险废物情况的记录，记录上须注明危险废物的名秤、来源、数量、特性和包装容器的类别、入库日期、存放库位、废物出库日期及接收单位名称。危险废物的记录和货单在危险废物回取后应继续保留三年。</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⑧必须定期对所贮存的危险废物包装容器及贮存设施进行检查，发现破损，应及时采取措施清理更换。</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项目产生危险废物均由资质单位负责定期运输，采用密闭车辆进行运输，确保运输过程不产生泄露，同时运输单位须合理规划运输路线，尽量避开人群密集段通行，保证运输安全，不对环境敏感点造成影响。</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根据建设项目危险废物环境影响评价指南，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本项目尚未建设，因此本项目现阶段未签订危险废物处置协议。根据本项目产生危险废物类别及建设项目周边有资质的危险废物处置单位的分布情况、处置能力、资质类别，业主可综合考虑运距及处理费用等情况后自行选取危险废物处置单位签订协议。环评建议资质单位名单链接详见：</w:t>
      </w:r>
    </w:p>
    <w:p>
      <w:pPr>
        <w:adjustRightInd w:val="0"/>
        <w:snapToGrid w:val="0"/>
        <w:spacing w:line="360" w:lineRule="auto"/>
        <w:rPr>
          <w:rFonts w:hint="default" w:ascii="Times New Roman" w:hAnsi="Times New Roman" w:cs="Times New Roman"/>
          <w:kern w:val="0"/>
          <w:sz w:val="24"/>
          <w:szCs w:val="24"/>
          <w:lang w:eastAsia="zh-CN"/>
        </w:rPr>
      </w:pPr>
      <w:r>
        <w:rPr>
          <w:rFonts w:hint="default" w:ascii="Times New Roman" w:hAnsi="Times New Roman" w:cs="Times New Roman"/>
          <w:kern w:val="0"/>
          <w:sz w:val="24"/>
          <w:szCs w:val="24"/>
        </w:rPr>
        <w:t>http://sthjt.sc.gov.cn/hjgl/gthx/gtfwgl/201801/t20180116_285858.html?tdsourcetag=s_pcqq_aiomsg</w:t>
      </w:r>
      <w:r>
        <w:rPr>
          <w:rFonts w:hint="default" w:ascii="Times New Roman" w:hAnsi="Times New Roman" w:cs="Times New Roman"/>
          <w:kern w:val="0"/>
          <w:sz w:val="24"/>
          <w:szCs w:val="24"/>
          <w:lang w:eastAsia="zh-CN"/>
        </w:rPr>
        <w:t>。</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在采取上述预防措施和办法后，本项目所产生的各固废均可合理有效的处理和处置，其产生的固体废弃物不会对周围环境造成二次污染。综上，本项目固体废物去向明确，均能得到妥善处置，不会对周围环境造成不良影响。</w:t>
      </w:r>
    </w:p>
    <w:p>
      <w:pPr>
        <w:adjustRightInd w:val="0"/>
        <w:snapToGrid w:val="0"/>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综上所述，本项目各类固体废弃物均得到了无害化或资源化处理，对周边环境影响不大。</w:t>
      </w:r>
    </w:p>
    <w:p>
      <w:pPr>
        <w:adjustRightInd w:val="0"/>
        <w:snapToGrid w:val="0"/>
        <w:spacing w:line="360" w:lineRule="auto"/>
        <w:ind w:firstLine="482" w:firstLineChars="200"/>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5.2.5 土壤影响分析</w:t>
      </w:r>
    </w:p>
    <w:p>
      <w:pPr>
        <w:adjustRightInd w:val="0"/>
        <w:snapToGrid w:val="0"/>
        <w:spacing w:line="360" w:lineRule="auto"/>
        <w:ind w:firstLine="480" w:firstLineChars="200"/>
        <w:outlineLvl w:val="9"/>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本项目对土壤的影响为污染型影响，主要为可能造成土壤酸碱化。评价要求，厂区内地面进行硬化，做好粪污收集池、管网、污水处理站、废水暂存池等的防渗工作，并定期进行维护保养，专人负责管理，设置应急池，防止养殖场内粪污渗漏至土壤内，对土壤造成影响。粪污土地消纳时，应参照《农田面源污染防治技术指南》（环办[2014]111号），要求进行科学施肥，采用分次施肥，忌一次大量施肥。禁忌同一块土地长期大量施肥。同时项目签有轮作消纳土地，可避免同一块土地长期施肥。</w:t>
      </w:r>
    </w:p>
    <w:p>
      <w:pPr>
        <w:adjustRightInd w:val="0"/>
        <w:snapToGrid w:val="0"/>
        <w:spacing w:line="360" w:lineRule="auto"/>
        <w:ind w:firstLine="480" w:firstLineChars="200"/>
        <w:outlineLvl w:val="9"/>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采取上述方式可有效防止本项目运营对土壤的影响，本项目的运营不会造成土壤酸碱化或盐化。</w:t>
      </w:r>
    </w:p>
    <w:p>
      <w:pPr>
        <w:adjustRightInd w:val="0"/>
        <w:snapToGrid w:val="0"/>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lang w:val="en-US" w:eastAsia="zh-CN"/>
        </w:rPr>
        <w:t>5</w:t>
      </w:r>
      <w:r>
        <w:rPr>
          <w:rFonts w:hint="default" w:ascii="Times New Roman" w:hAnsi="Times New Roman" w:cs="Times New Roman"/>
          <w:b/>
          <w:sz w:val="24"/>
          <w:szCs w:val="24"/>
        </w:rPr>
        <w:t>.2.</w:t>
      </w:r>
      <w:r>
        <w:rPr>
          <w:rFonts w:hint="default" w:ascii="Times New Roman" w:hAnsi="Times New Roman" w:cs="Times New Roman"/>
          <w:b/>
          <w:sz w:val="24"/>
          <w:szCs w:val="24"/>
          <w:lang w:val="en-US" w:eastAsia="zh-CN"/>
        </w:rPr>
        <w:t xml:space="preserve">6 </w:t>
      </w:r>
      <w:r>
        <w:rPr>
          <w:rFonts w:hint="default" w:ascii="Times New Roman" w:hAnsi="Times New Roman" w:cs="Times New Roman"/>
          <w:b/>
          <w:sz w:val="24"/>
          <w:szCs w:val="24"/>
        </w:rPr>
        <w:t>生态环境影响分析</w:t>
      </w:r>
    </w:p>
    <w:p>
      <w:pPr>
        <w:pStyle w:val="59"/>
        <w:rPr>
          <w:rFonts w:hint="default" w:ascii="Times New Roman" w:hAnsi="Times New Roman" w:cs="Times New Roman"/>
          <w:color w:val="auto"/>
        </w:rPr>
      </w:pPr>
      <w:r>
        <w:rPr>
          <w:rFonts w:hint="default" w:ascii="Times New Roman" w:hAnsi="Times New Roman" w:cs="Times New Roman"/>
          <w:color w:val="auto"/>
        </w:rPr>
        <w:t>（1）区域土地利用现状</w:t>
      </w:r>
    </w:p>
    <w:p>
      <w:pPr>
        <w:pStyle w:val="59"/>
        <w:rPr>
          <w:rFonts w:hint="default" w:ascii="Times New Roman" w:hAnsi="Times New Roman" w:cs="Times New Roman"/>
          <w:color w:val="auto"/>
        </w:rPr>
      </w:pPr>
      <w:r>
        <w:rPr>
          <w:rFonts w:hint="default" w:ascii="Times New Roman" w:hAnsi="Times New Roman" w:cs="Times New Roman"/>
          <w:color w:val="auto"/>
        </w:rPr>
        <w:t>根据现场调查，本项目所在区域以</w:t>
      </w:r>
      <w:r>
        <w:rPr>
          <w:rFonts w:hint="default" w:ascii="Times New Roman" w:hAnsi="Times New Roman" w:cs="Times New Roman"/>
          <w:color w:val="auto"/>
          <w:lang w:eastAsia="zh-CN"/>
        </w:rPr>
        <w:t>林地</w:t>
      </w:r>
      <w:r>
        <w:rPr>
          <w:rFonts w:hint="default" w:ascii="Times New Roman" w:hAnsi="Times New Roman" w:cs="Times New Roman"/>
          <w:color w:val="auto"/>
        </w:rPr>
        <w:t>为主，区域用地包括林地、农用地。拟建项目总占地面积约</w:t>
      </w:r>
      <w:r>
        <w:rPr>
          <w:rFonts w:hint="default" w:ascii="Times New Roman" w:hAnsi="Times New Roman" w:cs="Times New Roman"/>
          <w:color w:val="auto"/>
          <w:lang w:val="en-US" w:eastAsia="zh-CN"/>
        </w:rPr>
        <w:t>1.96km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rPr>
        <w:t>，项目选址在丘陵顶部，周围均为山区，植被较好，占地范围内植被主要以灌木杂树为主。</w:t>
      </w:r>
    </w:p>
    <w:p>
      <w:pPr>
        <w:pStyle w:val="59"/>
        <w:rPr>
          <w:rFonts w:hint="default" w:ascii="Times New Roman" w:hAnsi="Times New Roman" w:cs="Times New Roman"/>
          <w:color w:val="auto"/>
          <w:lang w:eastAsia="zh-CN"/>
        </w:rPr>
      </w:pPr>
      <w:r>
        <w:rPr>
          <w:rFonts w:hint="default" w:ascii="Times New Roman" w:hAnsi="Times New Roman" w:cs="Times New Roman"/>
          <w:color w:val="auto"/>
        </w:rPr>
        <w:t>（2）土壤生产力影响分析</w:t>
      </w:r>
      <w:r>
        <w:rPr>
          <w:rFonts w:hint="default" w:ascii="Times New Roman" w:hAnsi="Times New Roman" w:cs="Times New Roman"/>
          <w:color w:val="auto"/>
          <w:lang w:eastAsia="zh-CN"/>
        </w:rPr>
        <w:t>（土地利用性质）</w:t>
      </w:r>
    </w:p>
    <w:p>
      <w:pPr>
        <w:pStyle w:val="59"/>
        <w:rPr>
          <w:rFonts w:hint="default" w:ascii="Times New Roman" w:hAnsi="Times New Roman" w:cs="Times New Roman"/>
          <w:color w:val="auto"/>
        </w:rPr>
      </w:pPr>
      <w:r>
        <w:rPr>
          <w:rFonts w:hint="default" w:ascii="Times New Roman" w:hAnsi="Times New Roman" w:cs="Times New Roman"/>
          <w:color w:val="auto"/>
        </w:rPr>
        <w:t>拟建项目的建设，对土壤最直接也是最明显的影响就是被场地占地范围内道路和建构筑物等所覆盖的那部分土地资源，全部采用水泥硬化，土地类型改变为建设用地，这部分土地完全丧失原有土壤生产力。但是该场地因受到地形、耕作方式等的限制，原始土壤生产力普遍不高，而拟建项目建成后通过对传统农业的提升，以及生产方式的改善，并借现代化养殖来带动该地区以及周边地区的发展，此外项目建成后要因地适宜实施绿化，美化环境。</w:t>
      </w:r>
    </w:p>
    <w:p>
      <w:pPr>
        <w:pStyle w:val="59"/>
        <w:rPr>
          <w:rFonts w:hint="default" w:ascii="Times New Roman" w:hAnsi="Times New Roman" w:cs="Times New Roman"/>
          <w:color w:val="auto"/>
        </w:rPr>
      </w:pPr>
      <w:r>
        <w:rPr>
          <w:rFonts w:hint="default" w:ascii="Times New Roman" w:hAnsi="Times New Roman" w:cs="Times New Roman"/>
          <w:color w:val="auto"/>
        </w:rPr>
        <w:t>另外，经处理后的废水含有COD、BOD</w:t>
      </w:r>
      <w:r>
        <w:rPr>
          <w:rFonts w:hint="default" w:ascii="Times New Roman" w:hAnsi="Times New Roman" w:cs="Times New Roman"/>
          <w:color w:val="auto"/>
          <w:vertAlign w:val="subscript"/>
        </w:rPr>
        <w:t>5</w:t>
      </w:r>
      <w:r>
        <w:rPr>
          <w:rFonts w:hint="default" w:ascii="Times New Roman" w:hAnsi="Times New Roman" w:cs="Times New Roman"/>
          <w:color w:val="auto"/>
        </w:rPr>
        <w:t>和较丰富的氮、磷、钾等营养元素以及钙、镁、锰等多种微量元素，不含有毒有害物质，极易做根外施肥，对水稻、麦类、棉花、蔬菜、瓜果类、果树都有增产作用。可以节省大量化肥，提高作物产量，改善土壤理化性质，提高土壤肥力，有利于农作物的生长。但在还田利用时，如果施用过量或不当，也会造成土壤污染；粪便未经无害化处理作为有机肥进入土壤，粪便中的蛋白质、脂肪、糖等有机质将可能会出现降解不完全和厌氧腐解，产生恶臭物质和亚硝酸盐等有害物质，引起土壤的组成和性状发生改变；导致土壤孔隙堵塞，造成土壤透气、透水性下降及板结，严重影响土壤质量。</w:t>
      </w:r>
    </w:p>
    <w:p>
      <w:pPr>
        <w:pStyle w:val="59"/>
        <w:rPr>
          <w:rFonts w:hint="default" w:ascii="Times New Roman" w:hAnsi="Times New Roman" w:cs="Times New Roman"/>
          <w:color w:val="auto"/>
          <w:lang w:eastAsia="zh-CN"/>
        </w:rPr>
      </w:pPr>
      <w:r>
        <w:rPr>
          <w:rFonts w:hint="default" w:ascii="Times New Roman" w:hAnsi="Times New Roman" w:cs="Times New Roman"/>
          <w:color w:val="auto"/>
        </w:rPr>
        <w:t>随着养殖废料废水的日积月累，现有土地的降解消纳能力将自然退减，其污染对周围环境的破坏与影响将逐步显现，</w:t>
      </w:r>
      <w:r>
        <w:rPr>
          <w:rFonts w:hint="default" w:ascii="Times New Roman" w:hAnsi="Times New Roman" w:cs="Times New Roman"/>
          <w:color w:val="auto"/>
          <w:lang w:eastAsia="zh-CN"/>
        </w:rPr>
        <w:t>本项目已与周边种植企业签订了粪污消纳协议，签订土地面积约</w:t>
      </w:r>
      <w:r>
        <w:rPr>
          <w:rFonts w:hint="default" w:ascii="Times New Roman" w:hAnsi="Times New Roman" w:cs="Times New Roman"/>
          <w:color w:val="auto"/>
          <w:lang w:val="en-US" w:eastAsia="zh-CN"/>
        </w:rPr>
        <w:t>1523</w:t>
      </w:r>
      <w:r>
        <w:rPr>
          <w:rFonts w:hint="default" w:ascii="Times New Roman" w:hAnsi="Times New Roman" w:cs="Times New Roman"/>
          <w:color w:val="auto"/>
          <w:lang w:eastAsia="zh-CN"/>
        </w:rPr>
        <w:t>亩地，消纳土地主</w:t>
      </w:r>
      <w:r>
        <w:rPr>
          <w:rFonts w:hint="default" w:ascii="Times New Roman" w:hAnsi="Times New Roman" w:cs="Times New Roman"/>
          <w:color w:val="000000"/>
          <w:lang w:eastAsia="zh-CN"/>
        </w:rPr>
        <w:t>要</w:t>
      </w:r>
      <w:r>
        <w:rPr>
          <w:rFonts w:hint="default" w:ascii="Times New Roman" w:hAnsi="Times New Roman" w:cs="Times New Roman"/>
          <w:color w:val="000000"/>
        </w:rPr>
        <w:t>种植果林、</w:t>
      </w:r>
      <w:r>
        <w:rPr>
          <w:rFonts w:hint="default" w:ascii="Times New Roman" w:hAnsi="Times New Roman" w:cs="Times New Roman"/>
          <w:color w:val="000000"/>
          <w:lang w:eastAsia="zh-CN"/>
        </w:rPr>
        <w:t>茶叶</w:t>
      </w:r>
      <w:r>
        <w:rPr>
          <w:rFonts w:hint="default" w:ascii="Times New Roman" w:hAnsi="Times New Roman" w:cs="Times New Roman"/>
          <w:color w:val="000000"/>
        </w:rPr>
        <w:t>以及</w:t>
      </w:r>
      <w:r>
        <w:rPr>
          <w:rFonts w:hint="default" w:ascii="Times New Roman" w:hAnsi="Times New Roman" w:cs="Times New Roman"/>
          <w:color w:val="auto"/>
        </w:rPr>
        <w:t>农田作物，在耕种过程中使用养殖场产生粪污进行有机肥施用，可以有效改善区域土地肥力，且做到科学施肥。</w:t>
      </w:r>
    </w:p>
    <w:p>
      <w:pPr>
        <w:pStyle w:val="59"/>
        <w:rPr>
          <w:rFonts w:hint="default" w:ascii="Times New Roman" w:hAnsi="Times New Roman" w:cs="Times New Roman"/>
          <w:color w:val="auto"/>
        </w:rPr>
      </w:pPr>
      <w:r>
        <w:rPr>
          <w:rFonts w:hint="default" w:ascii="Times New Roman" w:hAnsi="Times New Roman" w:cs="Times New Roman"/>
          <w:color w:val="auto"/>
        </w:rPr>
        <w:t>（3）对区域植被生物量的影响</w:t>
      </w:r>
    </w:p>
    <w:p>
      <w:pPr>
        <w:pStyle w:val="59"/>
        <w:rPr>
          <w:rFonts w:hint="default" w:ascii="Times New Roman" w:hAnsi="Times New Roman" w:cs="Times New Roman"/>
          <w:color w:val="auto"/>
        </w:rPr>
      </w:pPr>
      <w:r>
        <w:rPr>
          <w:rFonts w:hint="default" w:ascii="Times New Roman" w:hAnsi="Times New Roman" w:cs="Times New Roman"/>
          <w:color w:val="auto"/>
        </w:rPr>
        <w:t>本项目工程建设主要在原有地貌的基础上，建设猪舍，项目占地面积较小，且不占用区域保留原有植被，不会对区域植被造成较大不良影响，且项目租期结束不再租用后将对区域进行复耕，环评要求采用原有植被类型进行土地恢复，降低对区域生态系统的影响。</w:t>
      </w:r>
    </w:p>
    <w:p>
      <w:pPr>
        <w:pStyle w:val="59"/>
        <w:rPr>
          <w:rFonts w:hint="default" w:ascii="Times New Roman" w:hAnsi="Times New Roman" w:cs="Times New Roman"/>
          <w:color w:val="auto"/>
        </w:rPr>
      </w:pPr>
      <w:r>
        <w:rPr>
          <w:rFonts w:hint="default" w:ascii="Times New Roman" w:hAnsi="Times New Roman" w:cs="Times New Roman"/>
          <w:color w:val="auto"/>
        </w:rPr>
        <w:t>结合项目目前实际情况来看，项目所在地植被覆盖率较高，没有存在明显的水土流失现象，因此，项目的建设不会对当地生态环境带来明显不利影响。由于评价区以林地、农田为主，林地生态系统的连通性、阻抗稳定性和整体生态稳定性好，评价区整体生态系统环境良好。项目运营期对生态环境的影响不大。</w:t>
      </w:r>
    </w:p>
    <w:p>
      <w:pPr>
        <w:adjustRightInd w:val="0"/>
        <w:snapToGrid w:val="0"/>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lang w:val="en-US" w:eastAsia="zh-CN"/>
        </w:rPr>
        <w:t>5</w:t>
      </w:r>
      <w:r>
        <w:rPr>
          <w:rFonts w:hint="default" w:ascii="Times New Roman" w:hAnsi="Times New Roman" w:cs="Times New Roman"/>
          <w:b/>
          <w:sz w:val="24"/>
          <w:szCs w:val="24"/>
        </w:rPr>
        <w:t>.2.</w:t>
      </w:r>
      <w:r>
        <w:rPr>
          <w:rFonts w:hint="default" w:ascii="Times New Roman" w:hAnsi="Times New Roman" w:cs="Times New Roman"/>
          <w:b/>
          <w:sz w:val="24"/>
          <w:szCs w:val="24"/>
          <w:lang w:val="en-US" w:eastAsia="zh-CN"/>
        </w:rPr>
        <w:t xml:space="preserve">7 </w:t>
      </w:r>
      <w:r>
        <w:rPr>
          <w:rFonts w:hint="default" w:ascii="Times New Roman" w:hAnsi="Times New Roman" w:cs="Times New Roman"/>
          <w:b/>
          <w:sz w:val="24"/>
          <w:szCs w:val="24"/>
        </w:rPr>
        <w:t>社会影响分析</w:t>
      </w:r>
    </w:p>
    <w:p>
      <w:pPr>
        <w:pStyle w:val="59"/>
        <w:rPr>
          <w:rFonts w:hint="default" w:ascii="Times New Roman" w:hAnsi="Times New Roman" w:cs="Times New Roman"/>
          <w:color w:val="auto"/>
        </w:rPr>
      </w:pPr>
      <w:r>
        <w:rPr>
          <w:rFonts w:hint="default" w:ascii="Times New Roman" w:hAnsi="Times New Roman" w:cs="Times New Roman"/>
          <w:color w:val="auto"/>
        </w:rPr>
        <w:t>（1）对区域经济影响</w:t>
      </w:r>
    </w:p>
    <w:p>
      <w:pPr>
        <w:pStyle w:val="59"/>
        <w:rPr>
          <w:rFonts w:hint="default" w:ascii="Times New Roman" w:hAnsi="Times New Roman" w:cs="Times New Roman"/>
          <w:color w:val="auto"/>
        </w:rPr>
      </w:pPr>
      <w:r>
        <w:rPr>
          <w:rFonts w:hint="default" w:ascii="Times New Roman" w:hAnsi="Times New Roman" w:cs="Times New Roman"/>
          <w:color w:val="auto"/>
        </w:rPr>
        <w:t>本项目的建设科显著提高本地区养猪生产业性能，提高产品的市场竞争力，进一步发展壮大畜牧业中的优势主导产业，推进农业和农村经济结构调整，提高农业生产组织化程度和农业产业化经营水平。</w:t>
      </w:r>
    </w:p>
    <w:p>
      <w:pPr>
        <w:pStyle w:val="59"/>
        <w:rPr>
          <w:rFonts w:hint="default" w:ascii="Times New Roman" w:hAnsi="Times New Roman" w:cs="Times New Roman"/>
          <w:color w:val="auto"/>
        </w:rPr>
      </w:pPr>
      <w:r>
        <w:rPr>
          <w:rFonts w:hint="default" w:ascii="Times New Roman" w:hAnsi="Times New Roman" w:cs="Times New Roman"/>
          <w:color w:val="auto"/>
        </w:rPr>
        <w:t>本项目的生产带动了社会经济发展，满足人民日益增长的肉食市场需要，保证当地地区生猪出口工作和业务的顺利完成，项目的建设对社会环境影响有一定的促进作用。</w:t>
      </w:r>
    </w:p>
    <w:p>
      <w:pPr>
        <w:pStyle w:val="59"/>
        <w:rPr>
          <w:rFonts w:hint="default" w:ascii="Times New Roman" w:hAnsi="Times New Roman" w:cs="Times New Roman"/>
          <w:color w:val="auto"/>
        </w:rPr>
      </w:pPr>
      <w:r>
        <w:rPr>
          <w:rFonts w:hint="default" w:ascii="Times New Roman" w:hAnsi="Times New Roman" w:cs="Times New Roman"/>
          <w:color w:val="auto"/>
        </w:rPr>
        <w:t>同时项目建设将招聘当地农民入场工作，在种植、收获等过程中也将聘用大量人员，可以为当地群众提供更多的工作岗位以及额外的收入来源，帮助农民脱贫致富，具有明显的社会正效应。</w:t>
      </w:r>
    </w:p>
    <w:p>
      <w:pPr>
        <w:pStyle w:val="59"/>
        <w:rPr>
          <w:rFonts w:hint="default" w:ascii="Times New Roman" w:hAnsi="Times New Roman" w:cs="Times New Roman"/>
          <w:color w:val="auto"/>
        </w:rPr>
      </w:pPr>
      <w:r>
        <w:rPr>
          <w:rFonts w:hint="default" w:ascii="Times New Roman" w:hAnsi="Times New Roman" w:cs="Times New Roman"/>
          <w:color w:val="auto"/>
        </w:rPr>
        <w:t>（2）居民生活环境的影响</w:t>
      </w:r>
    </w:p>
    <w:p>
      <w:pPr>
        <w:pStyle w:val="59"/>
        <w:rPr>
          <w:rFonts w:hint="default" w:ascii="Times New Roman" w:hAnsi="Times New Roman" w:cs="Times New Roman"/>
          <w:color w:val="auto"/>
        </w:rPr>
      </w:pPr>
      <w:r>
        <w:rPr>
          <w:rFonts w:hint="default" w:ascii="Times New Roman" w:hAnsi="Times New Roman" w:cs="Times New Roman"/>
          <w:color w:val="auto"/>
        </w:rPr>
        <w:t>本项目的建设后，将会解决周围部分农民的就业问题，提高农民的收入。该项目建成后，需要运输肥猪、饲料、有机肥及其他物质，车流量将有一定管道增加。但由于本项目运输路线大多是偏僻的乡村，住户较少，汽车发动机工作时产生的噪声对沿线居民生活产生短时影响，不会导致声环境质量明显的下降。通过合理调度、合理安排运输线路、减少夜间运输量等可有效减少物流运输中所产生的环境影响。</w:t>
      </w:r>
    </w:p>
    <w:p>
      <w:pPr>
        <w:pStyle w:val="59"/>
        <w:rPr>
          <w:rFonts w:hint="default" w:ascii="Times New Roman" w:hAnsi="Times New Roman" w:cs="Times New Roman"/>
          <w:color w:val="auto"/>
        </w:rPr>
      </w:pPr>
      <w:r>
        <w:rPr>
          <w:rFonts w:hint="default" w:ascii="Times New Roman" w:hAnsi="Times New Roman" w:cs="Times New Roman"/>
          <w:color w:val="auto"/>
        </w:rPr>
        <w:t>同时项目产生污染物在采用相应治理措施后可以做到达标排放，基本不会对周边居民造成影响，环评要求项目在农田灌溉及施肥时合理施肥，避免对区域环境造成影响。</w:t>
      </w:r>
    </w:p>
    <w:p>
      <w:pPr>
        <w:pStyle w:val="3"/>
        <w:keepNext w:val="0"/>
        <w:keepLines w:val="0"/>
        <w:pageBreakBefore w:val="0"/>
        <w:widowControl w:val="0"/>
        <w:tabs>
          <w:tab w:val="left" w:pos="340"/>
        </w:tabs>
        <w:kinsoku/>
        <w:wordWrap/>
        <w:overflowPunct/>
        <w:topLinePunct w:val="0"/>
        <w:autoSpaceDE/>
        <w:autoSpaceDN/>
        <w:bidi w:val="0"/>
        <w:adjustRightInd w:val="0"/>
        <w:snapToGrid w:val="0"/>
        <w:spacing w:before="313" w:beforeLines="100" w:after="0" w:line="360" w:lineRule="auto"/>
        <w:jc w:val="center"/>
        <w:textAlignment w:val="auto"/>
        <w:outlineLvl w:val="0"/>
        <w:rPr>
          <w:rFonts w:hint="default" w:ascii="Times New Roman" w:hAnsi="Times New Roman" w:cs="Times New Roman"/>
          <w:snapToGrid w:val="0"/>
          <w:spacing w:val="-20"/>
          <w:kern w:val="0"/>
          <w:sz w:val="44"/>
          <w:szCs w:val="44"/>
        </w:rPr>
      </w:pPr>
      <w:r>
        <w:rPr>
          <w:rFonts w:hint="default" w:ascii="Times New Roman" w:hAnsi="Times New Roman" w:cs="Times New Roman"/>
        </w:rPr>
        <w:br w:type="page"/>
      </w:r>
      <w:bookmarkStart w:id="354" w:name="_Toc30956"/>
      <w:bookmarkStart w:id="355" w:name="_Toc13701"/>
      <w:r>
        <w:rPr>
          <w:rFonts w:hint="default" w:ascii="Times New Roman" w:hAnsi="Times New Roman" w:cs="Times New Roman"/>
          <w:sz w:val="44"/>
          <w:szCs w:val="44"/>
        </w:rPr>
        <w:t>第六章</w:t>
      </w:r>
      <w:r>
        <w:rPr>
          <w:rFonts w:hint="default" w:ascii="Times New Roman" w:hAnsi="Times New Roman" w:cs="Times New Roman"/>
          <w:snapToGrid w:val="0"/>
          <w:spacing w:val="-20"/>
          <w:kern w:val="0"/>
          <w:sz w:val="44"/>
          <w:szCs w:val="44"/>
        </w:rPr>
        <w:t xml:space="preserve"> </w:t>
      </w:r>
      <w:bookmarkEnd w:id="354"/>
      <w:r>
        <w:rPr>
          <w:rFonts w:hint="default" w:ascii="Times New Roman" w:hAnsi="Times New Roman" w:cs="Times New Roman"/>
          <w:snapToGrid w:val="0"/>
          <w:spacing w:val="-20"/>
          <w:kern w:val="0"/>
          <w:sz w:val="44"/>
          <w:szCs w:val="44"/>
        </w:rPr>
        <w:t>环境保护措施及经济技术论证</w:t>
      </w:r>
      <w:bookmarkEnd w:id="355"/>
      <w:bookmarkStart w:id="356" w:name="_Toc4716"/>
    </w:p>
    <w:p>
      <w:pPr>
        <w:pStyle w:val="4"/>
        <w:keepNext w:val="0"/>
        <w:keepLines w:val="0"/>
        <w:tabs>
          <w:tab w:val="left" w:pos="340"/>
        </w:tabs>
        <w:adjustRightInd w:val="0"/>
        <w:snapToGrid w:val="0"/>
        <w:spacing w:before="0" w:after="0" w:line="360" w:lineRule="auto"/>
        <w:rPr>
          <w:rFonts w:hint="default" w:ascii="Times New Roman" w:hAnsi="Times New Roman" w:cs="Times New Roman"/>
          <w:sz w:val="28"/>
          <w:szCs w:val="28"/>
        </w:rPr>
      </w:pPr>
      <w:bookmarkStart w:id="357" w:name="_Toc17648"/>
      <w:r>
        <w:rPr>
          <w:rFonts w:hint="default" w:ascii="Times New Roman" w:hAnsi="Times New Roman" w:cs="Times New Roman"/>
          <w:sz w:val="28"/>
          <w:szCs w:val="28"/>
        </w:rPr>
        <w:t>6.1 施工期污染防治措施</w:t>
      </w:r>
      <w:bookmarkEnd w:id="356"/>
      <w:r>
        <w:rPr>
          <w:rFonts w:hint="default" w:ascii="Times New Roman" w:hAnsi="Times New Roman" w:cs="Times New Roman"/>
          <w:sz w:val="28"/>
          <w:szCs w:val="28"/>
        </w:rPr>
        <w:t>及论证</w:t>
      </w:r>
      <w:bookmarkEnd w:id="357"/>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评价针对工程施工期可能对环境造成的影响，以保护项目区的环境、最大限度地减少工程建设对环境造成的不利影响为目的，对施工期环境影响因素进行简要分析并提出具体的防范措施。</w:t>
      </w:r>
    </w:p>
    <w:p>
      <w:pPr>
        <w:pStyle w:val="5"/>
        <w:spacing w:before="0" w:after="0" w:line="360" w:lineRule="auto"/>
        <w:ind w:firstLine="482" w:firstLineChars="200"/>
        <w:jc w:val="left"/>
        <w:rPr>
          <w:rFonts w:hint="default" w:ascii="Times New Roman" w:hAnsi="Times New Roman" w:cs="Times New Roman"/>
          <w:sz w:val="24"/>
          <w:szCs w:val="24"/>
        </w:rPr>
      </w:pPr>
      <w:r>
        <w:rPr>
          <w:rFonts w:hint="default" w:ascii="Times New Roman" w:hAnsi="Times New Roman" w:cs="Times New Roman"/>
          <w:sz w:val="24"/>
          <w:szCs w:val="24"/>
        </w:rPr>
        <w:t>6.1.1施工期水环境影响及保护措施</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施工期废水主要为施工废水和施工人员的生活污水。施工过程中的生产废水悬浮物含量高，易于沉淀，经简易沉淀池处理后，循环使用，不外排；本项目施工期生活污水经化粪池处理后用于农田施肥，不外排。均可做到综合利用。</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项目施工期水环境影响防治措施采用目前施工场地常用的治理措施，技术经济可行。</w:t>
      </w:r>
    </w:p>
    <w:p>
      <w:pPr>
        <w:pStyle w:val="5"/>
        <w:spacing w:before="0" w:after="0" w:line="360" w:lineRule="auto"/>
        <w:ind w:firstLine="482" w:firstLineChars="200"/>
        <w:jc w:val="left"/>
        <w:rPr>
          <w:rFonts w:hint="default" w:ascii="Times New Roman" w:hAnsi="Times New Roman" w:cs="Times New Roman"/>
          <w:sz w:val="24"/>
          <w:szCs w:val="24"/>
        </w:rPr>
      </w:pPr>
      <w:r>
        <w:rPr>
          <w:rFonts w:hint="default" w:ascii="Times New Roman" w:hAnsi="Times New Roman" w:cs="Times New Roman"/>
          <w:sz w:val="24"/>
          <w:szCs w:val="24"/>
        </w:rPr>
        <w:t>6.1.2施工期环境空气保护措施分析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本项目施工期大气污染主要来自两个方面：一是施工过程中开挖、堆放、运输材料等产生的扬尘；二是施工机械和重型运输车辆运行过程中所排放的废气。</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在施工过程中施工单位必须选用符合国家有关卫生标准的施工机械，使其排放的废气符合国家有关标准。施工区要经常洒水，减少扬尘，缩短粉尘污染的影响时段，缩小污染范围。加强道路管理和维护，经常清扫、洒水。同时在物资运输过程中注意防止空气污染车辆扬尘，其主要来自公路路面尘土和道路的损坏，只要有效地控制来源，就可以减少扬尘。</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只要按规范施工，严格落实以上防治措施，施工期废气对区域环境空气的影响较小。施工期的空气污染是短时的，待施工完成后污染随之消失，大气环境质量即可恢复到原来的水平。</w:t>
      </w:r>
      <w:r>
        <w:rPr>
          <w:rFonts w:hint="default" w:ascii="Times New Roman" w:hAnsi="Times New Roman" w:cs="Times New Roman"/>
          <w:sz w:val="24"/>
          <w:szCs w:val="24"/>
          <w:lang w:val="zh-CN"/>
        </w:rPr>
        <w:t>综上，施工期大气污染物防治措施经济技术可行。</w:t>
      </w:r>
    </w:p>
    <w:p>
      <w:pPr>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6.1.3施工期噪声污染防治措施分析</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本工程施工期噪声类型主要是工程施工机械运行时产生的设备噪声及运输车辆产生的交通噪声，对项目区域的声环境带来了一定影响，针对此项目采取以下治理措施：</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1、合理进行施工总平面布置，将高噪声设备、钢筋加工车间、木工棚等布置在场地内，最大限度远离周边农户。</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2、施工区域两侧应加装施工围挡。为了最大限度地降低噪声影响，环评建议施工单位可适当增加围挡高度以降低施工建设对敏感点的影响。</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3、施工单位尽量采用先进低噪声设备，对产噪施工设备应加强维护和维修工作。</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4、合理安排施工时间，禁止夜间22:00～6:00施工，如果工艺要求必须连续作业的强噪声施工，应首先征得当地主管部门同意，取得夜间施工许可后方可施工，并应及时公告周围的居民和单位。根据《中华人民共和国环境噪声污染防治法》和四川省人民政府办公厅《关于在中、高考期间加强噪声污染监督管理工作的通知》（川办函〔2001〕90号）文件精神，中、高考期间禁止进行产生噪声污染的建设施工。</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5、对钢管、模板等周转材料的拆卸、搬运应该轻拿轻放，严禁抛掷。</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6、材料运输等汽车进场安排专人指挥，场内禁止运输车辆鸣笛。</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7、应做好与周边农户的协调沟通工作。施工期对周围环境带来多种不便，业主应加强与周边农户的联系，及时通报施工进度。</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8、施工单位要加强对施工人员的教育，提高作业人员的环保意识，坚持科学组织、文明施工。</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综上所述，项目施工期噪声将对厂区周边环境造成一定影响，但是其影响是暂时的，将随施工期的结束而消失，在采取上述噪声防治措施后噪声对周围环境影响较小，施工期噪声污染防治措施经济技术可行。</w:t>
      </w:r>
    </w:p>
    <w:p>
      <w:pPr>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6.1.4施工期固废污染防治措施分析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施工期固体废弃物主要是建筑垃圾、施工人员的生活垃圾和施工土石方。建设单位要求施工单位规范处理，首先将建筑垃圾分类，尽量回收其中尚可利用的部分建筑材料，对没有利用价值的废弃物应妥善堆放、及时厂区回填，运输起尘物料时，必须采用毡布覆盖，不允许超载，出场前一律清洗轮胎，沿途不要随路散落，也不要随意倾倒建筑垃圾，制造新的“垃圾堆场”；生活垃圾收集后运至场镇垃圾点交由当地环卫部门清运处理；项目场地具有一定坡度，开挖土石方量全部用于场内平整回填及绿化，无外运弃土产生。</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综上，本项目施工期产生的固体废弃物均得到了妥善处理，不会污染当地环境，因此本评价认为，施工期固废污染防治措施经济技术可行。</w:t>
      </w:r>
    </w:p>
    <w:p>
      <w:pPr>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 xml:space="preserve">6.1.5生态防护措施及论证 </w:t>
      </w:r>
    </w:p>
    <w:p>
      <w:pPr>
        <w:pStyle w:val="27"/>
        <w:adjustRightInd w:val="0"/>
        <w:snapToGrid w:val="0"/>
        <w:spacing w:before="0" w:beforeAutospacing="0" w:after="0" w:afterAutospacing="0"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项目施工期对生态环境的影响主要为植被的破坏以及可能造成的水土流失。</w:t>
      </w:r>
    </w:p>
    <w:p>
      <w:pPr>
        <w:spacing w:line="360" w:lineRule="auto"/>
        <w:rPr>
          <w:rFonts w:hint="default" w:ascii="Times New Roman" w:hAnsi="Times New Roman" w:cs="Times New Roman"/>
          <w:color w:val="000000"/>
          <w:sz w:val="24"/>
          <w:szCs w:val="24"/>
        </w:rPr>
      </w:pPr>
      <w:r>
        <w:rPr>
          <w:rFonts w:hint="default" w:ascii="Times New Roman" w:hAnsi="Times New Roman" w:cs="Times New Roman"/>
          <w:sz w:val="24"/>
          <w:szCs w:val="24"/>
        </w:rPr>
        <w:t xml:space="preserve"> </w:t>
      </w:r>
      <w:r>
        <w:rPr>
          <w:rFonts w:hint="default" w:ascii="Times New Roman" w:hAnsi="Times New Roman" w:cs="Times New Roman"/>
          <w:color w:val="FF0000"/>
          <w:sz w:val="24"/>
          <w:szCs w:val="24"/>
        </w:rPr>
        <w:t xml:space="preserve"> </w:t>
      </w: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1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①</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植被破坏</w:t>
      </w:r>
    </w:p>
    <w:p>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1）在施工作业过程中，不得随意开挖，强化生态环境保护意识，严格控制施工作业区，不得随意扩大范围，尽量减少对植被的破坏。</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2）合理利用场地内原有树林植被设置绿化带，尽量保留可利用植被，降低生态影响。</w:t>
      </w:r>
    </w:p>
    <w:p>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3）项目实施后，对厂区内进行绿化，种植花草树木，尽量恢复区域绿化。</w:t>
      </w:r>
    </w:p>
    <w:p>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2 \* GB3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②</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rPr>
        <w:t>水土流失</w:t>
      </w:r>
    </w:p>
    <w:p>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1）整个施工过程中尽可能避开雨天开挖施工；</w:t>
      </w:r>
    </w:p>
    <w:p>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2）在施工作业过程中，不得随意开挖，强化生态环境保护意识，严格控制施工作业区，不得随意扩大范围，尽量减少对植被的破坏，保护水土资源；</w:t>
      </w:r>
    </w:p>
    <w:p>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3）对于开挖土石方，减少临时堆放和不必要的转运过程，应尽快回填剩余用于场区内土地平整。环评要求挖方时对土方进行剥离，可用土进行单独保存。</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color w:val="000000"/>
          <w:sz w:val="24"/>
          <w:szCs w:val="24"/>
        </w:rPr>
        <w:t>4）</w:t>
      </w:r>
      <w:r>
        <w:rPr>
          <w:rFonts w:hint="default" w:ascii="Times New Roman" w:hAnsi="Times New Roman" w:cs="Times New Roman"/>
          <w:sz w:val="24"/>
          <w:szCs w:val="24"/>
        </w:rPr>
        <w:t>在基础清理开挖时，为防止开挖土方进入施工区外，在开挖线外缘一侧用编织 袋装清理表层土临时拦挡；</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5）临时堆场周边设置围挡，并采用防雨布进行覆盖。</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6）尽快完善在施工场地四周雨水排水沟，防止雨水冲刷场地，并在排水沟出口设临时沉淀池，使雨水经沉淀后排放，尽力减少施工期水土流失。</w:t>
      </w:r>
    </w:p>
    <w:p>
      <w:pPr>
        <w:pStyle w:val="27"/>
        <w:adjustRightInd w:val="0"/>
        <w:snapToGrid w:val="0"/>
        <w:spacing w:before="0" w:beforeAutospacing="0" w:after="0" w:afterAutospacing="0"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采取上述措施可减小植被的破坏，并对破坏的植被进行一定绿化补偿。同时能够有效减小水土流失。经济技术可行。</w:t>
      </w:r>
      <w:bookmarkStart w:id="358" w:name="_Toc18274"/>
    </w:p>
    <w:p>
      <w:pPr>
        <w:pStyle w:val="27"/>
        <w:adjustRightInd w:val="0"/>
        <w:snapToGrid w:val="0"/>
        <w:spacing w:before="0" w:beforeAutospacing="0" w:after="0" w:afterAutospacing="0" w:line="360" w:lineRule="auto"/>
        <w:jc w:val="both"/>
        <w:outlineLvl w:val="1"/>
        <w:rPr>
          <w:rFonts w:hint="default" w:ascii="Times New Roman" w:hAnsi="Times New Roman" w:cs="Times New Roman"/>
          <w:b/>
          <w:bCs/>
          <w:sz w:val="28"/>
          <w:szCs w:val="28"/>
        </w:rPr>
      </w:pPr>
      <w:bookmarkStart w:id="359" w:name="_Toc13354"/>
      <w:r>
        <w:rPr>
          <w:rFonts w:hint="default" w:ascii="Times New Roman" w:hAnsi="Times New Roman" w:cs="Times New Roman"/>
          <w:b/>
          <w:bCs/>
          <w:sz w:val="28"/>
          <w:szCs w:val="28"/>
        </w:rPr>
        <w:t>6.2营运期污染防治措施</w:t>
      </w:r>
      <w:bookmarkEnd w:id="358"/>
      <w:bookmarkEnd w:id="359"/>
    </w:p>
    <w:p>
      <w:pPr>
        <w:pStyle w:val="27"/>
        <w:adjustRightInd w:val="0"/>
        <w:snapToGrid w:val="0"/>
        <w:spacing w:before="0" w:beforeAutospacing="0" w:after="0" w:afterAutospacing="0" w:line="360" w:lineRule="auto"/>
        <w:ind w:firstLine="482" w:firstLineChars="200"/>
        <w:jc w:val="both"/>
        <w:outlineLvl w:val="2"/>
        <w:rPr>
          <w:rFonts w:hint="default" w:ascii="Times New Roman" w:hAnsi="Times New Roman" w:cs="Times New Roman"/>
          <w:b/>
          <w:sz w:val="24"/>
          <w:szCs w:val="24"/>
        </w:rPr>
      </w:pPr>
      <w:r>
        <w:rPr>
          <w:rFonts w:hint="default" w:ascii="Times New Roman" w:hAnsi="Times New Roman" w:cs="Times New Roman"/>
          <w:b/>
          <w:sz w:val="24"/>
          <w:szCs w:val="24"/>
        </w:rPr>
        <w:t>6.2.1 废水处理及综合利用措施分析</w:t>
      </w:r>
    </w:p>
    <w:p>
      <w:pPr>
        <w:tabs>
          <w:tab w:val="left" w:pos="5625"/>
        </w:tabs>
        <w:adjustRightInd w:val="0"/>
        <w:snapToGrid w:val="0"/>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1、生活污水、餐饮废水</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根据计算，预计项目生活污水产生量为</w:t>
      </w:r>
      <w:r>
        <w:rPr>
          <w:rFonts w:hint="default" w:ascii="Times New Roman" w:hAnsi="Times New Roman" w:cs="Times New Roman"/>
          <w:color w:val="000000"/>
          <w:sz w:val="24"/>
          <w:szCs w:val="24"/>
        </w:rPr>
        <w:t>1.2m³/d，428m³/a；餐饮废水产生量为</w:t>
      </w:r>
      <w:r>
        <w:rPr>
          <w:rFonts w:hint="default" w:ascii="Times New Roman" w:hAnsi="Times New Roman" w:cs="Times New Roman"/>
          <w:sz w:val="24"/>
          <w:szCs w:val="24"/>
        </w:rPr>
        <w:t>0.8m³/d，292m³/a</w:t>
      </w:r>
      <w:r>
        <w:rPr>
          <w:rFonts w:hint="default" w:ascii="Times New Roman" w:hAnsi="Times New Roman" w:cs="Times New Roman"/>
          <w:color w:val="000000"/>
          <w:sz w:val="24"/>
          <w:szCs w:val="24"/>
        </w:rPr>
        <w:t>。</w:t>
      </w:r>
      <w:r>
        <w:rPr>
          <w:rFonts w:hint="default" w:ascii="Times New Roman" w:hAnsi="Times New Roman" w:cs="Times New Roman"/>
          <w:sz w:val="24"/>
          <w:szCs w:val="24"/>
        </w:rPr>
        <w:t>生活污水通过化粪池处理后，排入污水处理设施。餐饮废水经隔油池收集处理后，再进入化粪池中与生活污水一同排入污水处理设施。</w:t>
      </w:r>
    </w:p>
    <w:p>
      <w:pPr>
        <w:tabs>
          <w:tab w:val="left" w:pos="5625"/>
        </w:tabs>
        <w:adjustRightInd w:val="0"/>
        <w:snapToGrid w:val="0"/>
        <w:spacing w:line="360" w:lineRule="auto"/>
        <w:ind w:firstLine="482"/>
        <w:rPr>
          <w:rFonts w:hint="default" w:ascii="Times New Roman" w:hAnsi="Times New Roman" w:cs="Times New Roman"/>
          <w:sz w:val="24"/>
          <w:szCs w:val="24"/>
        </w:rPr>
      </w:pPr>
      <w:r>
        <w:rPr>
          <w:rFonts w:hint="default" w:ascii="Times New Roman" w:hAnsi="Times New Roman" w:cs="Times New Roman"/>
          <w:sz w:val="24"/>
          <w:szCs w:val="24"/>
        </w:rPr>
        <w:t>项目所在地区无污水处理厂，餐饮废水经隔油池收集处理后，再进入化粪池中与生活污水一同排入污水处理设施处理后农用不外排，对地表水环境无明显影响。技术经济可行。</w:t>
      </w:r>
    </w:p>
    <w:p>
      <w:pPr>
        <w:tabs>
          <w:tab w:val="left" w:pos="5625"/>
        </w:tabs>
        <w:adjustRightInd w:val="0"/>
        <w:snapToGrid w:val="0"/>
        <w:spacing w:line="360" w:lineRule="auto"/>
        <w:ind w:firstLine="602" w:firstLineChars="250"/>
        <w:rPr>
          <w:rFonts w:hint="default" w:ascii="Times New Roman" w:hAnsi="Times New Roman" w:cs="Times New Roman"/>
          <w:b/>
          <w:sz w:val="24"/>
          <w:szCs w:val="24"/>
        </w:rPr>
      </w:pPr>
      <w:r>
        <w:rPr>
          <w:rFonts w:hint="default" w:ascii="Times New Roman" w:hAnsi="Times New Roman" w:cs="Times New Roman"/>
          <w:b/>
          <w:sz w:val="24"/>
          <w:szCs w:val="24"/>
        </w:rPr>
        <w:t>2、养殖废水</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根据计算，养殖废水的产生量为28333.018m³/a。此类废水中含有高浓度的COD、BOD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、SS、NH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-N，此类废水可生化性高。根据业主提供资料，因此养殖场拟建废水处理系统集中处理，处理能力为90m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经“粪污收集池+集水池+固液分离+调节酸化池+沼气池+好氧池+沉淀池+消毒+沼液暂存池”工艺处理达《农田灌溉水质标准》（GB5084-2005）旱作标准后用于农场土地施肥使用。处理后的养殖废水和生活污水用作农肥，可以节省大量化肥，提高作物产量，还可以改善土壤的物理化学性质，提高土壤肥力，有利于农作物的生长，节约水资源，减少污染物排放量。</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因此，本项目采取的养殖废水治理措施可行、经济可靠，可以做到综合利用不外排，对周围地表水体影响较小。</w:t>
      </w:r>
    </w:p>
    <w:p>
      <w:pPr>
        <w:adjustRightInd w:val="0"/>
        <w:snapToGrid w:val="0"/>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6.2.2 地下水污染防治措施分析</w:t>
      </w:r>
    </w:p>
    <w:p>
      <w:pPr>
        <w:snapToGrid w:val="0"/>
        <w:spacing w:line="360" w:lineRule="auto"/>
        <w:ind w:firstLine="508" w:firstLineChars="212"/>
        <w:rPr>
          <w:rFonts w:hint="default" w:ascii="Times New Roman" w:hAnsi="Times New Roman" w:cs="Times New Roman"/>
          <w:sz w:val="24"/>
          <w:szCs w:val="24"/>
        </w:rPr>
      </w:pPr>
      <w:r>
        <w:rPr>
          <w:rFonts w:hint="default" w:ascii="Times New Roman" w:hAnsi="Times New Roman" w:cs="Times New Roman"/>
          <w:sz w:val="24"/>
          <w:szCs w:val="24"/>
        </w:rPr>
        <w:t>本项目场区内地面均为硬化路面，场区污水设置排尿沟和管道进行收集，可有效防止污水进入地下水体。</w:t>
      </w:r>
    </w:p>
    <w:p>
      <w:pPr>
        <w:snapToGrid w:val="0"/>
        <w:spacing w:line="360" w:lineRule="auto"/>
        <w:ind w:firstLine="508" w:firstLineChars="212"/>
        <w:rPr>
          <w:rFonts w:hint="default" w:ascii="Times New Roman" w:hAnsi="Times New Roman" w:cs="Times New Roman"/>
          <w:bCs/>
          <w:sz w:val="24"/>
          <w:szCs w:val="24"/>
        </w:rPr>
      </w:pPr>
      <w:r>
        <w:rPr>
          <w:rFonts w:hint="default" w:ascii="Times New Roman" w:hAnsi="Times New Roman" w:cs="Times New Roman"/>
          <w:bCs/>
          <w:sz w:val="24"/>
          <w:szCs w:val="24"/>
        </w:rPr>
        <w:t>针对本次评价环境影响分析中可能出现的地下水污染情况，评价对几个重点区域提出地下水污染的分区防治措施。</w:t>
      </w:r>
    </w:p>
    <w:p>
      <w:pPr>
        <w:snapToGrid w:val="0"/>
        <w:spacing w:line="360" w:lineRule="auto"/>
        <w:ind w:firstLine="508" w:firstLineChars="212"/>
        <w:rPr>
          <w:rFonts w:hint="default" w:ascii="Times New Roman" w:hAnsi="Times New Roman" w:cs="Times New Roman"/>
          <w:sz w:val="24"/>
          <w:szCs w:val="24"/>
        </w:rPr>
      </w:pPr>
      <w:r>
        <w:rPr>
          <w:rFonts w:hint="default" w:ascii="Times New Roman" w:hAnsi="Times New Roman" w:cs="Times New Roman"/>
          <w:bCs/>
          <w:sz w:val="24"/>
          <w:szCs w:val="24"/>
        </w:rPr>
        <w:t>本次评价将养殖场区地下水污染防治区分为重点防渗区、一般防渗区、简单防渗区、非防渗区。</w:t>
      </w:r>
      <w:r>
        <w:rPr>
          <w:rFonts w:hint="default" w:ascii="Times New Roman" w:hAnsi="Times New Roman" w:cs="Times New Roman"/>
          <w:sz w:val="24"/>
          <w:szCs w:val="24"/>
          <w:u w:val="single"/>
        </w:rPr>
        <w:t>非防渗区</w:t>
      </w:r>
      <w:r>
        <w:rPr>
          <w:rFonts w:hint="default" w:ascii="Times New Roman" w:hAnsi="Times New Roman" w:cs="Times New Roman"/>
          <w:sz w:val="24"/>
          <w:szCs w:val="24"/>
        </w:rPr>
        <w:t>主要为绿化用地；</w:t>
      </w:r>
      <w:r>
        <w:rPr>
          <w:rFonts w:hint="default" w:ascii="Times New Roman" w:hAnsi="Times New Roman" w:cs="Times New Roman"/>
          <w:sz w:val="24"/>
          <w:szCs w:val="24"/>
          <w:u w:val="single"/>
        </w:rPr>
        <w:t>简单防渗区域</w:t>
      </w:r>
      <w:r>
        <w:rPr>
          <w:rFonts w:hint="default" w:ascii="Times New Roman" w:hAnsi="Times New Roman" w:cs="Times New Roman"/>
          <w:sz w:val="24"/>
          <w:szCs w:val="24"/>
        </w:rPr>
        <w:t>主要为办公楼、场内道路等；</w:t>
      </w:r>
      <w:r>
        <w:rPr>
          <w:rFonts w:hint="default" w:ascii="Times New Roman" w:hAnsi="Times New Roman" w:cs="Times New Roman"/>
          <w:sz w:val="24"/>
          <w:szCs w:val="24"/>
          <w:u w:val="single"/>
        </w:rPr>
        <w:t>一般防渗区域</w:t>
      </w:r>
      <w:r>
        <w:rPr>
          <w:rFonts w:hint="default" w:ascii="Times New Roman" w:hAnsi="Times New Roman" w:cs="Times New Roman"/>
          <w:sz w:val="24"/>
          <w:szCs w:val="24"/>
        </w:rPr>
        <w:t>为</w:t>
      </w:r>
      <w:r>
        <w:rPr>
          <w:rFonts w:hint="default" w:ascii="Times New Roman" w:hAnsi="Times New Roman" w:cs="Times New Roman"/>
          <w:kern w:val="0"/>
          <w:sz w:val="24"/>
          <w:szCs w:val="24"/>
        </w:rPr>
        <w:t>猪舍、</w:t>
      </w:r>
      <w:r>
        <w:rPr>
          <w:rFonts w:hint="default" w:ascii="Times New Roman" w:hAnsi="Times New Roman" w:cs="Times New Roman"/>
          <w:sz w:val="24"/>
          <w:szCs w:val="24"/>
        </w:rPr>
        <w:t>异位发酵床工艺中各池体（蓄尿池、粪污调浆池、异位发酵池等）、预处理池、隔油池、污水收集导流沟槽以及医疗废物暂存间；</w:t>
      </w:r>
      <w:r>
        <w:rPr>
          <w:rFonts w:hint="default" w:ascii="Times New Roman" w:hAnsi="Times New Roman" w:cs="Times New Roman"/>
          <w:sz w:val="24"/>
          <w:szCs w:val="24"/>
          <w:u w:val="single"/>
        </w:rPr>
        <w:t>重点防渗区域</w:t>
      </w:r>
      <w:r>
        <w:rPr>
          <w:rFonts w:hint="default" w:ascii="Times New Roman" w:hAnsi="Times New Roman" w:cs="Times New Roman"/>
          <w:sz w:val="24"/>
          <w:szCs w:val="24"/>
        </w:rPr>
        <w:t>为柴油储油间</w:t>
      </w:r>
    </w:p>
    <w:p>
      <w:pPr>
        <w:snapToGrid w:val="0"/>
        <w:spacing w:line="360" w:lineRule="auto"/>
        <w:ind w:firstLine="508" w:firstLineChars="212"/>
        <w:rPr>
          <w:rFonts w:hint="default" w:ascii="Times New Roman" w:hAnsi="Times New Roman" w:cs="Times New Roman"/>
          <w:bCs/>
          <w:sz w:val="24"/>
          <w:szCs w:val="24"/>
        </w:rPr>
      </w:pPr>
      <w:r>
        <w:rPr>
          <w:rFonts w:hint="default" w:ascii="Times New Roman" w:hAnsi="Times New Roman" w:cs="Times New Roman"/>
          <w:bCs/>
          <w:sz w:val="24"/>
          <w:szCs w:val="24"/>
        </w:rPr>
        <w:t>本项目各地下水污染防治区防渗强度要求见表6.2-1。</w:t>
      </w:r>
    </w:p>
    <w:p>
      <w:pPr>
        <w:adjustRightInd w:val="0"/>
        <w:snapToGrid w:val="0"/>
        <w:ind w:firstLine="480" w:firstLineChars="20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表6.2-1   地下水污染分区防治措施表</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78"/>
        <w:gridCol w:w="4293"/>
        <w:gridCol w:w="23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3078"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分区</w:t>
            </w:r>
          </w:p>
        </w:tc>
        <w:tc>
          <w:tcPr>
            <w:tcW w:w="4293"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防渗结构与材料</w:t>
            </w:r>
          </w:p>
        </w:tc>
        <w:tc>
          <w:tcPr>
            <w:tcW w:w="2341"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渗透系数/（cm·s</w:t>
            </w:r>
            <w:r>
              <w:rPr>
                <w:rFonts w:hint="default" w:ascii="Times New Roman" w:hAnsi="Times New Roman" w:cs="Times New Roman"/>
                <w:bCs/>
                <w:szCs w:val="21"/>
                <w:vertAlign w:val="superscript"/>
              </w:rPr>
              <w:t>-1</w:t>
            </w:r>
            <w:r>
              <w:rPr>
                <w:rFonts w:hint="default"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3078"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绿化</w:t>
            </w:r>
            <w:r>
              <w:rPr>
                <w:rFonts w:hint="default" w:ascii="Times New Roman" w:hAnsi="Times New Roman" w:cs="Times New Roman"/>
                <w:b/>
                <w:szCs w:val="21"/>
              </w:rPr>
              <w:t>（非防渗区）</w:t>
            </w:r>
          </w:p>
        </w:tc>
        <w:tc>
          <w:tcPr>
            <w:tcW w:w="4293"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w:t>
            </w:r>
          </w:p>
        </w:tc>
        <w:tc>
          <w:tcPr>
            <w:tcW w:w="2341"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34" w:hRule="atLeast"/>
          <w:jc w:val="center"/>
        </w:trPr>
        <w:tc>
          <w:tcPr>
            <w:tcW w:w="3078" w:type="dxa"/>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办公楼、库房及场内道路等</w:t>
            </w:r>
          </w:p>
          <w:p>
            <w:pPr>
              <w:snapToGrid w:val="0"/>
              <w:jc w:val="center"/>
              <w:rPr>
                <w:rFonts w:hint="default" w:ascii="Times New Roman" w:hAnsi="Times New Roman" w:cs="Times New Roman"/>
                <w:b/>
                <w:bCs/>
                <w:szCs w:val="21"/>
              </w:rPr>
            </w:pPr>
            <w:r>
              <w:rPr>
                <w:rFonts w:hint="default" w:ascii="Times New Roman" w:hAnsi="Times New Roman" w:cs="Times New Roman"/>
                <w:b/>
                <w:bCs/>
                <w:szCs w:val="21"/>
              </w:rPr>
              <w:t>（简单防渗区）</w:t>
            </w:r>
          </w:p>
        </w:tc>
        <w:tc>
          <w:tcPr>
            <w:tcW w:w="4293" w:type="dxa"/>
            <w:tcBorders>
              <w:bottom w:val="single" w:color="auto" w:sz="4" w:space="0"/>
            </w:tcBorders>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一般地面硬化</w:t>
            </w:r>
          </w:p>
        </w:tc>
        <w:tc>
          <w:tcPr>
            <w:tcW w:w="2341" w:type="dxa"/>
            <w:tcBorders>
              <w:bottom w:val="single" w:color="auto" w:sz="4" w:space="0"/>
            </w:tcBorders>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3078"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szCs w:val="21"/>
              </w:rPr>
              <w:t>猪舍、污水处理设施（调浆池、异位发酵床等）、粪污管道</w:t>
            </w:r>
            <w:r>
              <w:rPr>
                <w:rFonts w:hint="default" w:ascii="Times New Roman" w:hAnsi="Times New Roman" w:cs="Times New Roman"/>
                <w:b/>
                <w:szCs w:val="21"/>
              </w:rPr>
              <w:t>（</w:t>
            </w:r>
            <w:r>
              <w:rPr>
                <w:rFonts w:hint="default" w:ascii="Times New Roman" w:hAnsi="Times New Roman" w:cs="Times New Roman"/>
                <w:b/>
                <w:bCs/>
                <w:szCs w:val="21"/>
              </w:rPr>
              <w:t>一般防渗区）</w:t>
            </w:r>
          </w:p>
        </w:tc>
        <w:tc>
          <w:tcPr>
            <w:tcW w:w="4293"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防渗混凝土+HDPE土工膜（厚度大于1.5mm）</w:t>
            </w:r>
          </w:p>
        </w:tc>
        <w:tc>
          <w:tcPr>
            <w:tcW w:w="2341"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1.0×10</w:t>
            </w:r>
            <w:r>
              <w:rPr>
                <w:rFonts w:hint="default" w:ascii="Times New Roman" w:hAnsi="Times New Roman" w:cs="Times New Roman"/>
                <w:bCs/>
                <w:szCs w:val="21"/>
                <w:vertAlign w:val="superscript"/>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3078" w:type="dxa"/>
            <w:vAlign w:val="center"/>
          </w:tcPr>
          <w:p>
            <w:pPr>
              <w:snapToGrid w:val="0"/>
              <w:jc w:val="center"/>
              <w:rPr>
                <w:rFonts w:hint="default" w:ascii="Times New Roman" w:hAnsi="Times New Roman" w:cs="Times New Roman"/>
                <w:b/>
                <w:szCs w:val="21"/>
              </w:rPr>
            </w:pPr>
            <w:r>
              <w:rPr>
                <w:rFonts w:hint="default" w:ascii="Times New Roman" w:hAnsi="Times New Roman" w:cs="Times New Roman"/>
                <w:szCs w:val="21"/>
              </w:rPr>
              <w:t>柴油储存间、医疗废物暂存间</w:t>
            </w:r>
            <w:r>
              <w:rPr>
                <w:rFonts w:hint="default" w:ascii="Times New Roman" w:hAnsi="Times New Roman" w:cs="Times New Roman"/>
                <w:b/>
                <w:szCs w:val="21"/>
              </w:rPr>
              <w:t>（重点防渗）</w:t>
            </w:r>
          </w:p>
        </w:tc>
        <w:tc>
          <w:tcPr>
            <w:tcW w:w="4293" w:type="dxa"/>
            <w:vAlign w:val="center"/>
          </w:tcPr>
          <w:p>
            <w:pPr>
              <w:snapToGrid w:val="0"/>
              <w:jc w:val="center"/>
              <w:rPr>
                <w:rFonts w:hint="default" w:ascii="Times New Roman" w:hAnsi="Times New Roman" w:cs="Times New Roman"/>
                <w:bCs/>
                <w:szCs w:val="21"/>
              </w:rPr>
            </w:pPr>
            <w:r>
              <w:rPr>
                <w:rFonts w:hint="default" w:ascii="Times New Roman" w:hAnsi="Times New Roman" w:cs="Times New Roman"/>
                <w:bCs/>
                <w:szCs w:val="21"/>
              </w:rPr>
              <w:t>防渗混凝土+HDPE土工膜（厚度大于2.0mm）</w:t>
            </w:r>
          </w:p>
        </w:tc>
        <w:tc>
          <w:tcPr>
            <w:tcW w:w="2341" w:type="dxa"/>
            <w:vAlign w:val="center"/>
          </w:tcPr>
          <w:p>
            <w:pPr>
              <w:snapToGrid w:val="0"/>
              <w:jc w:val="center"/>
              <w:rPr>
                <w:rFonts w:hint="default" w:ascii="Times New Roman" w:hAnsi="Times New Roman" w:eastAsia="宋体" w:cs="Times New Roman"/>
                <w:bCs/>
                <w:szCs w:val="21"/>
                <w:lang w:eastAsia="zh-CN"/>
              </w:rPr>
            </w:pPr>
            <w:r>
              <w:rPr>
                <w:rFonts w:hint="default" w:ascii="Times New Roman" w:hAnsi="Times New Roman" w:cs="Times New Roman"/>
                <w:bCs/>
                <w:szCs w:val="21"/>
              </w:rPr>
              <w:t>1.0×10</w:t>
            </w:r>
            <w:r>
              <w:rPr>
                <w:rFonts w:hint="default" w:ascii="Times New Roman" w:hAnsi="Times New Roman" w:cs="Times New Roman"/>
                <w:bCs/>
                <w:szCs w:val="21"/>
                <w:vertAlign w:val="superscript"/>
              </w:rPr>
              <w:t>-</w:t>
            </w:r>
            <w:r>
              <w:rPr>
                <w:rFonts w:hint="default" w:ascii="Times New Roman" w:hAnsi="Times New Roman" w:cs="Times New Roman"/>
                <w:bCs/>
                <w:szCs w:val="21"/>
                <w:vertAlign w:val="superscript"/>
                <w:lang w:val="en-US" w:eastAsia="zh-CN"/>
              </w:rPr>
              <w:t>7</w:t>
            </w:r>
          </w:p>
        </w:tc>
      </w:tr>
    </w:tbl>
    <w:p>
      <w:pPr>
        <w:adjustRightInd w:val="0"/>
        <w:snapToGrid w:val="0"/>
        <w:spacing w:before="120"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综上分析，评价认为在上述相关措施得到切实落实的前提下，项目实施对评价区地下水环境不会造成污染影响，不改变其现有水环境现状和功能。因此，本项目营运期间可防止对区域地下水水质造成影响，治理措施可行。</w:t>
      </w:r>
    </w:p>
    <w:p>
      <w:pPr>
        <w:adjustRightInd w:val="0"/>
        <w:snapToGrid w:val="0"/>
        <w:spacing w:before="120"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6.2.3 废气污染防治措施分析</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1、恶臭</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本项目恶臭主要来源于养殖生产区和污水处理设施散发的H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S和NH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等气体，属无组织排放。主要采取的治理措施包括：</w:t>
      </w:r>
    </w:p>
    <w:p>
      <w:pPr>
        <w:numPr>
          <w:ilvl w:val="0"/>
          <w:numId w:val="6"/>
        </w:num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及时清理猪舍</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①资料表明，温度高时恶臭气体浓度高，猪粪在1～2周后发酵较快，粪便暴露面积大的发酵率高。因此建议在猪舍内加强通风，加速粪便干燥，可减少猪粪污染。</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②为防止蚊蝇滋生，应根据蚊蝇生活习性，采用人工、机械配合喷药的方法预防蚊蝇滋生。</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③加强猪舍与饲料堆放地的灭鼠工作，预防疾病的传播。</w:t>
      </w:r>
    </w:p>
    <w:p>
      <w:pPr>
        <w:adjustRightInd w:val="0"/>
        <w:snapToGrid w:val="0"/>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（2）强化猪舍消毒措施</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①全部猪舍必须配备地面消毒设备。</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②病畜隔离间必须设车轮、鞋靴消毒池。</w:t>
      </w:r>
    </w:p>
    <w:p>
      <w:pPr>
        <w:spacing w:line="360" w:lineRule="auto"/>
        <w:ind w:firstLine="482" w:firstLineChars="200"/>
        <w:rPr>
          <w:rFonts w:ascii="Times New Roman" w:hAnsi="Times New Roman"/>
          <w:b/>
          <w:sz w:val="24"/>
          <w:szCs w:val="24"/>
        </w:rPr>
      </w:pPr>
      <w:r>
        <w:rPr>
          <w:rFonts w:ascii="Times New Roman" w:hAnsi="Times New Roman"/>
          <w:b/>
          <w:sz w:val="24"/>
          <w:szCs w:val="24"/>
        </w:rPr>
        <w:t>（3）</w:t>
      </w:r>
      <w:r>
        <w:rPr>
          <w:rFonts w:hint="eastAsia" w:ascii="Times New Roman" w:hAnsi="Times New Roman"/>
          <w:b/>
          <w:sz w:val="24"/>
          <w:szCs w:val="24"/>
        </w:rPr>
        <w:t>污水处理</w:t>
      </w:r>
      <w:r>
        <w:rPr>
          <w:rFonts w:hint="eastAsia" w:ascii="Times New Roman" w:hAnsi="Times New Roman"/>
          <w:b/>
          <w:sz w:val="24"/>
          <w:szCs w:val="24"/>
          <w:lang w:eastAsia="zh-CN"/>
        </w:rPr>
        <w:t>站</w:t>
      </w:r>
      <w:r>
        <w:rPr>
          <w:rFonts w:hint="eastAsia" w:ascii="Times New Roman" w:hAnsi="Times New Roman"/>
          <w:b/>
          <w:sz w:val="24"/>
          <w:szCs w:val="24"/>
        </w:rPr>
        <w:t>、</w:t>
      </w:r>
      <w:r>
        <w:rPr>
          <w:rFonts w:hint="eastAsia" w:ascii="Times New Roman" w:hAnsi="Times New Roman"/>
          <w:b/>
          <w:sz w:val="24"/>
          <w:szCs w:val="24"/>
          <w:lang w:eastAsia="zh-CN"/>
        </w:rPr>
        <w:t>猪粪暂存间</w:t>
      </w:r>
      <w:r>
        <w:rPr>
          <w:rFonts w:hint="eastAsia" w:ascii="Times New Roman" w:hAnsi="Times New Roman"/>
          <w:b/>
          <w:sz w:val="24"/>
          <w:szCs w:val="24"/>
        </w:rPr>
        <w:t>恶臭采用生物除臭塔处理</w:t>
      </w:r>
    </w:p>
    <w:p>
      <w:pPr>
        <w:spacing w:line="360" w:lineRule="auto"/>
        <w:ind w:firstLine="480" w:firstLineChars="200"/>
        <w:rPr>
          <w:rFonts w:hint="default" w:ascii="Times New Roman" w:hAnsi="Times New Roman" w:eastAsia="宋体"/>
          <w:bCs/>
          <w:sz w:val="24"/>
          <w:szCs w:val="24"/>
          <w:lang w:val="en-US" w:eastAsia="zh-CN"/>
        </w:rPr>
      </w:pPr>
      <w:r>
        <w:rPr>
          <w:rFonts w:ascii="Times New Roman" w:hAnsi="Times New Roman"/>
          <w:bCs/>
          <w:sz w:val="24"/>
          <w:szCs w:val="24"/>
        </w:rPr>
        <w:t>根据本项目总平布置及除臭区域分布，项目</w:t>
      </w:r>
      <w:r>
        <w:rPr>
          <w:rFonts w:hint="eastAsia" w:ascii="Times New Roman" w:hAnsi="Times New Roman"/>
          <w:bCs/>
          <w:sz w:val="24"/>
          <w:szCs w:val="24"/>
        </w:rPr>
        <w:t>污水处理</w:t>
      </w:r>
      <w:r>
        <w:rPr>
          <w:rFonts w:hint="eastAsia" w:ascii="Times New Roman" w:hAnsi="Times New Roman"/>
          <w:bCs/>
          <w:sz w:val="24"/>
          <w:szCs w:val="24"/>
          <w:lang w:eastAsia="zh-CN"/>
        </w:rPr>
        <w:t>站、异位发酵房、堆肥房安装</w:t>
      </w:r>
      <w:r>
        <w:rPr>
          <w:rFonts w:ascii="Times New Roman" w:hAnsi="Times New Roman"/>
          <w:bCs/>
          <w:sz w:val="24"/>
          <w:szCs w:val="24"/>
        </w:rPr>
        <w:t>1套</w:t>
      </w:r>
      <w:r>
        <w:rPr>
          <w:rFonts w:hint="eastAsia" w:ascii="Times New Roman" w:hAnsi="Times New Roman"/>
          <w:bCs/>
          <w:sz w:val="24"/>
          <w:szCs w:val="24"/>
          <w:lang w:eastAsia="zh-CN"/>
        </w:rPr>
        <w:t>生物除臭系统</w:t>
      </w:r>
      <w:r>
        <w:rPr>
          <w:rFonts w:ascii="Times New Roman" w:hAnsi="Times New Roman"/>
          <w:bCs/>
          <w:sz w:val="24"/>
          <w:szCs w:val="24"/>
        </w:rPr>
        <w:t>。</w:t>
      </w:r>
      <w:r>
        <w:rPr>
          <w:rFonts w:hint="eastAsia" w:ascii="Times New Roman" w:hAnsi="Times New Roman"/>
          <w:bCs/>
          <w:sz w:val="24"/>
          <w:szCs w:val="24"/>
          <w:lang w:val="en-US" w:eastAsia="zh-CN"/>
        </w:rPr>
        <w:t>NH</w:t>
      </w:r>
      <w:r>
        <w:rPr>
          <w:rFonts w:hint="eastAsia" w:ascii="Times New Roman" w:hAnsi="Times New Roman"/>
          <w:bCs/>
          <w:sz w:val="24"/>
          <w:szCs w:val="24"/>
          <w:vertAlign w:val="subscript"/>
          <w:lang w:val="en-US" w:eastAsia="zh-CN"/>
        </w:rPr>
        <w:t>3</w:t>
      </w:r>
      <w:r>
        <w:rPr>
          <w:rFonts w:hint="eastAsia" w:ascii="Times New Roman" w:hAnsi="Times New Roman"/>
          <w:bCs/>
          <w:sz w:val="24"/>
          <w:szCs w:val="24"/>
          <w:lang w:val="en-US" w:eastAsia="zh-CN"/>
        </w:rPr>
        <w:t>、H</w:t>
      </w:r>
      <w:r>
        <w:rPr>
          <w:rFonts w:hint="eastAsia" w:ascii="Times New Roman" w:hAnsi="Times New Roman"/>
          <w:bCs/>
          <w:sz w:val="24"/>
          <w:szCs w:val="24"/>
          <w:vertAlign w:val="subscript"/>
          <w:lang w:val="en-US" w:eastAsia="zh-CN"/>
        </w:rPr>
        <w:t>2</w:t>
      </w:r>
      <w:r>
        <w:rPr>
          <w:rFonts w:hint="eastAsia" w:ascii="Times New Roman" w:hAnsi="Times New Roman"/>
          <w:bCs/>
          <w:sz w:val="24"/>
          <w:szCs w:val="24"/>
          <w:lang w:val="en-US" w:eastAsia="zh-CN"/>
        </w:rPr>
        <w:t>S经风机抽至生物除臭系统处理后通过15m排气筒排放。</w:t>
      </w:r>
    </w:p>
    <w:p>
      <w:pPr>
        <w:adjustRightInd w:val="0"/>
        <w:snapToGrid w:val="0"/>
        <w:spacing w:line="360" w:lineRule="auto"/>
        <w:ind w:firstLine="480" w:firstLineChars="200"/>
        <w:rPr>
          <w:b/>
          <w:color w:val="auto"/>
          <w:sz w:val="24"/>
          <w:szCs w:val="24"/>
        </w:rPr>
      </w:pPr>
      <w:r>
        <w:rPr>
          <w:rFonts w:hint="eastAsia" w:ascii="Times New Roman" w:hAnsi="Times New Roman"/>
          <w:bCs/>
          <w:sz w:val="24"/>
          <w:szCs w:val="24"/>
          <w:lang w:eastAsia="zh-CN"/>
        </w:rPr>
        <w:t>风机</w:t>
      </w:r>
      <w:r>
        <w:rPr>
          <w:rFonts w:ascii="Times New Roman" w:hAnsi="Times New Roman"/>
          <w:bCs/>
          <w:sz w:val="24"/>
          <w:szCs w:val="24"/>
        </w:rPr>
        <w:t>对恶臭气体收集率按98%计，对H</w:t>
      </w:r>
      <w:r>
        <w:rPr>
          <w:rFonts w:ascii="Times New Roman" w:hAnsi="Times New Roman"/>
          <w:bCs/>
          <w:sz w:val="24"/>
          <w:szCs w:val="24"/>
          <w:vertAlign w:val="subscript"/>
        </w:rPr>
        <w:t>2</w:t>
      </w:r>
      <w:r>
        <w:rPr>
          <w:rFonts w:ascii="Times New Roman" w:hAnsi="Times New Roman"/>
          <w:bCs/>
          <w:sz w:val="24"/>
          <w:szCs w:val="24"/>
        </w:rPr>
        <w:t>S、NH</w:t>
      </w:r>
      <w:r>
        <w:rPr>
          <w:rFonts w:ascii="Times New Roman" w:hAnsi="Times New Roman"/>
          <w:bCs/>
          <w:sz w:val="24"/>
          <w:szCs w:val="24"/>
          <w:vertAlign w:val="subscript"/>
        </w:rPr>
        <w:t>3</w:t>
      </w:r>
      <w:r>
        <w:rPr>
          <w:rFonts w:ascii="Times New Roman" w:hAnsi="Times New Roman"/>
          <w:bCs/>
          <w:sz w:val="24"/>
          <w:szCs w:val="24"/>
        </w:rPr>
        <w:t>等恶臭气体的去除率达90%以上。</w:t>
      </w:r>
      <w:r>
        <w:rPr>
          <w:rFonts w:ascii="Times New Roman" w:hAnsi="Times New Roman"/>
          <w:sz w:val="24"/>
          <w:szCs w:val="24"/>
        </w:rPr>
        <w:t>厂界臭气浓度均能够满足《畜禽养殖业污染物排放标准》（GB18596-2001）中的规定值。</w:t>
      </w:r>
    </w:p>
    <w:p>
      <w:pPr>
        <w:adjustRightInd w:val="0"/>
        <w:snapToGrid w:val="0"/>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w:t>
      </w:r>
      <w:r>
        <w:rPr>
          <w:rFonts w:hint="eastAsia" w:ascii="Times New Roman" w:hAnsi="Times New Roman" w:cs="Times New Roman"/>
          <w:b/>
          <w:sz w:val="24"/>
          <w:szCs w:val="24"/>
          <w:lang w:val="en-US" w:eastAsia="zh-CN"/>
        </w:rPr>
        <w:t>4</w:t>
      </w:r>
      <w:r>
        <w:rPr>
          <w:rFonts w:hint="default" w:ascii="Times New Roman" w:hAnsi="Times New Roman" w:cs="Times New Roman"/>
          <w:b/>
          <w:sz w:val="24"/>
          <w:szCs w:val="24"/>
        </w:rPr>
        <w:t>）科学的设计日粮，提高饲料利用率</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猪采食饲料后，饲料在消化道内消化过程中（尤其是后段肠道），因微生物腐败分解而产生臭气；同时没有消化吸收部分在体外被微生物降解，因此提高日粮的消化率、减少干物质（特别是蛋白质）排出量，既减少肠道臭气的产生，又可减少粪便排出后的臭气的产生，这是减少恶臭来源的有效措施。</w:t>
      </w:r>
    </w:p>
    <w:p>
      <w:pPr>
        <w:adjustRightInd w:val="0"/>
        <w:snapToGrid w:val="0"/>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w:t>
      </w:r>
      <w:r>
        <w:rPr>
          <w:rFonts w:hint="eastAsia" w:ascii="Times New Roman" w:hAnsi="Times New Roman" w:cs="Times New Roman"/>
          <w:b/>
          <w:sz w:val="24"/>
          <w:szCs w:val="24"/>
          <w:lang w:val="en-US" w:eastAsia="zh-CN"/>
        </w:rPr>
        <w:t>5</w:t>
      </w:r>
      <w:r>
        <w:rPr>
          <w:rFonts w:hint="default" w:ascii="Times New Roman" w:hAnsi="Times New Roman" w:cs="Times New Roman"/>
          <w:b/>
          <w:sz w:val="24"/>
          <w:szCs w:val="24"/>
        </w:rPr>
        <w:t>）加强绿化</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在厂界四周设置高4～5米的绿化带，可种树2～3排，并加高场区围墙，并种植芳香的木本植物。鉴于养殖行业的特殊性，在树种选择上，不仅要考虑美化效果，还必须考虑在除臭、防火、吸尘、杀菌等方面的作用。</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在办公区、职工生活区有足够的绿化，厂内空地和道路边尽量植树及种植花草形成多层防护层，以最大限度地防止场区牲畜粪便臭味对周围敏感保护目标居民的影响。在防护距离内，增强绿化，组成一道绿色防护屏障，以减少无组织排放对周围环境的影响。</w:t>
      </w:r>
    </w:p>
    <w:p>
      <w:pPr>
        <w:adjustRightInd w:val="0"/>
        <w:snapToGrid w:val="0"/>
        <w:spacing w:line="360" w:lineRule="auto"/>
        <w:ind w:left="420" w:leftChars="200"/>
        <w:rPr>
          <w:rFonts w:hint="default" w:ascii="Times New Roman" w:hAnsi="Times New Roman" w:cs="Times New Roman"/>
          <w:b/>
          <w:sz w:val="24"/>
          <w:szCs w:val="24"/>
        </w:rPr>
      </w:pPr>
      <w:r>
        <w:rPr>
          <w:rFonts w:hint="default" w:ascii="Times New Roman" w:hAnsi="Times New Roman" w:cs="Times New Roman"/>
          <w:b/>
          <w:sz w:val="24"/>
          <w:szCs w:val="24"/>
        </w:rPr>
        <w:t>（</w:t>
      </w:r>
      <w:r>
        <w:rPr>
          <w:rFonts w:hint="eastAsia" w:ascii="Times New Roman" w:hAnsi="Times New Roman" w:cs="Times New Roman"/>
          <w:b/>
          <w:sz w:val="24"/>
          <w:szCs w:val="24"/>
          <w:lang w:val="en-US" w:eastAsia="zh-CN"/>
        </w:rPr>
        <w:t>6</w:t>
      </w:r>
      <w:r>
        <w:rPr>
          <w:rFonts w:hint="default" w:ascii="Times New Roman" w:hAnsi="Times New Roman" w:cs="Times New Roman"/>
          <w:b/>
          <w:sz w:val="24"/>
          <w:szCs w:val="24"/>
        </w:rPr>
        <w:t>）划定卫生防护距离</w:t>
      </w:r>
    </w:p>
    <w:p>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sz w:val="24"/>
          <w:szCs w:val="24"/>
        </w:rPr>
        <w:t>根据《制定地方大气污染物排放标准的技术方法》（GB/T3840-1991），划定本项目卫生防护距离为以圈舍、污水处理设施边界起100m的范围。项</w:t>
      </w:r>
      <w:r>
        <w:rPr>
          <w:rFonts w:hint="default" w:ascii="Times New Roman" w:hAnsi="Times New Roman" w:cs="Times New Roman"/>
          <w:color w:val="000000"/>
          <w:sz w:val="24"/>
          <w:szCs w:val="24"/>
        </w:rPr>
        <w:t>目100m卫生防护距离内住户均已签订房屋租赁合同，将房屋用于本项目员工休息以及库房等使用，确保卫生防护距离内无常住居民。</w:t>
      </w:r>
    </w:p>
    <w:p>
      <w:pPr>
        <w:adjustRightInd w:val="0"/>
        <w:snapToGrid w:val="0"/>
        <w:spacing w:line="360" w:lineRule="auto"/>
        <w:ind w:left="600"/>
        <w:rPr>
          <w:rFonts w:hint="default" w:ascii="Times New Roman" w:hAnsi="Times New Roman" w:cs="Times New Roman"/>
          <w:b/>
          <w:bCs/>
          <w:sz w:val="24"/>
          <w:szCs w:val="24"/>
        </w:rPr>
      </w:pPr>
      <w:r>
        <w:rPr>
          <w:rFonts w:hint="default" w:ascii="Times New Roman" w:hAnsi="Times New Roman" w:cs="Times New Roman"/>
          <w:b/>
          <w:bCs/>
          <w:sz w:val="24"/>
          <w:szCs w:val="24"/>
        </w:rPr>
        <w:t>2、食堂燃料燃烧废气</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根据《畜禽养殖业污染治理工程技术规范》（HJ497-2009）中“厌氧处理产生的沼气须完全利用，不得直接向环境排放。经净化处理后通过输配气系统用于居民生活用气、供热、沼气发电等”的规定。 </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为落实《畜禽养殖业污染防治技术政策》（环发[2010]151号），实现沼气的资源化利用，本项目产生的沼气用于职工热水、食堂炉灶所用燃料，厂区设置沼气罐，使用不完的沼气储存在沼气罐中备用。该治理措施既符合环保要求，又可实现资源化利用，实现经济效益。</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从发酵装置出来的沼气含有饱和水蒸气和H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S，有机物发酵时，由于微生物对蛋白质的分解会产生一定量的H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S气体进入沼气，其浓度范围一般在1~12g/m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，大大超过《人工煤气》（GB13621-92）20mg/m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的规定，若不先进行处理，而是直接作为燃料燃烧，将会对周围环境造成一定危害，直接限制沼气的利用范围。因此，沼气必须进行脱水脱硫。沼气脱水采用离心式气水分离器进行脱水。干法脱硫基本原理即沼气中的硫化氢与活性物质氧化铁接触，生成硫化铁和亚硫化铁，然后含有硫化物的脱硫剂与空气中的氧接触，当有水存在时，铁的硫化物又转化为氧化铁和单体硫，脱硫罐内放入填料，填料层有氧化铁等，气体以低流速从一端经过容器内的填料层，硫化氢氧化成硫或者硫氧化物后，余留在填料层中，净化后气体从容器另一端排出。此方法处理后的沼气含硫满足《人工煤气》（GB13621-92）20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的规定。该方法脱水脱硫工艺结构简单、技术成熟可靠，造价低，能满足项目沼气的脱水脱硫需要。</w:t>
      </w:r>
    </w:p>
    <w:p>
      <w:pPr>
        <w:adjustRightInd w:val="0"/>
        <w:snapToGrid w:val="0"/>
        <w:spacing w:line="360" w:lineRule="auto"/>
        <w:ind w:firstLine="482" w:firstLineChars="200"/>
        <w:rPr>
          <w:rFonts w:hint="default" w:ascii="Times New Roman" w:hAnsi="Times New Roman" w:cs="Times New Roman"/>
          <w:bCs/>
          <w:sz w:val="24"/>
          <w:szCs w:val="24"/>
        </w:rPr>
      </w:pPr>
      <w:r>
        <w:rPr>
          <w:rFonts w:hint="default" w:ascii="Times New Roman" w:hAnsi="Times New Roman" w:cs="Times New Roman"/>
          <w:b/>
          <w:bCs/>
          <w:kern w:val="0"/>
          <w:sz w:val="24"/>
          <w:szCs w:val="24"/>
        </w:rPr>
        <w:t>3、备用发电机烟气</w:t>
      </w:r>
    </w:p>
    <w:p>
      <w:pPr>
        <w:adjustRightInd w:val="0"/>
        <w:snapToGrid w:val="0"/>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根据区域电力供应情况分析，项目备用发电机的使用时间、几率较少，产生烟气量较小，一般柴油发电机都自带烟气净化装置，烟气经处理后能够实现达标排放。</w:t>
      </w:r>
    </w:p>
    <w:p>
      <w:pPr>
        <w:adjustRightInd w:val="0"/>
        <w:snapToGrid w:val="0"/>
        <w:spacing w:line="360" w:lineRule="auto"/>
        <w:ind w:left="60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4、食堂油烟</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本项目配有一个职工食堂，为小型食堂。用餐员工约20人/天，食堂所用能源为自产沼气，属于清洁能源，燃烧后成分为CO</w:t>
      </w:r>
      <w:r>
        <w:rPr>
          <w:rFonts w:hint="default" w:ascii="Times New Roman" w:hAnsi="Times New Roman" w:cs="Times New Roman"/>
          <w:snapToGrid w:val="0"/>
          <w:kern w:val="0"/>
          <w:sz w:val="24"/>
          <w:szCs w:val="24"/>
          <w:vertAlign w:val="subscript"/>
        </w:rPr>
        <w:t>2</w:t>
      </w:r>
      <w:r>
        <w:rPr>
          <w:rFonts w:hint="default" w:ascii="Times New Roman" w:hAnsi="Times New Roman" w:cs="Times New Roman"/>
          <w:snapToGrid w:val="0"/>
          <w:kern w:val="0"/>
          <w:sz w:val="24"/>
          <w:szCs w:val="24"/>
        </w:rPr>
        <w:t>和 H</w:t>
      </w:r>
      <w:r>
        <w:rPr>
          <w:rFonts w:hint="default" w:ascii="Times New Roman" w:hAnsi="Times New Roman" w:cs="Times New Roman"/>
          <w:snapToGrid w:val="0"/>
          <w:kern w:val="0"/>
          <w:sz w:val="24"/>
          <w:szCs w:val="24"/>
          <w:vertAlign w:val="subscript"/>
        </w:rPr>
        <w:t>2</w:t>
      </w:r>
      <w:r>
        <w:rPr>
          <w:rFonts w:hint="default" w:ascii="Times New Roman" w:hAnsi="Times New Roman" w:cs="Times New Roman"/>
          <w:snapToGrid w:val="0"/>
          <w:kern w:val="0"/>
          <w:sz w:val="24"/>
          <w:szCs w:val="24"/>
        </w:rPr>
        <w:t>O。</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食堂设置1台抽油烟机（处理效率60%），油烟经抽油烟机处理后高于屋顶排放，排放浓度约为1.7mg/m</w:t>
      </w:r>
      <w:r>
        <w:rPr>
          <w:rFonts w:hint="default" w:ascii="Times New Roman" w:hAnsi="Times New Roman" w:cs="Times New Roman"/>
          <w:snapToGrid w:val="0"/>
          <w:kern w:val="0"/>
          <w:sz w:val="24"/>
          <w:szCs w:val="24"/>
          <w:vertAlign w:val="superscript"/>
        </w:rPr>
        <w:t>3</w:t>
      </w:r>
      <w:r>
        <w:rPr>
          <w:rFonts w:hint="default" w:ascii="Times New Roman" w:hAnsi="Times New Roman" w:cs="Times New Roman"/>
          <w:snapToGrid w:val="0"/>
          <w:kern w:val="0"/>
          <w:sz w:val="24"/>
          <w:szCs w:val="24"/>
        </w:rPr>
        <w:t>，能达到GB18483-2001《饮食业油烟排放标准》（小型）标准的要求。</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napToGrid w:val="0"/>
          <w:kern w:val="0"/>
          <w:sz w:val="24"/>
          <w:szCs w:val="24"/>
        </w:rPr>
        <w:t>综上，经采取上述措施后，本项目废气均可做到达标排放，所选用污染治理措施均从经济、环境方面综合考虑，具有可行性。</w:t>
      </w:r>
      <w:r>
        <w:rPr>
          <w:rFonts w:hint="default" w:ascii="Times New Roman" w:hAnsi="Times New Roman" w:cs="Times New Roman"/>
          <w:sz w:val="24"/>
          <w:szCs w:val="24"/>
        </w:rPr>
        <w:t>因此，本评价认为，运营期废气污染防治措施经济技术可行。</w:t>
      </w:r>
    </w:p>
    <w:p>
      <w:pPr>
        <w:adjustRightInd w:val="0"/>
        <w:snapToGrid w:val="0"/>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6.2.4噪声污染防治措施分析</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该项目噪声源主要为备用发电机、风机、泵以及猪只叫声等，噪声声级范围60-85dB（A）</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工程采取以下措施来进行：</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①备用发电机采用低噪声设备、发电机房采取建筑隔声等降噪措施，且发电机使用时间较少。</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②水泵加装减振器，进水管道设可曲挠管道橡胶伸缩接头以减小水锤冲击和水泵震动产生的噪声，连接水泵进出口的水管、进出机房隔墙处与运转设备连接的管道均采用减震吊架。</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③风机采用低噪声设备，进出口设软接头，风机进出口风管处安装消声设备，合理布置风机在外墙的分布，远离敏感点。</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④污水处理设施设备选用低噪声设备，并安装减震降噪措施。</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⑤场内对车辆采取限速、禁鸣的要求，可以有效降低车辆运输带来的噪声。</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⑥加强场区内绿化，建立立体隔离绿化带，充分利用建筑物、绿化带阻隔声音传播。</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经过上述治理措施后，本项目厂界噪声均能达到《工业企业厂界环境噪声排放标准》（GB12348-2008）2类标准的要求。项目所采用的噪声防治措施经济技术可行。</w:t>
      </w:r>
    </w:p>
    <w:p>
      <w:pPr>
        <w:adjustRightInd w:val="0"/>
        <w:snapToGrid w:val="0"/>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6.2.5 固废污染防治措施</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本项目固体废物处理处置将遵循环境健康风险预防、安全无害以及固体废物“减量化、资源化、无害化及生态化”的原则，有效的解决集约化养殖场的环境污染问题。达到变废为宝、化害为利、综合利用的目的。</w:t>
      </w:r>
    </w:p>
    <w:p>
      <w:pPr>
        <w:spacing w:line="360" w:lineRule="auto"/>
        <w:ind w:firstLine="480"/>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1、猪粪、污水处理设施栅渣和污泥</w:t>
      </w:r>
    </w:p>
    <w:p>
      <w:pPr>
        <w:adjustRightInd w:val="0"/>
        <w:snapToGrid w:val="0"/>
        <w:spacing w:line="360" w:lineRule="auto"/>
        <w:ind w:firstLine="573"/>
        <w:rPr>
          <w:rFonts w:hint="default" w:ascii="Times New Roman" w:hAnsi="Times New Roman" w:cs="Times New Roman"/>
          <w:sz w:val="24"/>
          <w:szCs w:val="24"/>
        </w:rPr>
      </w:pPr>
      <w:r>
        <w:rPr>
          <w:rFonts w:hint="default" w:ascii="Times New Roman" w:hAnsi="Times New Roman" w:cs="Times New Roman"/>
          <w:sz w:val="24"/>
          <w:szCs w:val="24"/>
        </w:rPr>
        <w:t>项目拟采用干清粪工艺，干湿分离后猪粪与污水处理设施栅渣和污泥一同外售给夹江县果香四季家庭农场用于制作有机肥该。</w:t>
      </w:r>
    </w:p>
    <w:p>
      <w:pPr>
        <w:spacing w:line="360" w:lineRule="auto"/>
        <w:ind w:firstLine="482" w:firstLineChars="200"/>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2、病死猪</w:t>
      </w:r>
    </w:p>
    <w:p>
      <w:pPr>
        <w:pStyle w:val="26"/>
        <w:shd w:val="clear" w:color="auto" w:fill="FFFFFF"/>
        <w:spacing w:line="360" w:lineRule="auto"/>
        <w:ind w:firstLine="480" w:firstLineChars="200"/>
        <w:jc w:val="both"/>
        <w:rPr>
          <w:rFonts w:hint="default" w:ascii="Times New Roman" w:hAnsi="Times New Roman" w:cs="Times New Roman"/>
          <w:bCs/>
          <w:sz w:val="24"/>
          <w:szCs w:val="24"/>
        </w:rPr>
      </w:pPr>
      <w:r>
        <w:rPr>
          <w:rFonts w:hint="default" w:ascii="Times New Roman" w:hAnsi="Times New Roman" w:cs="Times New Roman"/>
          <w:bCs/>
          <w:sz w:val="24"/>
          <w:szCs w:val="24"/>
        </w:rPr>
        <w:t>根据《乐山市农业局关于病死动物无害化处理实施意见》（乐市农函【2017】111号）要求，在乐山市全市集中无害化处理场建设完成之前，委托成都科农动物无害化处置有限公司对全市病死畜禽进行统一收集处理。</w:t>
      </w:r>
    </w:p>
    <w:p>
      <w:pPr>
        <w:pStyle w:val="26"/>
        <w:shd w:val="clear" w:color="auto" w:fill="FFFFFF"/>
        <w:spacing w:line="360" w:lineRule="auto"/>
        <w:ind w:firstLine="480" w:firstLineChars="200"/>
        <w:jc w:val="both"/>
        <w:rPr>
          <w:rFonts w:hint="default" w:ascii="Times New Roman" w:hAnsi="Times New Roman" w:cs="Times New Roman"/>
          <w:bCs/>
          <w:sz w:val="24"/>
          <w:szCs w:val="24"/>
        </w:rPr>
      </w:pPr>
      <w:r>
        <w:rPr>
          <w:rFonts w:hint="default" w:ascii="Times New Roman" w:hAnsi="Times New Roman" w:cs="Times New Roman"/>
          <w:bCs/>
          <w:sz w:val="24"/>
          <w:szCs w:val="24"/>
        </w:rPr>
        <w:t>成都市科农动物无害化处置有限公司成立于2008年9月，位于成都市邛崃水口镇钟山村3组，公司占地40余亩，是全国家民营动物无害化处置公司。年处置能力7.4万余吨。</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该企业将病死猪进行分切、绞碎、高温灭菌后再加入生物菌（耐高温复合益生菌）发酵后制作为有机肥料。</w:t>
      </w:r>
    </w:p>
    <w:p>
      <w:pPr>
        <w:pStyle w:val="26"/>
        <w:shd w:val="clear" w:color="auto" w:fill="FFFFFF"/>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bCs/>
          <w:sz w:val="24"/>
          <w:szCs w:val="24"/>
        </w:rPr>
        <w:t>本项目病死猪尸交由成都市科农动物无害化处置有限公司处理是可行的。</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3、生活办公垃圾</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场区内设置生活垃圾桶内衬塑料袋收集生活垃圾，生活垃圾集中收集后，送至乡镇垃圾收集点，交由当地环卫部门统一清运处理。</w:t>
      </w:r>
    </w:p>
    <w:p>
      <w:pPr>
        <w:adjustRightInd w:val="0"/>
        <w:snapToGrid w:val="0"/>
        <w:spacing w:line="360" w:lineRule="auto"/>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4、废饲料袋</w:t>
      </w:r>
    </w:p>
    <w:p>
      <w:pPr>
        <w:adjustRightInd w:val="0"/>
        <w:snapToGrid w:val="0"/>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项目主要外购新希望集团生产的饲料，袋装后运输至厂区，将产生一定的废包装袋，收集后用于本项目项目粪污处理装袋，若有剩余则由新希望集团回收利用。</w:t>
      </w:r>
      <w:r>
        <w:rPr>
          <w:rFonts w:hint="default" w:ascii="Times New Roman" w:hAnsi="Times New Roman" w:cs="Times New Roman"/>
          <w:sz w:val="24"/>
          <w:szCs w:val="24"/>
        </w:rPr>
        <w:t>废饲料袋综合利用，节约了资源，技术经济可行。</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5、废脱硫剂</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本项目产生的废脱硫剂由生产厂家进行定期更换并回收，不在场内暂存。</w:t>
      </w:r>
    </w:p>
    <w:p>
      <w:pPr>
        <w:spacing w:line="360" w:lineRule="auto"/>
        <w:ind w:left="420" w:leftChars="200"/>
        <w:rPr>
          <w:rFonts w:hint="eastAsia" w:ascii="Times New Roman" w:hAnsi="Times New Roman"/>
          <w:b/>
          <w:sz w:val="24"/>
          <w:szCs w:val="24"/>
        </w:rPr>
      </w:pPr>
      <w:r>
        <w:rPr>
          <w:rFonts w:hint="eastAsia" w:ascii="Times New Roman" w:hAnsi="Times New Roman" w:cs="Times New Roman"/>
          <w:b/>
          <w:sz w:val="24"/>
          <w:szCs w:val="24"/>
          <w:lang w:val="en-US" w:eastAsia="zh-CN"/>
        </w:rPr>
        <w:t>6</w:t>
      </w:r>
      <w:r>
        <w:rPr>
          <w:rFonts w:hint="default" w:ascii="Times New Roman" w:hAnsi="Times New Roman" w:cs="Times New Roman"/>
          <w:b/>
          <w:sz w:val="24"/>
          <w:szCs w:val="24"/>
        </w:rPr>
        <w:t>、</w:t>
      </w:r>
      <w:r>
        <w:rPr>
          <w:rFonts w:hint="eastAsia" w:ascii="Times New Roman" w:hAnsi="Times New Roman"/>
          <w:b/>
          <w:sz w:val="24"/>
          <w:szCs w:val="24"/>
        </w:rPr>
        <w:t>臭气治理系统废弃生物填料</w:t>
      </w:r>
    </w:p>
    <w:p>
      <w:pPr>
        <w:spacing w:line="360" w:lineRule="auto"/>
        <w:ind w:firstLine="480" w:firstLineChars="200"/>
        <w:rPr>
          <w:rFonts w:hint="eastAsia" w:ascii="Times New Roman" w:hAnsi="Times New Roman"/>
          <w:bCs/>
          <w:sz w:val="24"/>
          <w:szCs w:val="24"/>
        </w:rPr>
      </w:pPr>
      <w:r>
        <w:rPr>
          <w:rFonts w:hint="eastAsia" w:ascii="Times New Roman" w:hAnsi="Times New Roman"/>
          <w:bCs/>
          <w:sz w:val="24"/>
          <w:szCs w:val="24"/>
        </w:rPr>
        <w:t>项目生物除臭系统每隔3~5年更换填料，产生的废弃填料主要成分为树皮、珍珠岩、沸石等，该生物系统废弃填料产生量约为0.5t/a。该填料属于一般固废，脱水后经填料生产厂家统一回收。</w:t>
      </w:r>
    </w:p>
    <w:p>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综上，本项目固废均做到了资源化、无害化，从技术经济角度分析，固体废弃物污染防治措施经济技术可行。</w:t>
      </w:r>
    </w:p>
    <w:p>
      <w:pPr>
        <w:spacing w:line="360" w:lineRule="auto"/>
        <w:ind w:firstLine="482" w:firstLineChars="200"/>
        <w:rPr>
          <w:rFonts w:hint="default" w:ascii="Times New Roman" w:hAnsi="Times New Roman" w:cs="Times New Roman"/>
          <w:b/>
          <w:sz w:val="24"/>
          <w:szCs w:val="24"/>
        </w:rPr>
      </w:pPr>
      <w:r>
        <w:rPr>
          <w:rFonts w:hint="eastAsia" w:ascii="Times New Roman" w:hAnsi="Times New Roman" w:cs="Times New Roman"/>
          <w:b/>
          <w:sz w:val="24"/>
          <w:szCs w:val="24"/>
          <w:lang w:val="en-US" w:eastAsia="zh-CN"/>
        </w:rPr>
        <w:t>7</w:t>
      </w:r>
      <w:r>
        <w:rPr>
          <w:rFonts w:hint="default" w:ascii="Times New Roman" w:hAnsi="Times New Roman" w:cs="Times New Roman"/>
          <w:b/>
          <w:sz w:val="24"/>
          <w:szCs w:val="24"/>
        </w:rPr>
        <w:t>、医疗废物（危废，HW01）</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该部分废物包含注射针头以及废药品等。环评要求设立高密度聚乙烯塑料桶（内衬专用塑料袋）对卫生防疫产生的废药品（含器具）进行收集，禁止与生活办公垃圾进行混装，危险废物需定期交由具资质单位处理，并落实联单责任制。</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设置医疗废物暂存间并树立明确的标示牌，在有资质单位运输处置前暂存项目废物。同时应设置危险废物台账，危险废物转运实施转移联单制度。贮存应做到“四防”（防风、防雨、防晒、防渗漏），建议在项目兽医室（产仔舍东面）留一个房间作为项目拟建暂存间。能做到防风、防雨、防晒，同时环评要求地面做到一般防渗区要求，采用水泥混凝土+HDPE土工膜（厚度大于1.5mm）的方式进行。</w:t>
      </w:r>
    </w:p>
    <w:p>
      <w:pPr>
        <w:adjustRightInd w:val="0"/>
        <w:snapToGrid w:val="0"/>
        <w:ind w:firstLine="480" w:firstLineChars="20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表6.2-2  建设项目危险废物贮存场所（设施）基本情况表</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9"/>
        <w:gridCol w:w="1247"/>
        <w:gridCol w:w="740"/>
        <w:gridCol w:w="798"/>
        <w:gridCol w:w="1329"/>
        <w:gridCol w:w="799"/>
        <w:gridCol w:w="747"/>
        <w:gridCol w:w="1822"/>
        <w:gridCol w:w="911"/>
        <w:gridCol w:w="7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64" w:hRule="atLeast"/>
          <w:jc w:val="center"/>
        </w:trPr>
        <w:tc>
          <w:tcPr>
            <w:tcW w:w="559"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序号</w:t>
            </w:r>
          </w:p>
        </w:tc>
        <w:tc>
          <w:tcPr>
            <w:tcW w:w="1247"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贮存场所（设施）</w:t>
            </w:r>
          </w:p>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名称</w:t>
            </w:r>
          </w:p>
        </w:tc>
        <w:tc>
          <w:tcPr>
            <w:tcW w:w="740"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危险废物名称</w:t>
            </w:r>
          </w:p>
        </w:tc>
        <w:tc>
          <w:tcPr>
            <w:tcW w:w="798"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危险废物类别</w:t>
            </w:r>
          </w:p>
        </w:tc>
        <w:tc>
          <w:tcPr>
            <w:tcW w:w="1329"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危险废物代码</w:t>
            </w:r>
          </w:p>
        </w:tc>
        <w:tc>
          <w:tcPr>
            <w:tcW w:w="799"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位置</w:t>
            </w:r>
          </w:p>
        </w:tc>
        <w:tc>
          <w:tcPr>
            <w:tcW w:w="747"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占地面积</w:t>
            </w:r>
          </w:p>
        </w:tc>
        <w:tc>
          <w:tcPr>
            <w:tcW w:w="1822"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贮存方式</w:t>
            </w:r>
          </w:p>
        </w:tc>
        <w:tc>
          <w:tcPr>
            <w:tcW w:w="911"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贮存</w:t>
            </w:r>
          </w:p>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能力</w:t>
            </w:r>
          </w:p>
        </w:tc>
        <w:tc>
          <w:tcPr>
            <w:tcW w:w="760" w:type="dxa"/>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贮存</w:t>
            </w:r>
          </w:p>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周期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0" w:hRule="atLeast"/>
          <w:jc w:val="center"/>
        </w:trPr>
        <w:tc>
          <w:tcPr>
            <w:tcW w:w="559" w:type="dxa"/>
            <w:vMerge w:val="restart"/>
            <w:vAlign w:val="center"/>
          </w:tcPr>
          <w:p>
            <w:pPr>
              <w:topLinePunct/>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1247" w:type="dxa"/>
            <w:vMerge w:val="restart"/>
            <w:vAlign w:val="center"/>
          </w:tcPr>
          <w:p>
            <w:pPr>
              <w:topLinePunct/>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医疗废物暂存间</w:t>
            </w:r>
          </w:p>
        </w:tc>
        <w:tc>
          <w:tcPr>
            <w:tcW w:w="740" w:type="dxa"/>
            <w:vMerge w:val="restart"/>
            <w:vAlign w:val="center"/>
          </w:tcPr>
          <w:p>
            <w:pPr>
              <w:topLinePunct/>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szCs w:val="21"/>
              </w:rPr>
              <w:t>医疗废物</w:t>
            </w:r>
          </w:p>
        </w:tc>
        <w:tc>
          <w:tcPr>
            <w:tcW w:w="798" w:type="dxa"/>
            <w:vMerge w:val="restart"/>
            <w:vAlign w:val="center"/>
          </w:tcPr>
          <w:p>
            <w:pPr>
              <w:topLinePunct/>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HW01医疗废物</w:t>
            </w:r>
          </w:p>
        </w:tc>
        <w:tc>
          <w:tcPr>
            <w:tcW w:w="1329" w:type="dxa"/>
            <w:tcBorders>
              <w:bottom w:val="single" w:color="auto" w:sz="2" w:space="0"/>
            </w:tcBorders>
            <w:vAlign w:val="center"/>
          </w:tcPr>
          <w:p>
            <w:pPr>
              <w:topLinePunct/>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831-002-01</w:t>
            </w:r>
          </w:p>
          <w:p>
            <w:pPr>
              <w:topLinePunct/>
              <w:adjustRightInd w:val="0"/>
              <w:snapToGrid w:val="0"/>
              <w:jc w:val="center"/>
              <w:rPr>
                <w:rFonts w:hint="default" w:ascii="Times New Roman" w:hAnsi="Times New Roman" w:cs="Times New Roman"/>
                <w:color w:val="000000"/>
                <w:kern w:val="0"/>
                <w:szCs w:val="21"/>
              </w:rPr>
            </w:pPr>
          </w:p>
        </w:tc>
        <w:tc>
          <w:tcPr>
            <w:tcW w:w="799" w:type="dxa"/>
            <w:vMerge w:val="restart"/>
            <w:vAlign w:val="center"/>
          </w:tcPr>
          <w:p>
            <w:pPr>
              <w:topLinePunct/>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办公区内</w:t>
            </w:r>
          </w:p>
        </w:tc>
        <w:tc>
          <w:tcPr>
            <w:tcW w:w="747" w:type="dxa"/>
            <w:vMerge w:val="restart"/>
            <w:vAlign w:val="center"/>
          </w:tcPr>
          <w:p>
            <w:pPr>
              <w:topLinePunct/>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5m</w:t>
            </w:r>
            <w:r>
              <w:rPr>
                <w:rFonts w:hint="default" w:ascii="Times New Roman" w:hAnsi="Times New Roman" w:cs="Times New Roman"/>
                <w:color w:val="000000"/>
                <w:kern w:val="0"/>
                <w:szCs w:val="21"/>
                <w:vertAlign w:val="superscript"/>
              </w:rPr>
              <w:t>2</w:t>
            </w:r>
          </w:p>
        </w:tc>
        <w:tc>
          <w:tcPr>
            <w:tcW w:w="1822" w:type="dxa"/>
            <w:vMerge w:val="restart"/>
            <w:vAlign w:val="center"/>
          </w:tcPr>
          <w:p>
            <w:pPr>
              <w:topLinePunct/>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针头等锐器采用防漏、防刺的专用锐器容器，其余采用专用废物袋</w:t>
            </w:r>
          </w:p>
        </w:tc>
        <w:tc>
          <w:tcPr>
            <w:tcW w:w="911" w:type="dxa"/>
            <w:vMerge w:val="restart"/>
            <w:vAlign w:val="center"/>
          </w:tcPr>
          <w:p>
            <w:pPr>
              <w:topLinePunct/>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100kg</w:t>
            </w:r>
          </w:p>
        </w:tc>
        <w:tc>
          <w:tcPr>
            <w:tcW w:w="760" w:type="dxa"/>
            <w:vMerge w:val="restart"/>
            <w:vAlign w:val="center"/>
          </w:tcPr>
          <w:p>
            <w:pPr>
              <w:topLinePunct/>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1个月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92" w:hRule="atLeast"/>
          <w:jc w:val="center"/>
        </w:trPr>
        <w:tc>
          <w:tcPr>
            <w:tcW w:w="559" w:type="dxa"/>
            <w:vMerge w:val="continue"/>
            <w:vAlign w:val="center"/>
          </w:tcPr>
          <w:p>
            <w:pPr>
              <w:topLinePunct/>
              <w:adjustRightInd w:val="0"/>
              <w:snapToGrid w:val="0"/>
              <w:jc w:val="center"/>
              <w:rPr>
                <w:rFonts w:hint="default" w:ascii="Times New Roman" w:hAnsi="Times New Roman" w:cs="Times New Roman"/>
                <w:kern w:val="0"/>
                <w:szCs w:val="21"/>
              </w:rPr>
            </w:pPr>
          </w:p>
        </w:tc>
        <w:tc>
          <w:tcPr>
            <w:tcW w:w="1247" w:type="dxa"/>
            <w:vMerge w:val="continue"/>
            <w:vAlign w:val="center"/>
          </w:tcPr>
          <w:p>
            <w:pPr>
              <w:topLinePunct/>
              <w:adjustRightInd w:val="0"/>
              <w:snapToGrid w:val="0"/>
              <w:jc w:val="center"/>
              <w:rPr>
                <w:rFonts w:hint="default" w:ascii="Times New Roman" w:hAnsi="Times New Roman" w:cs="Times New Roman"/>
                <w:color w:val="000000"/>
                <w:kern w:val="0"/>
                <w:szCs w:val="21"/>
              </w:rPr>
            </w:pPr>
          </w:p>
        </w:tc>
        <w:tc>
          <w:tcPr>
            <w:tcW w:w="740" w:type="dxa"/>
            <w:vMerge w:val="continue"/>
            <w:vAlign w:val="center"/>
          </w:tcPr>
          <w:p>
            <w:pPr>
              <w:topLinePunct/>
              <w:adjustRightInd w:val="0"/>
              <w:snapToGrid w:val="0"/>
              <w:jc w:val="center"/>
              <w:rPr>
                <w:rFonts w:hint="default" w:ascii="Times New Roman" w:hAnsi="Times New Roman" w:cs="Times New Roman"/>
                <w:color w:val="000000"/>
                <w:szCs w:val="21"/>
              </w:rPr>
            </w:pPr>
          </w:p>
        </w:tc>
        <w:tc>
          <w:tcPr>
            <w:tcW w:w="798" w:type="dxa"/>
            <w:vMerge w:val="continue"/>
            <w:vAlign w:val="center"/>
          </w:tcPr>
          <w:p>
            <w:pPr>
              <w:topLinePunct/>
              <w:adjustRightInd w:val="0"/>
              <w:snapToGrid w:val="0"/>
              <w:jc w:val="center"/>
              <w:rPr>
                <w:rFonts w:hint="default" w:ascii="Times New Roman" w:hAnsi="Times New Roman" w:cs="Times New Roman"/>
                <w:color w:val="000000"/>
                <w:kern w:val="0"/>
                <w:szCs w:val="21"/>
              </w:rPr>
            </w:pPr>
          </w:p>
        </w:tc>
        <w:tc>
          <w:tcPr>
            <w:tcW w:w="1329" w:type="dxa"/>
            <w:tcBorders>
              <w:top w:val="single" w:color="auto" w:sz="2" w:space="0"/>
            </w:tcBorders>
            <w:vAlign w:val="center"/>
          </w:tcPr>
          <w:p>
            <w:pPr>
              <w:topLinePunct/>
              <w:adjustRightInd w:val="0"/>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831-002-01</w:t>
            </w:r>
          </w:p>
        </w:tc>
        <w:tc>
          <w:tcPr>
            <w:tcW w:w="799" w:type="dxa"/>
            <w:vMerge w:val="continue"/>
            <w:vAlign w:val="center"/>
          </w:tcPr>
          <w:p>
            <w:pPr>
              <w:topLinePunct/>
              <w:adjustRightInd w:val="0"/>
              <w:snapToGrid w:val="0"/>
              <w:jc w:val="center"/>
              <w:rPr>
                <w:rFonts w:hint="default" w:ascii="Times New Roman" w:hAnsi="Times New Roman" w:cs="Times New Roman"/>
                <w:color w:val="000000"/>
                <w:kern w:val="0"/>
                <w:szCs w:val="21"/>
              </w:rPr>
            </w:pPr>
          </w:p>
        </w:tc>
        <w:tc>
          <w:tcPr>
            <w:tcW w:w="747" w:type="dxa"/>
            <w:vMerge w:val="continue"/>
            <w:vAlign w:val="center"/>
          </w:tcPr>
          <w:p>
            <w:pPr>
              <w:topLinePunct/>
              <w:adjustRightInd w:val="0"/>
              <w:snapToGrid w:val="0"/>
              <w:jc w:val="center"/>
              <w:rPr>
                <w:rFonts w:hint="default" w:ascii="Times New Roman" w:hAnsi="Times New Roman" w:cs="Times New Roman"/>
                <w:color w:val="000000"/>
                <w:kern w:val="0"/>
                <w:szCs w:val="21"/>
              </w:rPr>
            </w:pPr>
          </w:p>
        </w:tc>
        <w:tc>
          <w:tcPr>
            <w:tcW w:w="1822" w:type="dxa"/>
            <w:vMerge w:val="continue"/>
            <w:vAlign w:val="center"/>
          </w:tcPr>
          <w:p>
            <w:pPr>
              <w:topLinePunct/>
              <w:adjustRightInd w:val="0"/>
              <w:snapToGrid w:val="0"/>
              <w:jc w:val="center"/>
              <w:rPr>
                <w:rFonts w:hint="default" w:ascii="Times New Roman" w:hAnsi="Times New Roman" w:cs="Times New Roman"/>
                <w:color w:val="000000"/>
                <w:kern w:val="0"/>
                <w:szCs w:val="21"/>
              </w:rPr>
            </w:pPr>
          </w:p>
        </w:tc>
        <w:tc>
          <w:tcPr>
            <w:tcW w:w="911" w:type="dxa"/>
            <w:vMerge w:val="continue"/>
            <w:vAlign w:val="center"/>
          </w:tcPr>
          <w:p>
            <w:pPr>
              <w:topLinePunct/>
              <w:adjustRightInd w:val="0"/>
              <w:snapToGrid w:val="0"/>
              <w:jc w:val="center"/>
              <w:rPr>
                <w:rFonts w:hint="default" w:ascii="Times New Roman" w:hAnsi="Times New Roman" w:cs="Times New Roman"/>
                <w:color w:val="000000"/>
                <w:kern w:val="0"/>
                <w:szCs w:val="21"/>
              </w:rPr>
            </w:pPr>
          </w:p>
        </w:tc>
        <w:tc>
          <w:tcPr>
            <w:tcW w:w="760" w:type="dxa"/>
            <w:vMerge w:val="continue"/>
            <w:vAlign w:val="center"/>
          </w:tcPr>
          <w:p>
            <w:pPr>
              <w:topLinePunct/>
              <w:adjustRightInd w:val="0"/>
              <w:snapToGrid w:val="0"/>
              <w:jc w:val="center"/>
              <w:rPr>
                <w:rFonts w:hint="default" w:ascii="Times New Roman" w:hAnsi="Times New Roman" w:cs="Times New Roman"/>
                <w:color w:val="000000"/>
                <w:kern w:val="0"/>
                <w:szCs w:val="21"/>
              </w:rPr>
            </w:pPr>
          </w:p>
        </w:tc>
      </w:tr>
    </w:tbl>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医疗废物属于危险废物，上述处理措施技术经济可行。</w:t>
      </w:r>
    </w:p>
    <w:p>
      <w:pPr>
        <w:adjustRightInd w:val="0"/>
        <w:snapToGrid w:val="0"/>
        <w:spacing w:line="360" w:lineRule="auto"/>
        <w:ind w:firstLine="482" w:firstLineChars="200"/>
        <w:outlineLvl w:val="2"/>
        <w:rPr>
          <w:rFonts w:hint="default" w:ascii="Times New Roman" w:hAnsi="Times New Roman" w:cs="Times New Roman"/>
          <w:b/>
          <w:sz w:val="24"/>
          <w:szCs w:val="24"/>
        </w:rPr>
      </w:pPr>
      <w:r>
        <w:rPr>
          <w:rFonts w:hint="default" w:ascii="Times New Roman" w:hAnsi="Times New Roman" w:cs="Times New Roman"/>
          <w:b/>
          <w:sz w:val="24"/>
          <w:szCs w:val="24"/>
        </w:rPr>
        <w:t>6.2.6  绿化</w:t>
      </w:r>
      <w:r>
        <w:rPr>
          <w:rFonts w:hint="default" w:ascii="Times New Roman" w:hAnsi="Times New Roman" w:cs="Times New Roman"/>
          <w:b/>
          <w:sz w:val="24"/>
          <w:szCs w:val="24"/>
        </w:rPr>
        <w:tab/>
      </w:r>
    </w:p>
    <w:p>
      <w:pPr>
        <w:pStyle w:val="16"/>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6.2.6.1原则要求</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（1）在规划设计前要对猪场的自然条件、生产性质、规模、污染状况等进行充分的调查。要从保护环境的观点出发，合理规划。合理地设置猪场饲养猪的类型、头数，从而优化猪场本身的生态条件。 </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（2）猪场的绿化规划是总体规划的有机组成部分，要在猪场建设总规划的同时进行绿化规划。要本着统一安排、统一布局的原则进行，规划时既要有长远考虑，又要有近期安排，要与全场的建设协调一致。</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（3）绿化规划设计布局要合理，以保证安全生产。绿化时不能影响地下、地上管线和各建筑物的采光。</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rPr>
        <w:t>（4）在进行绿化苗木选择时要考虑各功能区特点、地形、土质特点、环境污染等情况。为了达到良好的绿化美化效果，树种的选择，除考虑其满足绿化设计功能、易生长、抗病害等因素外，还要考虑其具有较强的抗污染和净化空气的功能。在满足各项功能要求的前提下，还可适当结合猪场生产，种植一些经济植物，以充分合理</w:t>
      </w:r>
      <w:r>
        <w:rPr>
          <w:rFonts w:hint="default" w:ascii="Times New Roman" w:hAnsi="Times New Roman" w:cs="Times New Roman"/>
          <w:color w:val="auto"/>
        </w:rPr>
        <w:t>地利用土地，提高整场的经济效益。</w:t>
      </w:r>
    </w:p>
    <w:p>
      <w:pPr>
        <w:pStyle w:val="16"/>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6.2.6.2绿化措施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（1）场区林带的规划：在场界周边种植乔木、灌木混合林带或规划种植水果类植物带。乔木类的有大叶杨、钻天杨、白杨、柳树、洋槐、国槐、泡桐、榆树及常绿针叶树等。</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场区隔离带的设计：场内各区，如养殖区、生活区及行政管理区的四周，都应设置隔离林带，采用绿篱植物小叶杨树、松树、榆树、丁香、榆叶等，或以栽种刺笆为主。刺笆可选陈刺、黄刺梅、红玫瑰、野蔷薇、花椒等，以起到防疫、隔离、安全等作用。</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（3）场区道路绿化：宜采用乔木为主，乔、灌木搭配种植。如选种塔柏、冬青、侧柏等四季常青树种，并配置小叶女贞组成绿化带。</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（4）对于养殖区内的猪舍，不宜在其四周密植成片的树林，而应多种植低矮的花卉或草坪，以利于通风，便于有害气体扩散。</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行政管理区和生活区：该区是与外界社会接触和员工生活休息的主要区域。该区的环境绿化可以适当进行园林式的规划，提升企业的形象和优美员工的生活环境。为了丰富色彩，宜种植容易繁殖、栽培和管理的花卉灌木为主。</w:t>
      </w:r>
    </w:p>
    <w:p>
      <w:pPr>
        <w:pStyle w:val="4"/>
        <w:spacing w:before="0" w:after="0" w:line="360" w:lineRule="auto"/>
        <w:rPr>
          <w:rFonts w:hint="default" w:ascii="Times New Roman" w:hAnsi="Times New Roman" w:cs="Times New Roman"/>
          <w:sz w:val="28"/>
          <w:szCs w:val="28"/>
        </w:rPr>
      </w:pPr>
      <w:bookmarkStart w:id="360" w:name="_Toc26234"/>
      <w:bookmarkStart w:id="361" w:name="_Toc29072"/>
      <w:r>
        <w:rPr>
          <w:rFonts w:hint="default" w:ascii="Times New Roman" w:hAnsi="Times New Roman" w:cs="Times New Roman"/>
          <w:sz w:val="28"/>
          <w:szCs w:val="28"/>
        </w:rPr>
        <w:t>6.3 污染防治环保投资估算</w:t>
      </w:r>
      <w:bookmarkEnd w:id="360"/>
      <w:bookmarkEnd w:id="361"/>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项目总投资为4800万元，工程污染防治措施投资包括施工期和运行期的污染防治措施的总投资，预计环保投资为168.5万元，占总投资的比例为3.51％。具体见表6.3-1。</w:t>
      </w:r>
    </w:p>
    <w:p>
      <w:pPr>
        <w:adjustRightInd w:val="0"/>
        <w:snapToGrid w:val="0"/>
        <w:ind w:firstLine="480" w:firstLineChars="20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表6.3-1   工程污染防治投资估算表          单位：（万元）</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95"/>
        <w:gridCol w:w="1589"/>
        <w:gridCol w:w="5479"/>
        <w:gridCol w:w="1310"/>
        <w:gridCol w:w="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24" w:type="dxa"/>
            <w:gridSpan w:val="2"/>
            <w:vAlign w:val="center"/>
          </w:tcPr>
          <w:p>
            <w:pPr>
              <w:jc w:val="center"/>
              <w:rPr>
                <w:rFonts w:hint="default" w:ascii="Times New Roman" w:hAnsi="Times New Roman" w:cs="Times New Roman"/>
                <w:b/>
                <w:szCs w:val="21"/>
              </w:rPr>
            </w:pPr>
            <w:r>
              <w:rPr>
                <w:rFonts w:hint="default" w:ascii="Times New Roman" w:hAnsi="Times New Roman" w:cs="Times New Roman"/>
                <w:b/>
                <w:szCs w:val="21"/>
              </w:rPr>
              <w:t>项目</w:t>
            </w:r>
          </w:p>
        </w:tc>
        <w:tc>
          <w:tcPr>
            <w:tcW w:w="1589" w:type="dxa"/>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内容</w:t>
            </w:r>
          </w:p>
        </w:tc>
        <w:tc>
          <w:tcPr>
            <w:tcW w:w="5479" w:type="dxa"/>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污染防治措施</w:t>
            </w:r>
          </w:p>
        </w:tc>
        <w:tc>
          <w:tcPr>
            <w:tcW w:w="1320" w:type="dxa"/>
            <w:gridSpan w:val="2"/>
            <w:vAlign w:val="center"/>
          </w:tcPr>
          <w:p>
            <w:pPr>
              <w:jc w:val="center"/>
              <w:rPr>
                <w:rFonts w:hint="default" w:ascii="Times New Roman" w:hAnsi="Times New Roman" w:cs="Times New Roman"/>
                <w:b/>
                <w:szCs w:val="21"/>
              </w:rPr>
            </w:pPr>
            <w:r>
              <w:rPr>
                <w:rFonts w:hint="default" w:ascii="Times New Roman" w:hAnsi="Times New Roman" w:cs="Times New Roman"/>
                <w:b/>
                <w:szCs w:val="21"/>
              </w:rPr>
              <w:t>环保投资</w:t>
            </w:r>
          </w:p>
          <w:p>
            <w:pPr>
              <w:jc w:val="center"/>
              <w:rPr>
                <w:rFonts w:hint="default" w:ascii="Times New Roman" w:hAnsi="Times New Roman" w:cs="Times New Roman"/>
                <w:b/>
                <w:szCs w:val="21"/>
              </w:rPr>
            </w:pPr>
            <w:r>
              <w:rPr>
                <w:rFonts w:hint="default" w:ascii="Times New Roman" w:hAnsi="Times New Roman" w:cs="Times New Roman"/>
                <w:b/>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施工期</w:t>
            </w:r>
          </w:p>
        </w:tc>
        <w:tc>
          <w:tcPr>
            <w:tcW w:w="8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废气</w:t>
            </w:r>
          </w:p>
        </w:tc>
        <w:tc>
          <w:tcPr>
            <w:tcW w:w="1589" w:type="dxa"/>
            <w:vAlign w:val="center"/>
          </w:tcPr>
          <w:p>
            <w:pPr>
              <w:spacing w:beforeLines="10" w:afterLines="10"/>
              <w:jc w:val="center"/>
              <w:rPr>
                <w:rFonts w:hint="default" w:ascii="Times New Roman" w:hAnsi="Times New Roman" w:cs="Times New Roman"/>
                <w:b/>
                <w:szCs w:val="21"/>
              </w:rPr>
            </w:pPr>
            <w:r>
              <w:rPr>
                <w:rFonts w:hint="default" w:ascii="Times New Roman" w:hAnsi="Times New Roman" w:cs="Times New Roman"/>
                <w:szCs w:val="21"/>
              </w:rPr>
              <w:t>扬尘</w:t>
            </w:r>
          </w:p>
        </w:tc>
        <w:tc>
          <w:tcPr>
            <w:tcW w:w="5479" w:type="dxa"/>
            <w:vAlign w:val="center"/>
          </w:tcPr>
          <w:p>
            <w:pPr>
              <w:spacing w:beforeLines="10" w:afterLines="10"/>
              <w:jc w:val="center"/>
              <w:rPr>
                <w:rFonts w:hint="default" w:ascii="Times New Roman" w:hAnsi="Times New Roman" w:cs="Times New Roman"/>
                <w:b/>
                <w:szCs w:val="21"/>
              </w:rPr>
            </w:pPr>
            <w:r>
              <w:rPr>
                <w:rFonts w:hint="default" w:ascii="Times New Roman" w:hAnsi="Times New Roman" w:cs="Times New Roman"/>
                <w:szCs w:val="21"/>
              </w:rPr>
              <w:t>设置施工围挡，洒水降尘、料场设蓬、运输加盖篷布、出场汽车轮胎清洗等抑尘措施</w:t>
            </w:r>
          </w:p>
        </w:tc>
        <w:tc>
          <w:tcPr>
            <w:tcW w:w="1320"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b/>
                <w:szCs w:val="21"/>
              </w:rPr>
            </w:pPr>
          </w:p>
        </w:tc>
        <w:tc>
          <w:tcPr>
            <w:tcW w:w="8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废水</w:t>
            </w:r>
          </w:p>
        </w:tc>
        <w:tc>
          <w:tcPr>
            <w:tcW w:w="1589" w:type="dxa"/>
            <w:vAlign w:val="center"/>
          </w:tcPr>
          <w:p>
            <w:pPr>
              <w:jc w:val="center"/>
              <w:rPr>
                <w:rFonts w:hint="default" w:ascii="Times New Roman" w:hAnsi="Times New Roman" w:cs="Times New Roman"/>
                <w:snapToGrid w:val="0"/>
                <w:szCs w:val="21"/>
              </w:rPr>
            </w:pPr>
            <w:r>
              <w:rPr>
                <w:rFonts w:hint="default" w:ascii="Times New Roman" w:hAnsi="Times New Roman" w:cs="Times New Roman"/>
                <w:snapToGrid w:val="0"/>
                <w:szCs w:val="21"/>
              </w:rPr>
              <w:t>施工废水</w:t>
            </w:r>
          </w:p>
          <w:p>
            <w:pPr>
              <w:jc w:val="center"/>
              <w:rPr>
                <w:rFonts w:hint="default" w:ascii="Times New Roman" w:hAnsi="Times New Roman" w:cs="Times New Roman"/>
                <w:snapToGrid w:val="0"/>
                <w:szCs w:val="21"/>
              </w:rPr>
            </w:pPr>
            <w:r>
              <w:rPr>
                <w:rFonts w:hint="default" w:ascii="Times New Roman" w:hAnsi="Times New Roman" w:cs="Times New Roman"/>
                <w:snapToGrid w:val="0"/>
                <w:szCs w:val="21"/>
              </w:rPr>
              <w:t>生活污水</w:t>
            </w:r>
          </w:p>
        </w:tc>
        <w:tc>
          <w:tcPr>
            <w:tcW w:w="5479" w:type="dxa"/>
            <w:vAlign w:val="center"/>
          </w:tcPr>
          <w:p>
            <w:pPr>
              <w:spacing w:beforeLines="10" w:afterLines="10"/>
              <w:jc w:val="left"/>
              <w:rPr>
                <w:rFonts w:hint="default" w:ascii="Times New Roman" w:hAnsi="Times New Roman" w:cs="Times New Roman"/>
                <w:snapToGrid w:val="0"/>
                <w:szCs w:val="21"/>
              </w:rPr>
            </w:pPr>
            <w:r>
              <w:rPr>
                <w:rFonts w:hint="default" w:ascii="Times New Roman" w:hAnsi="Times New Roman" w:cs="Times New Roman"/>
                <w:szCs w:val="21"/>
              </w:rPr>
              <w:t>施工废水经简易沉淀池处理后，循环使用，不外排；生活污水经化粪池收集处理后用于农田施肥。</w:t>
            </w:r>
          </w:p>
        </w:tc>
        <w:tc>
          <w:tcPr>
            <w:tcW w:w="1320" w:type="dxa"/>
            <w:gridSpan w:val="2"/>
            <w:tcBorders>
              <w:bottom w:val="single" w:color="auto" w:sz="4"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b/>
                <w:szCs w:val="21"/>
              </w:rPr>
            </w:pPr>
          </w:p>
        </w:tc>
        <w:tc>
          <w:tcPr>
            <w:tcW w:w="8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噪声</w:t>
            </w:r>
          </w:p>
        </w:tc>
        <w:tc>
          <w:tcPr>
            <w:tcW w:w="1589" w:type="dxa"/>
            <w:vAlign w:val="center"/>
          </w:tcPr>
          <w:p>
            <w:pPr>
              <w:jc w:val="center"/>
              <w:rPr>
                <w:rFonts w:hint="default" w:ascii="Times New Roman" w:hAnsi="Times New Roman" w:cs="Times New Roman"/>
                <w:b/>
                <w:szCs w:val="21"/>
              </w:rPr>
            </w:pPr>
            <w:r>
              <w:rPr>
                <w:rFonts w:hint="default" w:ascii="Times New Roman" w:hAnsi="Times New Roman" w:cs="Times New Roman"/>
                <w:snapToGrid w:val="0"/>
                <w:szCs w:val="21"/>
              </w:rPr>
              <w:t>施工噪声</w:t>
            </w:r>
          </w:p>
        </w:tc>
        <w:tc>
          <w:tcPr>
            <w:tcW w:w="5479" w:type="dxa"/>
            <w:vAlign w:val="center"/>
          </w:tcPr>
          <w:p>
            <w:pPr>
              <w:spacing w:beforeLines="10" w:afterLines="10"/>
              <w:jc w:val="center"/>
              <w:rPr>
                <w:rFonts w:hint="default" w:ascii="Times New Roman" w:hAnsi="Times New Roman" w:cs="Times New Roman"/>
                <w:b/>
                <w:szCs w:val="21"/>
              </w:rPr>
            </w:pPr>
            <w:r>
              <w:rPr>
                <w:rFonts w:hint="default" w:ascii="Times New Roman" w:hAnsi="Times New Roman" w:cs="Times New Roman"/>
                <w:szCs w:val="21"/>
              </w:rPr>
              <w:t>合理安排施工时间、设置临时围挡，合理施工平面布局</w:t>
            </w:r>
          </w:p>
        </w:tc>
        <w:tc>
          <w:tcPr>
            <w:tcW w:w="1320"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b/>
                <w:szCs w:val="21"/>
              </w:rPr>
            </w:pPr>
          </w:p>
        </w:tc>
        <w:tc>
          <w:tcPr>
            <w:tcW w:w="89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固废</w:t>
            </w:r>
          </w:p>
        </w:tc>
        <w:tc>
          <w:tcPr>
            <w:tcW w:w="1589" w:type="dxa"/>
            <w:vAlign w:val="center"/>
          </w:tcPr>
          <w:p>
            <w:pPr>
              <w:snapToGrid w:val="0"/>
              <w:jc w:val="center"/>
              <w:rPr>
                <w:rFonts w:hint="default" w:ascii="Times New Roman" w:hAnsi="Times New Roman" w:cs="Times New Roman"/>
                <w:snapToGrid w:val="0"/>
                <w:szCs w:val="21"/>
              </w:rPr>
            </w:pPr>
            <w:r>
              <w:rPr>
                <w:rFonts w:hint="default" w:ascii="Times New Roman" w:hAnsi="Times New Roman" w:cs="Times New Roman"/>
                <w:snapToGrid w:val="0"/>
                <w:szCs w:val="21"/>
              </w:rPr>
              <w:t>建筑弃渣</w:t>
            </w:r>
          </w:p>
          <w:p>
            <w:pPr>
              <w:jc w:val="center"/>
              <w:rPr>
                <w:rFonts w:hint="default" w:ascii="Times New Roman" w:hAnsi="Times New Roman" w:cs="Times New Roman"/>
                <w:b/>
                <w:szCs w:val="21"/>
              </w:rPr>
            </w:pPr>
            <w:r>
              <w:rPr>
                <w:rFonts w:hint="default" w:ascii="Times New Roman" w:hAnsi="Times New Roman" w:cs="Times New Roman"/>
                <w:snapToGrid w:val="0"/>
                <w:szCs w:val="21"/>
              </w:rPr>
              <w:t>生活垃圾</w:t>
            </w:r>
          </w:p>
        </w:tc>
        <w:tc>
          <w:tcPr>
            <w:tcW w:w="5479" w:type="dxa"/>
            <w:vAlign w:val="center"/>
          </w:tcPr>
          <w:p>
            <w:pPr>
              <w:spacing w:beforeLines="10" w:afterLines="10"/>
              <w:jc w:val="center"/>
              <w:rPr>
                <w:rFonts w:hint="default" w:ascii="Times New Roman" w:hAnsi="Times New Roman" w:cs="Times New Roman"/>
                <w:b/>
                <w:szCs w:val="21"/>
              </w:rPr>
            </w:pPr>
            <w:r>
              <w:rPr>
                <w:rFonts w:hint="default" w:ascii="Times New Roman" w:hAnsi="Times New Roman" w:cs="Times New Roman"/>
                <w:szCs w:val="21"/>
              </w:rPr>
              <w:t>弃土渣全部场地内回填及场地平整，无外运弃土；生活垃圾送至</w:t>
            </w:r>
            <w:r>
              <w:rPr>
                <w:rFonts w:hint="default" w:ascii="Times New Roman" w:hAnsi="Times New Roman" w:cs="Times New Roman"/>
                <w:kern w:val="0"/>
                <w:szCs w:val="21"/>
              </w:rPr>
              <w:t>乡镇垃圾收集点，交由当地环卫部门统一清运处理；建筑垃圾送入政府指定地点堆放。</w:t>
            </w:r>
          </w:p>
        </w:tc>
        <w:tc>
          <w:tcPr>
            <w:tcW w:w="1320"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restar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营运期</w:t>
            </w:r>
          </w:p>
        </w:tc>
        <w:tc>
          <w:tcPr>
            <w:tcW w:w="895"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w:t>
            </w:r>
          </w:p>
          <w:p>
            <w:pPr>
              <w:jc w:val="center"/>
              <w:rPr>
                <w:rFonts w:hint="default" w:ascii="Times New Roman" w:hAnsi="Times New Roman" w:cs="Times New Roman"/>
                <w:color w:val="FF0000"/>
                <w:szCs w:val="21"/>
              </w:rPr>
            </w:pPr>
            <w:r>
              <w:rPr>
                <w:rFonts w:hint="default" w:ascii="Times New Roman" w:hAnsi="Times New Roman" w:cs="Times New Roman"/>
                <w:color w:val="000000"/>
                <w:szCs w:val="21"/>
              </w:rPr>
              <w:t>气</w:t>
            </w: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恶臭</w:t>
            </w:r>
          </w:p>
        </w:tc>
        <w:tc>
          <w:tcPr>
            <w:tcW w:w="5479" w:type="dxa"/>
            <w:vAlign w:val="center"/>
          </w:tcPr>
          <w:p>
            <w:pPr>
              <w:jc w:val="center"/>
              <w:rPr>
                <w:rFonts w:hint="default" w:ascii="Times New Roman" w:hAnsi="Times New Roman" w:cs="Times New Roman"/>
                <w:color w:val="000000"/>
                <w:szCs w:val="21"/>
              </w:rPr>
            </w:pPr>
            <w:r>
              <w:rPr>
                <w:rFonts w:hint="eastAsia" w:ascii="Times New Roman" w:hAnsi="Times New Roman"/>
                <w:sz w:val="21"/>
                <w:szCs w:val="21"/>
                <w:lang w:eastAsia="zh-CN"/>
              </w:rPr>
              <w:t>污水处理站、猪粪暂存间</w:t>
            </w:r>
            <w:r>
              <w:rPr>
                <w:rFonts w:hint="eastAsia" w:ascii="Times New Roman" w:hAnsi="Times New Roman"/>
                <w:sz w:val="21"/>
                <w:szCs w:val="21"/>
              </w:rPr>
              <w:t>设置恶臭加盖收集系统或抽风收集系统，臭气经收集后</w:t>
            </w:r>
            <w:r>
              <w:rPr>
                <w:rFonts w:hint="eastAsia" w:ascii="Times New Roman" w:hAnsi="Times New Roman"/>
                <w:sz w:val="21"/>
                <w:szCs w:val="21"/>
                <w:lang w:eastAsia="zh-CN"/>
              </w:rPr>
              <w:t>通过生物除臭系统处理后</w:t>
            </w:r>
            <w:r>
              <w:rPr>
                <w:rFonts w:hint="eastAsia" w:ascii="Times New Roman" w:hAnsi="Times New Roman"/>
                <w:sz w:val="21"/>
                <w:szCs w:val="21"/>
              </w:rPr>
              <w:t>经15m高排气筒排放；</w:t>
            </w:r>
            <w:r>
              <w:rPr>
                <w:rFonts w:hint="default" w:ascii="Times New Roman" w:hAnsi="Times New Roman" w:cs="Times New Roman"/>
                <w:szCs w:val="21"/>
              </w:rPr>
              <w:t>将猪粪便及时清运，科学设计日粮，提高饲料利用率，合理使用饲料添加剂，加强猪舍通风，定期对排尿沟等处设专人消毒，定期进行杀虫灭蝇工作，加强场区绿化、设置卫生防护距离</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b/>
                <w:szCs w:val="21"/>
              </w:rPr>
            </w:pPr>
          </w:p>
        </w:tc>
        <w:tc>
          <w:tcPr>
            <w:tcW w:w="895" w:type="dxa"/>
            <w:vMerge w:val="continue"/>
            <w:vAlign w:val="center"/>
          </w:tcPr>
          <w:p>
            <w:pPr>
              <w:jc w:val="center"/>
              <w:rPr>
                <w:rFonts w:hint="default" w:ascii="Times New Roman" w:hAnsi="Times New Roman" w:cs="Times New Roman"/>
                <w:color w:val="000000"/>
                <w:szCs w:val="21"/>
              </w:rPr>
            </w:pP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备用发电机烟气</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采用清洁能源，废气产生频次低，产生量小，无组织间歇定排放</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29" w:type="dxa"/>
            <w:vMerge w:val="continue"/>
            <w:vAlign w:val="center"/>
          </w:tcPr>
          <w:p>
            <w:pPr>
              <w:jc w:val="center"/>
              <w:rPr>
                <w:rFonts w:hint="default" w:ascii="Times New Roman" w:hAnsi="Times New Roman" w:cs="Times New Roman"/>
                <w:b/>
                <w:szCs w:val="21"/>
              </w:rPr>
            </w:pPr>
          </w:p>
        </w:tc>
        <w:tc>
          <w:tcPr>
            <w:tcW w:w="895" w:type="dxa"/>
            <w:vMerge w:val="continue"/>
            <w:vAlign w:val="center"/>
          </w:tcPr>
          <w:p>
            <w:pPr>
              <w:jc w:val="center"/>
              <w:rPr>
                <w:rFonts w:hint="default" w:ascii="Times New Roman" w:hAnsi="Times New Roman" w:cs="Times New Roman"/>
                <w:color w:val="FF0000"/>
                <w:szCs w:val="21"/>
              </w:rPr>
            </w:pP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餐饮油烟</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设一台风量为2000m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/h的抽油烟机，引致屋顶排放</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continue"/>
            <w:vAlign w:val="center"/>
          </w:tcPr>
          <w:p>
            <w:pPr>
              <w:jc w:val="center"/>
              <w:rPr>
                <w:rFonts w:hint="default" w:ascii="Times New Roman" w:hAnsi="Times New Roman" w:cs="Times New Roman"/>
                <w:color w:val="FF0000"/>
                <w:szCs w:val="21"/>
              </w:rPr>
            </w:pP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沼气</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szCs w:val="21"/>
              </w:rPr>
              <w:t>设置贮气罐、沼气管道、沼气脱硫</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废水</w:t>
            </w:r>
          </w:p>
        </w:tc>
        <w:tc>
          <w:tcPr>
            <w:tcW w:w="1589" w:type="dxa"/>
            <w:tcBorders>
              <w:bottom w:val="single" w:color="auto" w:sz="2"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雨水</w:t>
            </w:r>
          </w:p>
        </w:tc>
        <w:tc>
          <w:tcPr>
            <w:tcW w:w="5479" w:type="dxa"/>
            <w:tcBorders>
              <w:bottom w:val="single" w:color="auto" w:sz="2" w:space="0"/>
            </w:tcBorders>
            <w:vAlign w:val="center"/>
          </w:tcPr>
          <w:p>
            <w:pPr>
              <w:rPr>
                <w:rFonts w:hint="default" w:ascii="Times New Roman" w:hAnsi="Times New Roman" w:cs="Times New Roman"/>
                <w:color w:val="000000"/>
                <w:szCs w:val="21"/>
              </w:rPr>
            </w:pPr>
            <w:r>
              <w:rPr>
                <w:rFonts w:hint="default" w:ascii="Times New Roman" w:hAnsi="Times New Roman" w:cs="Times New Roman"/>
                <w:szCs w:val="21"/>
              </w:rPr>
              <w:t>实施雨污分流，</w:t>
            </w:r>
            <w:r>
              <w:rPr>
                <w:rFonts w:hint="default" w:ascii="Times New Roman" w:hAnsi="Times New Roman" w:cs="Times New Roman"/>
                <w:color w:val="000000"/>
                <w:szCs w:val="21"/>
              </w:rPr>
              <w:t>厂区周边设置雨水沟，将雨水引致附近沟渠排放。</w:t>
            </w:r>
          </w:p>
        </w:tc>
        <w:tc>
          <w:tcPr>
            <w:tcW w:w="1320" w:type="dxa"/>
            <w:gridSpan w:val="2"/>
            <w:vAlign w:val="center"/>
          </w:tcPr>
          <w:p>
            <w:pPr>
              <w:jc w:val="center"/>
              <w:rPr>
                <w:rFonts w:hint="default" w:ascii="Times New Roman" w:hAnsi="Times New Roman" w:cs="Times New Roman"/>
                <w:color w:val="000000"/>
                <w:szCs w:val="21"/>
                <w:highlight w:val="yellow"/>
              </w:rPr>
            </w:pPr>
            <w:r>
              <w:rPr>
                <w:rFonts w:hint="default" w:ascii="Times New Roman" w:hAnsi="Times New Roman" w:cs="Times New Roman"/>
                <w:color w:val="00000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continue"/>
            <w:vAlign w:val="center"/>
          </w:tcPr>
          <w:p>
            <w:pPr>
              <w:jc w:val="center"/>
              <w:rPr>
                <w:rFonts w:hint="default" w:ascii="Times New Roman" w:hAnsi="Times New Roman" w:cs="Times New Roman"/>
                <w:color w:val="FF0000"/>
                <w:szCs w:val="21"/>
              </w:rPr>
            </w:pPr>
          </w:p>
        </w:tc>
        <w:tc>
          <w:tcPr>
            <w:tcW w:w="1589" w:type="dxa"/>
            <w:tcBorders>
              <w:bottom w:val="single" w:color="auto" w:sz="2"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餐饮废水</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隔油池1座，0.5m</w:t>
            </w:r>
            <w:r>
              <w:rPr>
                <w:rFonts w:hint="default" w:ascii="Times New Roman" w:hAnsi="Times New Roman" w:cs="Times New Roman"/>
                <w:color w:val="000000"/>
                <w:szCs w:val="21"/>
                <w:vertAlign w:val="superscript"/>
              </w:rPr>
              <w:t>3</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continue"/>
            <w:vAlign w:val="center"/>
          </w:tcPr>
          <w:p>
            <w:pPr>
              <w:jc w:val="center"/>
              <w:rPr>
                <w:rFonts w:hint="default" w:ascii="Times New Roman" w:hAnsi="Times New Roman" w:cs="Times New Roman"/>
                <w:color w:val="FF0000"/>
                <w:szCs w:val="21"/>
              </w:rPr>
            </w:pPr>
          </w:p>
        </w:tc>
        <w:tc>
          <w:tcPr>
            <w:tcW w:w="1589" w:type="dxa"/>
            <w:tcBorders>
              <w:bottom w:val="single" w:color="auto" w:sz="2"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生活污水</w:t>
            </w:r>
          </w:p>
        </w:tc>
        <w:tc>
          <w:tcPr>
            <w:tcW w:w="5479" w:type="dxa"/>
            <w:vMerge w:val="restart"/>
            <w:vAlign w:val="center"/>
          </w:tcPr>
          <w:p>
            <w:pPr>
              <w:pStyle w:val="2"/>
              <w:ind w:firstLine="420" w:firstLineChars="200"/>
              <w:rPr>
                <w:rFonts w:hint="default" w:ascii="Times New Roman" w:hAnsi="Times New Roman" w:cs="Times New Roman"/>
                <w:sz w:val="21"/>
                <w:szCs w:val="21"/>
              </w:rPr>
            </w:pPr>
            <w:r>
              <w:rPr>
                <w:rFonts w:hint="default" w:ascii="Times New Roman" w:hAnsi="Times New Roman" w:cs="Times New Roman"/>
                <w:color w:val="auto"/>
                <w:sz w:val="21"/>
                <w:szCs w:val="21"/>
              </w:rPr>
              <w:t>采用污水处理工艺为“粪污收集池+集水池+固液分离+调节酸化池+沼气池+好氧池+沉淀池+消毒+沼液暂存池（含应急功能），污水处理达《农田灌溉水质标准》（GB5084-2005）旱作标准，设计处理能力90m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default" w:ascii="Times New Roman" w:hAnsi="Times New Roman" w:cs="Times New Roman"/>
                <w:color w:val="auto"/>
                <w:kern w:val="2"/>
                <w:sz w:val="21"/>
                <w:szCs w:val="21"/>
              </w:rPr>
              <w:t>根据实际情况，夹江县果香四季家庭农场</w:t>
            </w:r>
            <w:r>
              <w:rPr>
                <w:rFonts w:hint="default" w:ascii="Times New Roman" w:hAnsi="Times New Roman" w:cs="Times New Roman"/>
                <w:color w:val="auto"/>
                <w:sz w:val="21"/>
                <w:szCs w:val="21"/>
              </w:rPr>
              <w:t>消纳土地需要沼液时，由养殖场的密闭罐车（建设单位拟设置3台密闭罐车，每台有效容积约为5m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）将沼液运至施肥土地，暂存于</w:t>
            </w:r>
            <w:r>
              <w:rPr>
                <w:rFonts w:hint="default" w:ascii="Times New Roman" w:hAnsi="Times New Roman" w:cs="Times New Roman"/>
                <w:bCs/>
                <w:color w:val="auto"/>
                <w:sz w:val="21"/>
                <w:szCs w:val="21"/>
              </w:rPr>
              <w:t>农场的田间池中暂存</w:t>
            </w:r>
            <w:r>
              <w:rPr>
                <w:rFonts w:hint="default" w:ascii="Times New Roman" w:hAnsi="Times New Roman" w:cs="Times New Roman"/>
                <w:color w:val="auto"/>
                <w:sz w:val="21"/>
                <w:szCs w:val="21"/>
              </w:rPr>
              <w:t>，废水经农场灌溉系统经管道输送至施肥土地。三洞镇周冲村村民耕地需要沼液时，通过管网输送至施肥土地。使用</w:t>
            </w:r>
            <w:r>
              <w:rPr>
                <w:rFonts w:hint="default" w:ascii="Times New Roman" w:hAnsi="Times New Roman" w:cs="Times New Roman"/>
                <w:color w:val="auto"/>
                <w:kern w:val="2"/>
                <w:sz w:val="21"/>
                <w:szCs w:val="21"/>
              </w:rPr>
              <w:t>本项目不设置高位水池以及田间池，拟在养殖场内设置1个沼液暂存池。因此，本项目需要建设的场内沼液暂存池容积不小于8087m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r>
              <w:rPr>
                <w:rFonts w:hint="default" w:ascii="Times New Roman" w:hAnsi="Times New Roman" w:cs="Times New Roman"/>
                <w:color w:val="000000"/>
                <w:sz w:val="21"/>
                <w:szCs w:val="21"/>
              </w:rPr>
              <w:t>田间暂存池</w:t>
            </w:r>
            <w:r>
              <w:rPr>
                <w:rFonts w:hint="default" w:ascii="Times New Roman" w:hAnsi="Times New Roman" w:cs="Times New Roman"/>
                <w:color w:val="000000"/>
                <w:sz w:val="21"/>
                <w:szCs w:val="21"/>
                <w:lang w:val="en-US" w:eastAsia="zh-CN"/>
              </w:rPr>
              <w:t>3个</w:t>
            </w:r>
            <w:r>
              <w:rPr>
                <w:rFonts w:hint="default" w:ascii="Times New Roman" w:hAnsi="Times New Roman" w:cs="Times New Roman"/>
                <w:color w:val="000000"/>
                <w:sz w:val="21"/>
                <w:szCs w:val="21"/>
              </w:rPr>
              <w:t>，总容积</w:t>
            </w:r>
            <w:r>
              <w:rPr>
                <w:rFonts w:hint="default" w:ascii="Times New Roman" w:hAnsi="Times New Roman" w:cs="Times New Roman"/>
                <w:color w:val="000000"/>
                <w:sz w:val="21"/>
                <w:szCs w:val="21"/>
                <w:lang w:val="en-US" w:eastAsia="zh-CN"/>
              </w:rPr>
              <w:t>250m</w:t>
            </w:r>
            <w:r>
              <w:rPr>
                <w:rFonts w:hint="default" w:ascii="Times New Roman" w:hAnsi="Times New Roman" w:cs="Times New Roman"/>
                <w:color w:val="000000"/>
                <w:sz w:val="21"/>
                <w:szCs w:val="21"/>
                <w:vertAlign w:val="superscript"/>
                <w:lang w:val="en-US" w:eastAsia="zh-CN"/>
              </w:rPr>
              <w:t>3</w:t>
            </w:r>
            <w:r>
              <w:rPr>
                <w:rFonts w:hint="default" w:ascii="Times New Roman" w:hAnsi="Times New Roman" w:cs="Times New Roman"/>
                <w:color w:val="000000"/>
                <w:sz w:val="21"/>
                <w:szCs w:val="21"/>
              </w:rPr>
              <w:t>）。</w:t>
            </w:r>
          </w:p>
        </w:tc>
        <w:tc>
          <w:tcPr>
            <w:tcW w:w="1320" w:type="dxa"/>
            <w:gridSpan w:val="2"/>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continue"/>
            <w:vAlign w:val="center"/>
          </w:tcPr>
          <w:p>
            <w:pPr>
              <w:jc w:val="center"/>
              <w:rPr>
                <w:rFonts w:hint="default" w:ascii="Times New Roman" w:hAnsi="Times New Roman" w:cs="Times New Roman"/>
                <w:color w:val="FF0000"/>
                <w:szCs w:val="21"/>
              </w:rPr>
            </w:pPr>
          </w:p>
        </w:tc>
        <w:tc>
          <w:tcPr>
            <w:tcW w:w="1589" w:type="dxa"/>
            <w:tcBorders>
              <w:top w:val="single" w:color="auto" w:sz="2"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养殖废水</w:t>
            </w:r>
          </w:p>
          <w:p>
            <w:pPr>
              <w:jc w:val="center"/>
              <w:rPr>
                <w:rFonts w:hint="default" w:ascii="Times New Roman" w:hAnsi="Times New Roman" w:cs="Times New Roman"/>
                <w:color w:val="000000"/>
                <w:szCs w:val="21"/>
              </w:rPr>
            </w:pPr>
          </w:p>
        </w:tc>
        <w:tc>
          <w:tcPr>
            <w:tcW w:w="5479" w:type="dxa"/>
            <w:vMerge w:val="continue"/>
            <w:vAlign w:val="center"/>
          </w:tcPr>
          <w:p>
            <w:pPr>
              <w:rPr>
                <w:rFonts w:hint="default" w:ascii="Times New Roman" w:hAnsi="Times New Roman" w:cs="Times New Roman"/>
                <w:color w:val="000000"/>
                <w:szCs w:val="21"/>
              </w:rPr>
            </w:pPr>
          </w:p>
        </w:tc>
        <w:tc>
          <w:tcPr>
            <w:tcW w:w="1320" w:type="dxa"/>
            <w:gridSpan w:val="2"/>
            <w:vMerge w:val="continue"/>
            <w:vAlign w:val="center"/>
          </w:tcPr>
          <w:p>
            <w:pPr>
              <w:jc w:val="center"/>
              <w:rPr>
                <w:rFonts w:hint="default"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continue"/>
            <w:vAlign w:val="center"/>
          </w:tcPr>
          <w:p>
            <w:pPr>
              <w:jc w:val="center"/>
              <w:rPr>
                <w:rFonts w:hint="default" w:ascii="Times New Roman" w:hAnsi="Times New Roman" w:cs="Times New Roman"/>
                <w:color w:val="FF0000"/>
                <w:szCs w:val="21"/>
              </w:rPr>
            </w:pP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水帘降温系统冷却水</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建设循环水池9个，位于各圈舍门口旁地下，容积4.5m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，冷却水循环使用不外排</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噪</w:t>
            </w:r>
          </w:p>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声</w:t>
            </w: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设备噪声</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加强管理，合理布局，采用低噪声设备，采取相应降噪、减震措施</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continue"/>
            <w:vAlign w:val="center"/>
          </w:tcPr>
          <w:p>
            <w:pPr>
              <w:jc w:val="center"/>
              <w:rPr>
                <w:rFonts w:hint="default" w:ascii="Times New Roman" w:hAnsi="Times New Roman" w:cs="Times New Roman"/>
                <w:color w:val="000000"/>
                <w:szCs w:val="21"/>
              </w:rPr>
            </w:pP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猪只叫声</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加强管理，按时喂食，建筑物隔声</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固</w:t>
            </w:r>
          </w:p>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废</w:t>
            </w: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猪粪</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外售给夹江县果香四季家庭农场制作有机肥</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continue"/>
            <w:vAlign w:val="center"/>
          </w:tcPr>
          <w:p>
            <w:pPr>
              <w:jc w:val="center"/>
              <w:rPr>
                <w:rFonts w:hint="default" w:ascii="Times New Roman" w:hAnsi="Times New Roman" w:cs="Times New Roman"/>
                <w:color w:val="000000"/>
                <w:szCs w:val="21"/>
              </w:rPr>
            </w:pP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病死猪</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szCs w:val="21"/>
              </w:rPr>
              <w:t>交由</w:t>
            </w:r>
            <w:r>
              <w:rPr>
                <w:rFonts w:hint="default" w:ascii="Times New Roman" w:hAnsi="Times New Roman" w:cs="Times New Roman"/>
                <w:bCs/>
                <w:szCs w:val="21"/>
              </w:rPr>
              <w:t>成都科农动物无害化处置有限公司处理</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continue"/>
            <w:vAlign w:val="center"/>
          </w:tcPr>
          <w:p>
            <w:pPr>
              <w:jc w:val="center"/>
              <w:rPr>
                <w:rFonts w:hint="default" w:ascii="Times New Roman" w:hAnsi="Times New Roman" w:cs="Times New Roman"/>
                <w:color w:val="000000"/>
                <w:szCs w:val="21"/>
              </w:rPr>
            </w:pP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生活垃圾</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垃圾桶收集，送至</w:t>
            </w:r>
            <w:r>
              <w:rPr>
                <w:rFonts w:hint="default" w:ascii="Times New Roman" w:hAnsi="Times New Roman" w:cs="Times New Roman"/>
                <w:color w:val="000000"/>
                <w:kern w:val="0"/>
                <w:szCs w:val="21"/>
              </w:rPr>
              <w:t>乡镇垃圾收集点，交由当地环卫部门统一清运处理</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continue"/>
            <w:vAlign w:val="center"/>
          </w:tcPr>
          <w:p>
            <w:pPr>
              <w:jc w:val="center"/>
              <w:rPr>
                <w:rFonts w:hint="default" w:ascii="Times New Roman" w:hAnsi="Times New Roman" w:cs="Times New Roman"/>
                <w:color w:val="000000"/>
                <w:szCs w:val="21"/>
              </w:rPr>
            </w:pPr>
          </w:p>
        </w:tc>
        <w:tc>
          <w:tcPr>
            <w:tcW w:w="1589" w:type="dxa"/>
            <w:vAlign w:val="center"/>
          </w:tcPr>
          <w:p>
            <w:pPr>
              <w:pStyle w:val="2"/>
              <w:jc w:val="center"/>
              <w:rPr>
                <w:rFonts w:hint="default" w:ascii="Times New Roman" w:hAnsi="Times New Roman" w:cs="Times New Roman"/>
              </w:rPr>
            </w:pPr>
            <w:r>
              <w:rPr>
                <w:rFonts w:hint="default" w:ascii="Times New Roman" w:hAnsi="Times New Roman" w:cs="Times New Roman"/>
                <w:sz w:val="21"/>
                <w:szCs w:val="21"/>
              </w:rPr>
              <w:t>废饲料袋</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用于盛装猪粪</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continue"/>
            <w:vAlign w:val="center"/>
          </w:tcPr>
          <w:p>
            <w:pPr>
              <w:jc w:val="center"/>
              <w:rPr>
                <w:rFonts w:hint="default" w:ascii="Times New Roman" w:hAnsi="Times New Roman" w:cs="Times New Roman"/>
                <w:color w:val="000000"/>
                <w:szCs w:val="21"/>
              </w:rPr>
            </w:pP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kern w:val="0"/>
                <w:szCs w:val="21"/>
              </w:rPr>
              <w:t>废脱硫剂</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szCs w:val="21"/>
              </w:rPr>
              <w:t>厂家回收</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continue"/>
            <w:vAlign w:val="center"/>
          </w:tcPr>
          <w:p>
            <w:pPr>
              <w:jc w:val="center"/>
              <w:rPr>
                <w:rFonts w:hint="default" w:ascii="Times New Roman" w:hAnsi="Times New Roman" w:cs="Times New Roman"/>
                <w:color w:val="000000"/>
                <w:szCs w:val="21"/>
              </w:rPr>
            </w:pP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医疗废物</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单独收集，设置危废暂存间1间5m</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szCs w:val="21"/>
              </w:rPr>
              <w:t>，收集暂存医疗废物定期交资质单位处理，签订协议并设立台账</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restart"/>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风险</w:t>
            </w: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病疫</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加强废物处理，加强圈舍清洁、加强日常消毒，建立健全严密的卫生防疫制度和科学合理的卫生设施，从源头上减小病疫发生概率。发生病疫后应立即进行隔离、病死猪按要求进行处理、并对整个厂区进行消毒、防止泄露至外环境中造成环境污染事故。</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szCs w:val="21"/>
              </w:rPr>
            </w:pPr>
          </w:p>
        </w:tc>
        <w:tc>
          <w:tcPr>
            <w:tcW w:w="895" w:type="dxa"/>
            <w:vMerge w:val="continue"/>
            <w:vAlign w:val="center"/>
          </w:tcPr>
          <w:p>
            <w:pPr>
              <w:jc w:val="center"/>
              <w:rPr>
                <w:rFonts w:hint="default" w:ascii="Times New Roman" w:hAnsi="Times New Roman" w:cs="Times New Roman"/>
                <w:color w:val="000000"/>
                <w:szCs w:val="21"/>
              </w:rPr>
            </w:pP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泄露</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设置应急池1个，容积为900m³，满足近10天的粪污暂存量，当污水处理设施发生故障时倒入应急池中暂存；在储油桶的四周设置围堰，围堰所谓容积必须满足柴油最大储存量，一旦柴油储存罐发生破裂，围堰可收集泄露柴油，避免柴油外泄。</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vAlign w:val="center"/>
          </w:tcPr>
          <w:p>
            <w:pPr>
              <w:jc w:val="center"/>
              <w:rPr>
                <w:rFonts w:hint="default" w:ascii="Times New Roman" w:hAnsi="Times New Roman" w:cs="Times New Roman"/>
                <w:color w:val="000000"/>
                <w:szCs w:val="21"/>
              </w:rPr>
            </w:pPr>
          </w:p>
        </w:tc>
        <w:tc>
          <w:tcPr>
            <w:tcW w:w="895" w:type="dxa"/>
            <w:vMerge w:val="continue"/>
            <w:vAlign w:val="center"/>
          </w:tcPr>
          <w:p>
            <w:pPr>
              <w:jc w:val="center"/>
              <w:rPr>
                <w:rFonts w:hint="default" w:ascii="Times New Roman" w:hAnsi="Times New Roman" w:cs="Times New Roman"/>
                <w:color w:val="000000"/>
                <w:szCs w:val="21"/>
              </w:rPr>
            </w:pPr>
          </w:p>
        </w:tc>
        <w:tc>
          <w:tcPr>
            <w:tcW w:w="158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地下水</w:t>
            </w:r>
          </w:p>
        </w:tc>
        <w:tc>
          <w:tcPr>
            <w:tcW w:w="5479" w:type="dxa"/>
            <w:vAlign w:val="center"/>
          </w:tcPr>
          <w:p>
            <w:pPr>
              <w:rPr>
                <w:rFonts w:hint="default" w:ascii="Times New Roman" w:hAnsi="Times New Roman" w:cs="Times New Roman"/>
                <w:color w:val="000000"/>
                <w:szCs w:val="21"/>
              </w:rPr>
            </w:pPr>
            <w:r>
              <w:rPr>
                <w:rFonts w:hint="default" w:ascii="Times New Roman" w:hAnsi="Times New Roman" w:cs="Times New Roman"/>
                <w:color w:val="000000"/>
                <w:szCs w:val="21"/>
              </w:rPr>
              <w:t>分区防渗。重点防渗区：备用柴油发电机储油间、医疗废物暂存间；一般防渗区：猪舍、污水处理设、各粪污管网；简单防渗：办公及仓储（水泥硬化）；非防渗区：绿化或未利用土地。</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13" w:type="dxa"/>
            <w:gridSpan w:val="3"/>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绿化</w:t>
            </w:r>
          </w:p>
        </w:tc>
        <w:tc>
          <w:tcPr>
            <w:tcW w:w="547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绿化面积2000m</w:t>
            </w:r>
            <w:r>
              <w:rPr>
                <w:rFonts w:hint="default" w:ascii="Times New Roman" w:hAnsi="Times New Roman" w:cs="Times New Roman"/>
                <w:color w:val="000000"/>
                <w:szCs w:val="21"/>
                <w:vertAlign w:val="superscript"/>
              </w:rPr>
              <w:t>2</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 w:type="dxa"/>
          <w:jc w:val="center"/>
        </w:trPr>
        <w:tc>
          <w:tcPr>
            <w:tcW w:w="8392" w:type="dxa"/>
            <w:gridSpan w:val="4"/>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合计</w:t>
            </w:r>
          </w:p>
        </w:tc>
        <w:tc>
          <w:tcPr>
            <w:tcW w:w="1310"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168.5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2" w:type="dxa"/>
            <w:gridSpan w:val="4"/>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占总投资（4800万元）</w:t>
            </w:r>
          </w:p>
        </w:tc>
        <w:tc>
          <w:tcPr>
            <w:tcW w:w="1320" w:type="dxa"/>
            <w:gridSpan w:val="2"/>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3.51%</w:t>
            </w:r>
          </w:p>
        </w:tc>
      </w:tr>
    </w:tbl>
    <w:p>
      <w:pPr>
        <w:pStyle w:val="3"/>
        <w:keepNext w:val="0"/>
        <w:keepLines w:val="0"/>
        <w:pageBreakBefore w:val="0"/>
        <w:widowControl w:val="0"/>
        <w:tabs>
          <w:tab w:val="left" w:pos="340"/>
        </w:tabs>
        <w:kinsoku/>
        <w:wordWrap/>
        <w:overflowPunct/>
        <w:topLinePunct w:val="0"/>
        <w:autoSpaceDE/>
        <w:autoSpaceDN/>
        <w:bidi w:val="0"/>
        <w:adjustRightInd w:val="0"/>
        <w:snapToGrid w:val="0"/>
        <w:spacing w:before="313" w:beforeLines="100" w:after="0" w:line="360" w:lineRule="auto"/>
        <w:jc w:val="center"/>
        <w:textAlignment w:val="auto"/>
        <w:outlineLvl w:val="0"/>
        <w:rPr>
          <w:rFonts w:hint="default" w:ascii="Times New Roman" w:hAnsi="Times New Roman" w:cs="Times New Roman"/>
          <w:snapToGrid w:val="0"/>
          <w:spacing w:val="-20"/>
          <w:kern w:val="0"/>
          <w:sz w:val="32"/>
          <w:szCs w:val="32"/>
        </w:rPr>
      </w:pPr>
      <w:r>
        <w:rPr>
          <w:rFonts w:hint="default" w:ascii="Times New Roman" w:hAnsi="Times New Roman" w:cs="Times New Roman"/>
        </w:rPr>
        <w:br w:type="page"/>
      </w:r>
      <w:bookmarkStart w:id="362" w:name="_Toc375206157"/>
      <w:bookmarkStart w:id="363" w:name="_Toc28545"/>
      <w:bookmarkStart w:id="364" w:name="_Toc1602"/>
      <w:r>
        <w:rPr>
          <w:rFonts w:hint="default" w:ascii="Times New Roman" w:hAnsi="Times New Roman" w:cs="Times New Roman"/>
          <w:snapToGrid w:val="0"/>
          <w:spacing w:val="-20"/>
          <w:kern w:val="0"/>
          <w:sz w:val="44"/>
          <w:szCs w:val="44"/>
        </w:rPr>
        <w:t xml:space="preserve">第七章 </w:t>
      </w:r>
      <w:bookmarkEnd w:id="362"/>
      <w:r>
        <w:rPr>
          <w:rFonts w:hint="default" w:ascii="Times New Roman" w:hAnsi="Times New Roman" w:cs="Times New Roman"/>
          <w:snapToGrid w:val="0"/>
          <w:spacing w:val="-20"/>
          <w:kern w:val="0"/>
          <w:sz w:val="44"/>
          <w:szCs w:val="44"/>
        </w:rPr>
        <w:t xml:space="preserve"> </w:t>
      </w:r>
      <w:bookmarkEnd w:id="363"/>
      <w:r>
        <w:rPr>
          <w:rFonts w:hint="default" w:ascii="Times New Roman" w:hAnsi="Times New Roman" w:cs="Times New Roman"/>
          <w:snapToGrid w:val="0"/>
          <w:spacing w:val="-20"/>
          <w:kern w:val="0"/>
          <w:sz w:val="44"/>
          <w:szCs w:val="44"/>
        </w:rPr>
        <w:t>清洁生产</w:t>
      </w:r>
      <w:bookmarkEnd w:id="364"/>
    </w:p>
    <w:p>
      <w:pPr>
        <w:pStyle w:val="4"/>
        <w:spacing w:before="0" w:after="0" w:line="360" w:lineRule="auto"/>
        <w:rPr>
          <w:rFonts w:hint="default" w:ascii="Times New Roman" w:hAnsi="Times New Roman" w:cs="Times New Roman"/>
          <w:sz w:val="28"/>
          <w:szCs w:val="28"/>
        </w:rPr>
      </w:pPr>
      <w:bookmarkStart w:id="365" w:name="_Toc4025"/>
      <w:bookmarkStart w:id="366" w:name="_Toc12238"/>
      <w:bookmarkStart w:id="367" w:name="_Toc512007795"/>
      <w:bookmarkStart w:id="368" w:name="_Toc7863"/>
      <w:r>
        <w:rPr>
          <w:rFonts w:hint="default" w:ascii="Times New Roman" w:hAnsi="Times New Roman" w:cs="Times New Roman"/>
          <w:sz w:val="28"/>
          <w:szCs w:val="28"/>
        </w:rPr>
        <w:t>7.1 清洁生产</w:t>
      </w:r>
      <w:bookmarkEnd w:id="365"/>
      <w:bookmarkEnd w:id="366"/>
      <w:bookmarkEnd w:id="367"/>
      <w:r>
        <w:rPr>
          <w:rFonts w:hint="default" w:ascii="Times New Roman" w:hAnsi="Times New Roman" w:cs="Times New Roman"/>
          <w:sz w:val="28"/>
          <w:szCs w:val="28"/>
        </w:rPr>
        <w:t>的意义</w:t>
      </w:r>
      <w:bookmarkEnd w:id="368"/>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推行清洁生产是实施生产全过程控制、进行整体污染预防，可实现节能、降耗、减污、增效，是实现达标排放和污染物总量控制的重要手段，是我国环境保护的重大策略。作为可持续发展的根本性措施，我国政府已将清洁生产载入《中国二十一世纪议程》，国务院于2002年6月1日颁布了《中华人民共和国清洁生产促进法》，并于2003年1月1日起正式实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清洁生产是指在可行范围内减少最初产生的或随后经过处理、分类或处置的有害废物，达到“废物最小化”。清洁生产以节能、降耗、减污为目标，以技术和管理为手段，强调在生产的全过程中的源削减。通过对生产全过程的排污统计、筛选并实施污染防治措施，不仅可以预防污染源建成后对环境的污染，而且能预防该污染源本身的污染产生，从而以经济有效方式最大限度地减少污染。通过清洁生产的实施，不但可以减少废物排放、保护环境，还可以提高企业的经济效益，真正实现环境效益、经济效益和社会效益的三统一。</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清洁生产的一般要求，清洁生产指标原则上分为生产工艺与装备要求、资源能源利用指标、产品指标、污染物产生指标、废物处理要求和环境管理要求等六类。本项目属畜禽养殖项目，目前国家尚未发布相关的清洁生产标准和相关技术指南，因此清洁生产分析，结合行业及工程特点，从生产工艺与装备要求、资源能源利用指标、产品指标、污染物产生及防治措施和环境管理要求等方面定性分析本项目的清洁生产水平，并提出清洁生产要求和建议。</w:t>
      </w:r>
    </w:p>
    <w:p>
      <w:pPr>
        <w:pStyle w:val="4"/>
        <w:spacing w:before="0" w:after="0" w:line="360" w:lineRule="auto"/>
        <w:rPr>
          <w:rFonts w:hint="default" w:ascii="Times New Roman" w:hAnsi="Times New Roman" w:cs="Times New Roman"/>
          <w:sz w:val="28"/>
          <w:szCs w:val="28"/>
        </w:rPr>
      </w:pPr>
      <w:bookmarkStart w:id="369" w:name="_Toc23072"/>
      <w:r>
        <w:rPr>
          <w:rFonts w:hint="default" w:ascii="Times New Roman" w:hAnsi="Times New Roman" w:cs="Times New Roman"/>
          <w:sz w:val="28"/>
          <w:szCs w:val="28"/>
        </w:rPr>
        <w:t>7.2 清洁生产分析</w:t>
      </w:r>
      <w:bookmarkEnd w:id="369"/>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7.2.1 生产工艺与装备要求</w:t>
      </w:r>
    </w:p>
    <w:p>
      <w:pPr>
        <w:spacing w:line="360" w:lineRule="auto"/>
        <w:ind w:firstLine="482" w:firstLineChars="200"/>
        <w:outlineLvl w:val="3"/>
        <w:rPr>
          <w:rFonts w:hint="default" w:ascii="Times New Roman" w:hAnsi="Times New Roman" w:cs="Times New Roman"/>
          <w:b/>
          <w:bCs/>
          <w:sz w:val="24"/>
          <w:szCs w:val="24"/>
        </w:rPr>
      </w:pPr>
      <w:r>
        <w:rPr>
          <w:rFonts w:hint="default" w:ascii="Times New Roman" w:hAnsi="Times New Roman" w:cs="Times New Roman"/>
          <w:b/>
          <w:bCs/>
          <w:sz w:val="24"/>
          <w:szCs w:val="24"/>
        </w:rPr>
        <w:t>7.2.1.1 清粪工艺</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对比分析结果见表7.2-1。</w:t>
      </w:r>
    </w:p>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表7.2-1  工艺对比分析</w:t>
      </w:r>
    </w:p>
    <w:tbl>
      <w:tblPr>
        <w:tblStyle w:val="33"/>
        <w:tblW w:w="961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2694"/>
        <w:gridCol w:w="2165"/>
        <w:gridCol w:w="1480"/>
        <w:gridCol w:w="1119"/>
        <w:gridCol w:w="1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035" w:type="dxa"/>
            <w:vMerge w:val="restart"/>
            <w:tcMar>
              <w:left w:w="0" w:type="dxa"/>
              <w:right w:w="0" w:type="dxa"/>
            </w:tcMar>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工艺名称</w:t>
            </w:r>
          </w:p>
        </w:tc>
        <w:tc>
          <w:tcPr>
            <w:tcW w:w="2694" w:type="dxa"/>
            <w:vMerge w:val="restart"/>
            <w:tcMar>
              <w:left w:w="0" w:type="dxa"/>
              <w:right w:w="0" w:type="dxa"/>
            </w:tcMar>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工艺说明</w:t>
            </w:r>
          </w:p>
        </w:tc>
        <w:tc>
          <w:tcPr>
            <w:tcW w:w="3645" w:type="dxa"/>
            <w:gridSpan w:val="2"/>
            <w:tcMar>
              <w:left w:w="0" w:type="dxa"/>
              <w:right w:w="0" w:type="dxa"/>
            </w:tcMar>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达标排放方案</w:t>
            </w:r>
          </w:p>
        </w:tc>
        <w:tc>
          <w:tcPr>
            <w:tcW w:w="2245" w:type="dxa"/>
            <w:gridSpan w:val="2"/>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综合利用方案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035" w:type="dxa"/>
            <w:vMerge w:val="continue"/>
            <w:tcMar>
              <w:left w:w="0" w:type="dxa"/>
              <w:right w:w="0" w:type="dxa"/>
            </w:tcMar>
            <w:vAlign w:val="center"/>
          </w:tcPr>
          <w:p>
            <w:pPr>
              <w:adjustRightInd w:val="0"/>
              <w:snapToGrid w:val="0"/>
              <w:jc w:val="center"/>
              <w:rPr>
                <w:rFonts w:hint="default" w:ascii="Times New Roman" w:hAnsi="Times New Roman" w:cs="Times New Roman"/>
                <w:b/>
                <w:szCs w:val="21"/>
              </w:rPr>
            </w:pPr>
          </w:p>
        </w:tc>
        <w:tc>
          <w:tcPr>
            <w:tcW w:w="2694" w:type="dxa"/>
            <w:vMerge w:val="continue"/>
            <w:tcMar>
              <w:left w:w="0" w:type="dxa"/>
              <w:right w:w="0" w:type="dxa"/>
            </w:tcMar>
            <w:vAlign w:val="center"/>
          </w:tcPr>
          <w:p>
            <w:pPr>
              <w:adjustRightInd w:val="0"/>
              <w:snapToGrid w:val="0"/>
              <w:jc w:val="center"/>
              <w:rPr>
                <w:rFonts w:hint="default" w:ascii="Times New Roman" w:hAnsi="Times New Roman" w:cs="Times New Roman"/>
                <w:b/>
                <w:szCs w:val="21"/>
              </w:rPr>
            </w:pPr>
          </w:p>
        </w:tc>
        <w:tc>
          <w:tcPr>
            <w:tcW w:w="2165" w:type="dxa"/>
            <w:tcMar>
              <w:left w:w="0" w:type="dxa"/>
              <w:right w:w="0" w:type="dxa"/>
            </w:tcMar>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优点</w:t>
            </w:r>
          </w:p>
        </w:tc>
        <w:tc>
          <w:tcPr>
            <w:tcW w:w="1480" w:type="dxa"/>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缺点</w:t>
            </w:r>
          </w:p>
        </w:tc>
        <w:tc>
          <w:tcPr>
            <w:tcW w:w="1119" w:type="dxa"/>
            <w:tcMar>
              <w:left w:w="0" w:type="dxa"/>
              <w:right w:w="0" w:type="dxa"/>
            </w:tcMar>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优点</w:t>
            </w:r>
          </w:p>
        </w:tc>
        <w:tc>
          <w:tcPr>
            <w:tcW w:w="1126" w:type="dxa"/>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缺点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5"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水冲粪处理工艺</w:t>
            </w:r>
          </w:p>
        </w:tc>
        <w:tc>
          <w:tcPr>
            <w:tcW w:w="2694"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指畜禽排放的粪、尿和污水混合进入粪沟，每天数次放水冲洗，粪水顺粪沟流入粪便主干沟后排出的清粪工艺</w:t>
            </w:r>
          </w:p>
        </w:tc>
        <w:tc>
          <w:tcPr>
            <w:tcW w:w="2165"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保持猪舍内的环境清洁，劳动强度小，劳动效率高</w:t>
            </w:r>
          </w:p>
        </w:tc>
        <w:tc>
          <w:tcPr>
            <w:tcW w:w="14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排水量较大，污染物浓度较高，水处理难度较大，投资成本较高</w:t>
            </w:r>
          </w:p>
        </w:tc>
        <w:tc>
          <w:tcPr>
            <w:tcW w:w="1119"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保持猪舍内的环境清洁，劳动强度较小，污水中污染物浓度较高，有利于沼气的</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产生</w:t>
            </w:r>
          </w:p>
        </w:tc>
        <w:tc>
          <w:tcPr>
            <w:tcW w:w="112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排水量较大，周边需要有较多的土地资源用于消纳粪污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5"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水泡粪工艺</w:t>
            </w:r>
          </w:p>
        </w:tc>
        <w:tc>
          <w:tcPr>
            <w:tcW w:w="2694"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在畜禽舍内的排粪沟中注入一定量的水，将粪、尿、冲洗和饲养管理用水一并排放至漏缝地板下的粪沟中，贮存一定时间（一般为 1～2 个月）、待粪沟填满后，打开出口闸门，沟中的粪水顺粪沟流入粪便主干沟后排出的清粪工艺</w:t>
            </w:r>
          </w:p>
        </w:tc>
        <w:tc>
          <w:tcPr>
            <w:tcW w:w="2165"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同上</w:t>
            </w:r>
          </w:p>
        </w:tc>
        <w:tc>
          <w:tcPr>
            <w:tcW w:w="14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排水量适中，污染物浓度较高，水处理难度较大，投资成本较高</w:t>
            </w:r>
          </w:p>
        </w:tc>
        <w:tc>
          <w:tcPr>
            <w:tcW w:w="1119"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同上</w:t>
            </w:r>
          </w:p>
        </w:tc>
        <w:tc>
          <w:tcPr>
            <w:tcW w:w="112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排水量适中，周边需要有足够的土地资源用于消纳粪污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5"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传统干清粪处理工艺</w:t>
            </w:r>
          </w:p>
        </w:tc>
        <w:tc>
          <w:tcPr>
            <w:tcW w:w="2694"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指畜禽排放的粪便一经产生便通过机械或人工收集、清除，尿液、残余粪便及冲洗水则从排污道排出的清粪工艺</w:t>
            </w:r>
          </w:p>
        </w:tc>
        <w:tc>
          <w:tcPr>
            <w:tcW w:w="2165"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用水量较小、工艺废水中污染物浓度较低、处理成本较低，有利于实现达标排放</w:t>
            </w:r>
          </w:p>
        </w:tc>
        <w:tc>
          <w:tcPr>
            <w:tcW w:w="14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人力投入大，机械化操作尚无法适用于现代化大型养殖场内限位栏、保温房的清理，清粪率偏低</w:t>
            </w:r>
          </w:p>
        </w:tc>
        <w:tc>
          <w:tcPr>
            <w:tcW w:w="1119"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排水量较小，需要消纳粪污的土地资源</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较少</w:t>
            </w:r>
          </w:p>
        </w:tc>
        <w:tc>
          <w:tcPr>
            <w:tcW w:w="112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劳动强度大、粪污资源利用率较低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5" w:type="dxa"/>
            <w:tcMar>
              <w:left w:w="0" w:type="dxa"/>
              <w:right w:w="0" w:type="dxa"/>
            </w:tcMar>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kern w:val="0"/>
              </w:rPr>
              <w:t>生态垫料养殖工艺</w:t>
            </w:r>
          </w:p>
        </w:tc>
        <w:tc>
          <w:tcPr>
            <w:tcW w:w="2694" w:type="dxa"/>
            <w:tcMar>
              <w:left w:w="0" w:type="dxa"/>
              <w:right w:w="0" w:type="dxa"/>
            </w:tcMar>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按一定比例混合秸杆、锯末屑等作为猪舍的垫料，再利用生猪的拱翻习性使猪粪、尿和垫料充分混合，通过垫料的分解发酵，使猪粪、尿中的有机物质得到充分的分解和转化的养殖工艺</w:t>
            </w:r>
          </w:p>
        </w:tc>
        <w:tc>
          <w:tcPr>
            <w:tcW w:w="2165"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不需要冲洗，无粪尿污水排出，垫料2~3年清理1次、劳动强度较小</w:t>
            </w:r>
          </w:p>
        </w:tc>
        <w:tc>
          <w:tcPr>
            <w:tcW w:w="14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夏天发酵床温度过高等不利于猪生长，粪污资源利用率低</w:t>
            </w:r>
          </w:p>
        </w:tc>
        <w:tc>
          <w:tcPr>
            <w:tcW w:w="1119"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同达标排放方案</w:t>
            </w:r>
          </w:p>
        </w:tc>
        <w:tc>
          <w:tcPr>
            <w:tcW w:w="112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同达标排放方案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5" w:type="dxa"/>
            <w:tcMar>
              <w:left w:w="0" w:type="dxa"/>
              <w:right w:w="0" w:type="dxa"/>
            </w:tcMar>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漏缝板+虹吸工艺</w:t>
            </w:r>
          </w:p>
        </w:tc>
        <w:tc>
          <w:tcPr>
            <w:tcW w:w="2694"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生猪饲养猪舍采用漏缝地板饲养，采用重力流方式通过虹吸管道将粪尿输送至粪污储存池</w:t>
            </w:r>
          </w:p>
        </w:tc>
        <w:tc>
          <w:tcPr>
            <w:tcW w:w="2165"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实现了机械化操作，减少了劳动强度和人力资源消耗；采用立体设计结构，生猪饲养、粪污清理和废水收集垂直进行，减少了占地面积。</w:t>
            </w:r>
          </w:p>
        </w:tc>
        <w:tc>
          <w:tcPr>
            <w:tcW w:w="14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投资较大，后期运营维护成本高</w:t>
            </w:r>
          </w:p>
        </w:tc>
        <w:tc>
          <w:tcPr>
            <w:tcW w:w="1119" w:type="dxa"/>
            <w:tcMar>
              <w:left w:w="0" w:type="dxa"/>
              <w:right w:w="0"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同达标排放方案</w:t>
            </w:r>
          </w:p>
        </w:tc>
        <w:tc>
          <w:tcPr>
            <w:tcW w:w="1126"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同达标排放方案</w:t>
            </w:r>
          </w:p>
        </w:tc>
      </w:tr>
    </w:tbl>
    <w:p>
      <w:pPr>
        <w:spacing w:line="360" w:lineRule="auto"/>
        <w:ind w:firstLine="482" w:firstLineChars="200"/>
        <w:rPr>
          <w:rFonts w:hint="default" w:ascii="Times New Roman" w:hAnsi="Times New Roman" w:cs="Times New Roman"/>
          <w:b/>
          <w:bCs/>
          <w:sz w:val="24"/>
          <w:szCs w:val="24"/>
          <w:u w:val="single"/>
        </w:rPr>
      </w:pPr>
      <w:r>
        <w:rPr>
          <w:rFonts w:hint="default" w:ascii="Times New Roman" w:hAnsi="Times New Roman" w:cs="Times New Roman"/>
          <w:b/>
          <w:bCs/>
          <w:sz w:val="24"/>
          <w:szCs w:val="24"/>
          <w:u w:val="single"/>
        </w:rPr>
        <w:t>清粪工艺的先进性：</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清粪工艺采用全漏缝地板和机械干清粪工艺，原理是猪舍内产生的粪尿依靠重力进入缝隙地板下的收集池，在缝隙地板下设一斜坡，使固液立即进行干湿分离，分离出的固体粪渣采用自动式机械刮粪机收集至专门的粪沟，再由吸粪管输送至堆粪场。分离出的污水通过管道排入配套的污水处理站进行处理。</w:t>
      </w:r>
    </w:p>
    <w:p>
      <w:pPr>
        <w:spacing w:line="360" w:lineRule="auto"/>
        <w:ind w:firstLine="482" w:firstLineChars="200"/>
        <w:outlineLvl w:val="3"/>
        <w:rPr>
          <w:rFonts w:hint="default" w:ascii="Times New Roman" w:hAnsi="Times New Roman" w:cs="Times New Roman"/>
          <w:b/>
          <w:bCs/>
          <w:sz w:val="24"/>
          <w:szCs w:val="24"/>
        </w:rPr>
      </w:pPr>
      <w:bookmarkStart w:id="370" w:name="_Toc11213"/>
      <w:r>
        <w:rPr>
          <w:rFonts w:hint="default" w:ascii="Times New Roman" w:hAnsi="Times New Roman" w:cs="Times New Roman"/>
          <w:b/>
          <w:bCs/>
          <w:sz w:val="24"/>
          <w:szCs w:val="24"/>
        </w:rPr>
        <w:t>7.2.1.2 生产设备</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饲养设备包括各类喂料、饮水、猪舍环境控制、电视监控系统等一系列配套的全自动专业设备等，自动化水平较高。</w:t>
      </w:r>
    </w:p>
    <w:p>
      <w:pPr>
        <w:spacing w:line="360" w:lineRule="auto"/>
        <w:ind w:firstLine="482" w:firstLineChars="200"/>
        <w:outlineLvl w:val="3"/>
        <w:rPr>
          <w:rFonts w:hint="default" w:ascii="Times New Roman" w:hAnsi="Times New Roman" w:cs="Times New Roman"/>
          <w:b/>
          <w:bCs/>
          <w:sz w:val="24"/>
          <w:szCs w:val="24"/>
        </w:rPr>
      </w:pPr>
      <w:r>
        <w:rPr>
          <w:rFonts w:hint="default" w:ascii="Times New Roman" w:hAnsi="Times New Roman" w:cs="Times New Roman"/>
          <w:b/>
          <w:bCs/>
          <w:sz w:val="24"/>
          <w:szCs w:val="24"/>
        </w:rPr>
        <w:t>7.2.1.3 本项目生产工艺和设备先进性分析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本项目生产工艺和设备水平上处于国际领先水平。具体见表7.2-2。</w:t>
      </w:r>
    </w:p>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表7.2-2  本项目生产工艺与装备先进性分析</w:t>
      </w:r>
    </w:p>
    <w:tbl>
      <w:tblPr>
        <w:tblStyle w:val="33"/>
        <w:tblW w:w="97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84"/>
        <w:gridCol w:w="3924"/>
        <w:gridCol w:w="39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tblHeader/>
          <w:jc w:val="center"/>
        </w:trPr>
        <w:tc>
          <w:tcPr>
            <w:tcW w:w="704" w:type="dxa"/>
            <w:vAlign w:val="center"/>
          </w:tcPr>
          <w:p>
            <w:pPr>
              <w:spacing w:line="240" w:lineRule="atLeast"/>
              <w:jc w:val="center"/>
              <w:rPr>
                <w:rFonts w:hint="default" w:ascii="Times New Roman" w:hAnsi="Times New Roman" w:cs="Times New Roman"/>
                <w:b/>
                <w:snapToGrid w:val="0"/>
                <w:szCs w:val="21"/>
              </w:rPr>
            </w:pPr>
            <w:r>
              <w:rPr>
                <w:rFonts w:hint="default" w:ascii="Times New Roman" w:hAnsi="Times New Roman" w:cs="Times New Roman"/>
                <w:b/>
                <w:snapToGrid w:val="0"/>
                <w:szCs w:val="21"/>
              </w:rPr>
              <w:t>序号</w:t>
            </w:r>
          </w:p>
        </w:tc>
        <w:tc>
          <w:tcPr>
            <w:tcW w:w="1184" w:type="dxa"/>
            <w:vAlign w:val="center"/>
          </w:tcPr>
          <w:p>
            <w:pPr>
              <w:spacing w:line="240" w:lineRule="atLeast"/>
              <w:jc w:val="center"/>
              <w:rPr>
                <w:rFonts w:hint="default" w:ascii="Times New Roman" w:hAnsi="Times New Roman" w:cs="Times New Roman"/>
                <w:b/>
                <w:snapToGrid w:val="0"/>
                <w:szCs w:val="21"/>
              </w:rPr>
            </w:pPr>
            <w:r>
              <w:rPr>
                <w:rFonts w:hint="default" w:ascii="Times New Roman" w:hAnsi="Times New Roman" w:cs="Times New Roman"/>
                <w:b/>
                <w:snapToGrid w:val="0"/>
                <w:szCs w:val="21"/>
              </w:rPr>
              <w:t>相关系统</w:t>
            </w:r>
          </w:p>
        </w:tc>
        <w:tc>
          <w:tcPr>
            <w:tcW w:w="3924" w:type="dxa"/>
            <w:vAlign w:val="center"/>
          </w:tcPr>
          <w:p>
            <w:pPr>
              <w:spacing w:line="240" w:lineRule="atLeast"/>
              <w:jc w:val="center"/>
              <w:rPr>
                <w:rFonts w:hint="default" w:ascii="Times New Roman" w:hAnsi="Times New Roman" w:cs="Times New Roman"/>
                <w:b/>
                <w:snapToGrid w:val="0"/>
                <w:szCs w:val="21"/>
              </w:rPr>
            </w:pPr>
            <w:r>
              <w:rPr>
                <w:rFonts w:hint="default" w:ascii="Times New Roman" w:hAnsi="Times New Roman" w:cs="Times New Roman"/>
                <w:b/>
                <w:snapToGrid w:val="0"/>
                <w:szCs w:val="21"/>
              </w:rPr>
              <w:t>本项目所用工艺</w:t>
            </w:r>
          </w:p>
        </w:tc>
        <w:tc>
          <w:tcPr>
            <w:tcW w:w="3900" w:type="dxa"/>
            <w:vAlign w:val="center"/>
          </w:tcPr>
          <w:p>
            <w:pPr>
              <w:spacing w:line="240" w:lineRule="atLeast"/>
              <w:jc w:val="center"/>
              <w:rPr>
                <w:rFonts w:hint="default" w:ascii="Times New Roman" w:hAnsi="Times New Roman" w:cs="Times New Roman"/>
                <w:b/>
                <w:snapToGrid w:val="0"/>
                <w:szCs w:val="21"/>
              </w:rPr>
            </w:pPr>
            <w:r>
              <w:rPr>
                <w:rFonts w:hint="default" w:ascii="Times New Roman" w:hAnsi="Times New Roman" w:cs="Times New Roman"/>
                <w:b/>
                <w:snapToGrid w:val="0"/>
                <w:szCs w:val="21"/>
              </w:rPr>
              <w:t>先进性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spacing w:line="240" w:lineRule="atLeast"/>
              <w:jc w:val="center"/>
              <w:rPr>
                <w:rFonts w:hint="default" w:ascii="Times New Roman" w:hAnsi="Times New Roman" w:cs="Times New Roman"/>
                <w:snapToGrid w:val="0"/>
                <w:szCs w:val="21"/>
              </w:rPr>
            </w:pPr>
            <w:r>
              <w:rPr>
                <w:rFonts w:hint="default" w:ascii="Times New Roman" w:hAnsi="Times New Roman" w:cs="Times New Roman"/>
                <w:snapToGrid w:val="0"/>
                <w:szCs w:val="21"/>
              </w:rPr>
              <w:t>1</w:t>
            </w:r>
          </w:p>
        </w:tc>
        <w:tc>
          <w:tcPr>
            <w:tcW w:w="1184" w:type="dxa"/>
            <w:vAlign w:val="center"/>
          </w:tcPr>
          <w:p>
            <w:pPr>
              <w:spacing w:line="240" w:lineRule="atLeast"/>
              <w:jc w:val="center"/>
              <w:rPr>
                <w:rFonts w:hint="default" w:ascii="Times New Roman" w:hAnsi="Times New Roman" w:cs="Times New Roman"/>
                <w:snapToGrid w:val="0"/>
                <w:szCs w:val="21"/>
              </w:rPr>
            </w:pPr>
            <w:r>
              <w:rPr>
                <w:rFonts w:hint="default" w:ascii="Times New Roman" w:hAnsi="Times New Roman" w:cs="Times New Roman"/>
                <w:snapToGrid w:val="0"/>
                <w:szCs w:val="21"/>
              </w:rPr>
              <w:t>上料系统</w:t>
            </w:r>
          </w:p>
        </w:tc>
        <w:tc>
          <w:tcPr>
            <w:tcW w:w="3924" w:type="dxa"/>
            <w:vAlign w:val="center"/>
          </w:tcPr>
          <w:p>
            <w:pPr>
              <w:autoSpaceDN w:val="0"/>
              <w:adjustRightInd w:val="0"/>
              <w:snapToGrid w:val="0"/>
              <w:spacing w:line="320" w:lineRule="exact"/>
              <w:jc w:val="center"/>
              <w:textAlignment w:val="center"/>
              <w:rPr>
                <w:rFonts w:hint="default" w:ascii="Times New Roman" w:hAnsi="Times New Roman" w:cs="Times New Roman"/>
                <w:szCs w:val="21"/>
              </w:rPr>
            </w:pPr>
            <w:r>
              <w:rPr>
                <w:rFonts w:hint="default" w:ascii="Times New Roman" w:hAnsi="Times New Roman" w:cs="Times New Roman"/>
                <w:szCs w:val="21"/>
              </w:rPr>
              <w:t>用全自动配送上料系统和限位猪槽，机械化操作，定时定量供应饲料。</w:t>
            </w:r>
          </w:p>
        </w:tc>
        <w:tc>
          <w:tcPr>
            <w:tcW w:w="3900" w:type="dxa"/>
            <w:vAlign w:val="center"/>
          </w:tcPr>
          <w:p>
            <w:pPr>
              <w:autoSpaceDN w:val="0"/>
              <w:adjustRightInd w:val="0"/>
              <w:snapToGrid w:val="0"/>
              <w:spacing w:line="320" w:lineRule="exact"/>
              <w:jc w:val="center"/>
              <w:textAlignment w:val="center"/>
              <w:rPr>
                <w:rFonts w:hint="default" w:ascii="Times New Roman" w:hAnsi="Times New Roman" w:cs="Times New Roman"/>
                <w:szCs w:val="21"/>
              </w:rPr>
            </w:pPr>
            <w:r>
              <w:rPr>
                <w:rFonts w:hint="default" w:ascii="Times New Roman" w:hAnsi="Times New Roman" w:cs="Times New Roman"/>
                <w:szCs w:val="21"/>
              </w:rPr>
              <w:t>在保证生猪饮食需求的同时，减少浪费，节约人力和饲料用量，降低生产成本。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spacing w:line="240" w:lineRule="atLeast"/>
              <w:jc w:val="center"/>
              <w:rPr>
                <w:rFonts w:hint="default" w:ascii="Times New Roman" w:hAnsi="Times New Roman" w:cs="Times New Roman"/>
                <w:snapToGrid w:val="0"/>
                <w:szCs w:val="21"/>
              </w:rPr>
            </w:pPr>
            <w:r>
              <w:rPr>
                <w:rFonts w:hint="default" w:ascii="Times New Roman" w:hAnsi="Times New Roman" w:cs="Times New Roman"/>
                <w:snapToGrid w:val="0"/>
                <w:szCs w:val="21"/>
              </w:rPr>
              <w:t>2</w:t>
            </w:r>
          </w:p>
        </w:tc>
        <w:tc>
          <w:tcPr>
            <w:tcW w:w="1184" w:type="dxa"/>
            <w:vAlign w:val="center"/>
          </w:tcPr>
          <w:p>
            <w:pPr>
              <w:spacing w:line="240" w:lineRule="atLeast"/>
              <w:jc w:val="center"/>
              <w:rPr>
                <w:rFonts w:hint="default" w:ascii="Times New Roman" w:hAnsi="Times New Roman" w:cs="Times New Roman"/>
                <w:snapToGrid w:val="0"/>
                <w:szCs w:val="21"/>
              </w:rPr>
            </w:pPr>
            <w:r>
              <w:rPr>
                <w:rFonts w:hint="default" w:ascii="Times New Roman" w:hAnsi="Times New Roman" w:cs="Times New Roman"/>
                <w:snapToGrid w:val="0"/>
                <w:szCs w:val="21"/>
              </w:rPr>
              <w:t>饮水系统</w:t>
            </w:r>
          </w:p>
        </w:tc>
        <w:tc>
          <w:tcPr>
            <w:tcW w:w="3924" w:type="dxa"/>
            <w:vAlign w:val="center"/>
          </w:tcPr>
          <w:p>
            <w:pPr>
              <w:autoSpaceDN w:val="0"/>
              <w:adjustRightInd w:val="0"/>
              <w:snapToGrid w:val="0"/>
              <w:spacing w:line="320" w:lineRule="exact"/>
              <w:jc w:val="center"/>
              <w:textAlignment w:val="center"/>
              <w:rPr>
                <w:rFonts w:hint="default" w:ascii="Times New Roman" w:hAnsi="Times New Roman" w:cs="Times New Roman"/>
                <w:szCs w:val="21"/>
              </w:rPr>
            </w:pPr>
            <w:r>
              <w:rPr>
                <w:rFonts w:hint="default" w:ascii="Times New Roman" w:hAnsi="Times New Roman" w:cs="Times New Roman"/>
                <w:szCs w:val="21"/>
              </w:rPr>
              <w:t>采用先进的水盘式饮水器，生猪饮水时，饮水器与空气接触，内部压力大于外部压力，水自动地从管内流出直至液面高度在2cm时饮水器自动停止供水。</w:t>
            </w:r>
          </w:p>
        </w:tc>
        <w:tc>
          <w:tcPr>
            <w:tcW w:w="3900" w:type="dxa"/>
            <w:vAlign w:val="center"/>
          </w:tcPr>
          <w:p>
            <w:pPr>
              <w:autoSpaceDN w:val="0"/>
              <w:adjustRightInd w:val="0"/>
              <w:snapToGrid w:val="0"/>
              <w:spacing w:line="320" w:lineRule="exact"/>
              <w:jc w:val="center"/>
              <w:textAlignment w:val="center"/>
              <w:rPr>
                <w:rFonts w:hint="default" w:ascii="Times New Roman" w:hAnsi="Times New Roman" w:cs="Times New Roman"/>
                <w:szCs w:val="21"/>
              </w:rPr>
            </w:pPr>
            <w:r>
              <w:rPr>
                <w:rFonts w:hint="default" w:ascii="Times New Roman" w:hAnsi="Times New Roman" w:cs="Times New Roman"/>
                <w:szCs w:val="21"/>
              </w:rPr>
              <w:t>在保证生猪随时饮用新鲜水的同时，避免不必要的浪费，节约水资源。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spacing w:line="240" w:lineRule="atLeast"/>
              <w:jc w:val="center"/>
              <w:rPr>
                <w:rFonts w:hint="default" w:ascii="Times New Roman" w:hAnsi="Times New Roman" w:cs="Times New Roman"/>
                <w:snapToGrid w:val="0"/>
                <w:szCs w:val="21"/>
              </w:rPr>
            </w:pPr>
            <w:r>
              <w:rPr>
                <w:rFonts w:hint="default" w:ascii="Times New Roman" w:hAnsi="Times New Roman" w:cs="Times New Roman"/>
                <w:snapToGrid w:val="0"/>
                <w:szCs w:val="21"/>
              </w:rPr>
              <w:t>3</w:t>
            </w:r>
          </w:p>
        </w:tc>
        <w:tc>
          <w:tcPr>
            <w:tcW w:w="1184" w:type="dxa"/>
            <w:vAlign w:val="center"/>
          </w:tcPr>
          <w:p>
            <w:pPr>
              <w:spacing w:line="240" w:lineRule="atLeast"/>
              <w:jc w:val="center"/>
              <w:rPr>
                <w:rFonts w:hint="default" w:ascii="Times New Roman" w:hAnsi="Times New Roman" w:cs="Times New Roman"/>
                <w:snapToGrid w:val="0"/>
                <w:szCs w:val="21"/>
              </w:rPr>
            </w:pPr>
            <w:r>
              <w:rPr>
                <w:rFonts w:hint="default" w:ascii="Times New Roman" w:hAnsi="Times New Roman" w:cs="Times New Roman"/>
                <w:snapToGrid w:val="0"/>
                <w:szCs w:val="21"/>
              </w:rPr>
              <w:t>控温系统</w:t>
            </w:r>
          </w:p>
        </w:tc>
        <w:tc>
          <w:tcPr>
            <w:tcW w:w="3924" w:type="dxa"/>
            <w:vAlign w:val="center"/>
          </w:tcPr>
          <w:p>
            <w:pPr>
              <w:autoSpaceDN w:val="0"/>
              <w:adjustRightInd w:val="0"/>
              <w:snapToGrid w:val="0"/>
              <w:spacing w:line="320" w:lineRule="exact"/>
              <w:jc w:val="center"/>
              <w:textAlignment w:val="center"/>
              <w:rPr>
                <w:rFonts w:hint="default" w:ascii="Times New Roman" w:hAnsi="Times New Roman" w:cs="Times New Roman"/>
                <w:szCs w:val="21"/>
              </w:rPr>
            </w:pPr>
            <w:r>
              <w:rPr>
                <w:rFonts w:hint="default" w:ascii="Times New Roman" w:hAnsi="Times New Roman" w:cs="Times New Roman"/>
                <w:szCs w:val="21"/>
              </w:rPr>
              <w:t>夏季时猪舍使用水帘降温和通风，冬季墙体采用夹心保温板。</w:t>
            </w:r>
          </w:p>
        </w:tc>
        <w:tc>
          <w:tcPr>
            <w:tcW w:w="3900" w:type="dxa"/>
            <w:vAlign w:val="center"/>
          </w:tcPr>
          <w:p>
            <w:pPr>
              <w:autoSpaceDN w:val="0"/>
              <w:adjustRightInd w:val="0"/>
              <w:snapToGrid w:val="0"/>
              <w:spacing w:line="320" w:lineRule="exact"/>
              <w:jc w:val="center"/>
              <w:textAlignment w:val="center"/>
              <w:rPr>
                <w:rFonts w:hint="default" w:ascii="Times New Roman" w:hAnsi="Times New Roman" w:cs="Times New Roman"/>
                <w:szCs w:val="21"/>
              </w:rPr>
            </w:pPr>
            <w:r>
              <w:rPr>
                <w:rFonts w:hint="default" w:ascii="Times New Roman" w:hAnsi="Times New Roman" w:cs="Times New Roman"/>
                <w:szCs w:val="21"/>
              </w:rPr>
              <w:t>夏季猪舍使用水帘风机进行降温和通风，可有效保证猪舍内部空气流通顺畅，为生猪提供一个温度和湿度适宜的饲养小环境，实现能源节约，节能减排。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vAlign w:val="center"/>
          </w:tcPr>
          <w:p>
            <w:pPr>
              <w:spacing w:line="240" w:lineRule="atLeast"/>
              <w:jc w:val="center"/>
              <w:rPr>
                <w:rFonts w:hint="default" w:ascii="Times New Roman" w:hAnsi="Times New Roman" w:cs="Times New Roman"/>
                <w:snapToGrid w:val="0"/>
                <w:szCs w:val="21"/>
              </w:rPr>
            </w:pPr>
            <w:r>
              <w:rPr>
                <w:rFonts w:hint="default" w:ascii="Times New Roman" w:hAnsi="Times New Roman" w:cs="Times New Roman"/>
                <w:snapToGrid w:val="0"/>
                <w:szCs w:val="21"/>
              </w:rPr>
              <w:t>4</w:t>
            </w:r>
          </w:p>
        </w:tc>
        <w:tc>
          <w:tcPr>
            <w:tcW w:w="1184" w:type="dxa"/>
            <w:vAlign w:val="center"/>
          </w:tcPr>
          <w:p>
            <w:pPr>
              <w:spacing w:line="240" w:lineRule="atLeast"/>
              <w:jc w:val="center"/>
              <w:rPr>
                <w:rFonts w:hint="default" w:ascii="Times New Roman" w:hAnsi="Times New Roman" w:cs="Times New Roman"/>
                <w:snapToGrid w:val="0"/>
                <w:szCs w:val="21"/>
              </w:rPr>
            </w:pPr>
            <w:r>
              <w:rPr>
                <w:rFonts w:hint="default" w:ascii="Times New Roman" w:hAnsi="Times New Roman" w:cs="Times New Roman"/>
                <w:snapToGrid w:val="0"/>
                <w:szCs w:val="21"/>
              </w:rPr>
              <w:t>粪污处理工艺</w:t>
            </w:r>
          </w:p>
        </w:tc>
        <w:tc>
          <w:tcPr>
            <w:tcW w:w="3924"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本项目猪粪全部外售给夹江果香四季家庭农场制作有机肥，废水经污水处理设施处理后用于土地施肥。</w:t>
            </w:r>
          </w:p>
        </w:tc>
        <w:tc>
          <w:tcPr>
            <w:tcW w:w="3900" w:type="dxa"/>
            <w:vAlign w:val="center"/>
          </w:tcPr>
          <w:p>
            <w:pPr>
              <w:autoSpaceDN w:val="0"/>
              <w:adjustRightInd w:val="0"/>
              <w:snapToGrid w:val="0"/>
              <w:spacing w:line="320" w:lineRule="exact"/>
              <w:ind w:firstLine="420" w:firstLineChars="200"/>
              <w:jc w:val="center"/>
              <w:textAlignment w:val="center"/>
              <w:rPr>
                <w:rFonts w:hint="default" w:ascii="Times New Roman" w:hAnsi="Times New Roman" w:cs="Times New Roman"/>
                <w:szCs w:val="21"/>
              </w:rPr>
            </w:pPr>
            <w:r>
              <w:rPr>
                <w:rFonts w:hint="default" w:ascii="Times New Roman" w:hAnsi="Times New Roman" w:cs="Times New Roman"/>
                <w:szCs w:val="21"/>
              </w:rPr>
              <w:t>该处理工艺实现了猪场自身产粪的全部消化和资源综合利用，使动物粪便变废为宝，取得良好的经济效益与生态效益。</w:t>
            </w:r>
          </w:p>
        </w:tc>
      </w:tr>
    </w:tbl>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7.2.2 原辅材料利用指标</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原材料的清洁生产指标主要从原材料的毒性、生态影响、可再生性、能源强度以及可回收利用这五个方面建立指标。生猪养殖所用饲料为玉米、豆粕、麸皮以及预混料，作为养殖项目，这些是必须消耗的，从清洁生产角度分析，其最终表征为饲料配比（即消耗量的多少、利用率的高低）、猪的料肉比、生长速度、出栏周期等方面。</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喂养饲料内不含兴奋剂、镇静剂和各种违禁药品，各种饲料添加剂均不超标，符合《饲料卫生标准》（GB13078-2001）和《饲料和饲料添加剂管理条例》中的相关规定，保证了饲料的清洁性、营养型和安全性，避免了由原料带来的危害和损失，属清洁原料。</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工程各猪舍配套设置料基，公司结合项目特点，进行合理饲料配比。本项目主要以保育为主，结合保育的生长特征，采用现代化自动饲养技术，合理分栏、调整饲料配比，提高饲料利用率，并能减少臭气产生量。</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7.2.3 资源能源利用指标</w:t>
      </w:r>
    </w:p>
    <w:p>
      <w:pPr>
        <w:spacing w:line="360" w:lineRule="auto"/>
        <w:ind w:firstLine="482" w:firstLineChars="200"/>
        <w:outlineLvl w:val="3"/>
        <w:rPr>
          <w:rFonts w:hint="default" w:ascii="Times New Roman" w:hAnsi="Times New Roman" w:cs="Times New Roman"/>
          <w:b/>
          <w:bCs/>
          <w:sz w:val="24"/>
          <w:szCs w:val="24"/>
        </w:rPr>
      </w:pPr>
      <w:r>
        <w:rPr>
          <w:rFonts w:hint="default" w:ascii="Times New Roman" w:hAnsi="Times New Roman" w:cs="Times New Roman"/>
          <w:b/>
          <w:bCs/>
          <w:sz w:val="24"/>
          <w:szCs w:val="24"/>
        </w:rPr>
        <w:t>7.2.3.1 水资源的利用</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本项目采用目前较先进的养殖技术，改进生产及治污措施，采用节水、节能、减排的生产设备及治污方式，从源头控制水资源的利用，采取的节水措施如下：</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（1）全漏缝地板</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拟采用的漏缝地板，根据不同阶段猪群设计漏缝地板缝宽，有效保护了不同阶段猪群的猪蹄，同时更保证了猪群排放的粪便全部落入粪道，确保了猪舍的干净卫生，不需每天清洗，对猪舍漏缝板进行高压冲洗消毒，可最大程度减少猪舍冲洗用水。</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（2）盘式饮水器</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养殖过程中采用盘式饮水器，有效减少了猪玩水及猪嘴漏水的浪费，并在日常工作中加强管理，定时定量结合重奖重罚，以杜绝设备滴漏造成的浪费。夏季降温采用电脑控制喷淋水量，猪转栏时利用高压水枪配合烧碱水冲洗消毒，最大限度的从源头减少了水资源的使用量，该饮水器比碗式饮水器每头猪节省水1L/d，提高了资源利用率，符合清洁生产要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本项目年存栏7000头，年消耗新鲜水量为49197.5m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/a，则平均每头猪新鲜水消耗量为3.51m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/d头，提高了资源利用率，符合清洁生产要求。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由于防疫要求，在猪转（出）栏后需要对猪舍进行清圈消毒。传统的方式用普通水管，浪费大量清水，而高压水枪设置18-20个大气压，使用少量清水就能完成。 </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清圈消毒平均用水量由常规的15吨/单元降至3吨/单元左右。</w:t>
      </w:r>
    </w:p>
    <w:p>
      <w:pPr>
        <w:spacing w:line="360" w:lineRule="auto"/>
        <w:ind w:firstLine="482" w:firstLineChars="200"/>
        <w:outlineLvl w:val="3"/>
        <w:rPr>
          <w:rFonts w:hint="default" w:ascii="Times New Roman" w:hAnsi="Times New Roman" w:cs="Times New Roman"/>
          <w:b/>
          <w:bCs/>
          <w:sz w:val="24"/>
          <w:szCs w:val="24"/>
        </w:rPr>
      </w:pPr>
      <w:r>
        <w:rPr>
          <w:rFonts w:hint="default" w:ascii="Times New Roman" w:hAnsi="Times New Roman" w:cs="Times New Roman"/>
          <w:b/>
          <w:bCs/>
          <w:sz w:val="24"/>
          <w:szCs w:val="24"/>
        </w:rPr>
        <w:t>7.2.3.2 燃料的节约</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（1）猪舍供热</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本项目冬季育肥舍取暖采用墙体安装夹心保温板，在很大程度上减少了燃料和电能的使用，符合清洁生产要求。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（2）沼气利用</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本项目厌氧发酵产生的沼气经净化后，用于食堂燃料等。在节约能源的同时，更加减少了能源的浪费，符合清洁生产要求。</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7.2.3 产品指标</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主要产品为育肥猪。本项目采用的饲料质量进行全过程控制。本项目拟建设为无公害食品基地，施行无公害生产管理，公司对使用的饲料均制定了严格的质量标准和品质检验、控制程序，确保饲料品质符合国家标准和满足本公司商品猪饲养的需要，从源头上对食品安全进行了控制。</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7.2.4 污染物产生及防治措施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（1）废水资源化利用</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第三章工程分析，正常情况下项目产生的养殖废水经固液分离机—经“粪污收集池+集水池+固液分离+调节酸化池+沼气池+好氧池+沉淀池+消毒+沼液暂存池”工艺处理达《农田灌溉水质标准》（GB5084-2005）旱作标准后用于农场土地施肥使用。非灌溉季节处理后废水在储存池暂时储存，最大限度的满足资源再利用。厌氧发酵产生的沼气进行脱水、脱硫等净化处理。沼气用于食堂燃料等。在节约能源的同时，更加减少了能源的浪费，符合清洁生产要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（2）减少废气产生和排放</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废气排放主要为猪舍排放的恶臭气体。猪舍使用漏缝地板，保证粪便冷却，并尽快从猪舍内清粪，在猪舍内加强通风，加速粪便干燥，可减少猪粪污染；通过在日粮中添加EM，并合理搭配日粮，可以一方面抑制了腐败细菌的生长，改善有机物的分解途径，减少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和H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S的释放量和胺类物质的产生；另一方面它又可利用H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S作氢受体，消耗H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S，从而减轻环境中的恶臭，减少蚊蝇孪生。</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（3）噪声达标排放</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项目营运期间污水处理设施设备运转产生的噪声，通过采取设备基础减振、场房隔声等措施，再经场界距离衰减后，可以在场界噪声达标排放。</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（4）固体废物资源化利用</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本项目猪粪、沼渣即是固废同时也是极佳的农肥，通过外售给农场再利用，处理后转化为有机农肥还田利用，并进一步替代化肥使用量，具有良好的生态环境效益和社会效益。</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（5）沼气资源化利用</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本项目废水经厌氧发酵系统产生沼气，本项目沼气用于食堂燃料等。实现沼气最大资源化利用。</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7.2.5 环境管理要求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（1）生产管理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生猪管理采用编号建档方法，每头猪有自己的唯一编号，建立猪系谱，记录其出生时间、出生特征、成年体形、疫苗注射、繁育次数情况等，根据不同的生长阶段给予特定的饲料配比，根据体形特征在培育下一代时做到最好的品种改良，管理较完善。养殖场实行全进全出，合理分栏，节约原料及场地空间。</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（2）防疫措施的严格性</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严格执行科学的卫生防疫措施，有效预防和控制传染病的发生。</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1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①</w:t>
      </w:r>
      <w:r>
        <w:rPr>
          <w:rFonts w:hint="default" w:ascii="Times New Roman" w:hAnsi="Times New Roman" w:cs="Times New Roman"/>
          <w:sz w:val="24"/>
          <w:szCs w:val="24"/>
        </w:rPr>
        <w:fldChar w:fldCharType="end"/>
      </w:r>
      <w:r>
        <w:rPr>
          <w:rFonts w:hint="default" w:ascii="Times New Roman" w:hAnsi="Times New Roman" w:cs="Times New Roman"/>
          <w:sz w:val="24"/>
          <w:szCs w:val="24"/>
        </w:rPr>
        <w:t>慎重引种。猪场在初期引入种猪时，要严格按照防疫要求，在隔离舍观察40天左右，确保种猪源的无害性；</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2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②</w:t>
      </w:r>
      <w:r>
        <w:rPr>
          <w:rFonts w:hint="default" w:ascii="Times New Roman" w:hAnsi="Times New Roman" w:cs="Times New Roman"/>
          <w:sz w:val="24"/>
          <w:szCs w:val="24"/>
        </w:rPr>
        <w:fldChar w:fldCharType="end"/>
      </w:r>
      <w:r>
        <w:rPr>
          <w:rFonts w:hint="default" w:ascii="Times New Roman" w:hAnsi="Times New Roman" w:cs="Times New Roman"/>
          <w:sz w:val="24"/>
          <w:szCs w:val="24"/>
        </w:rPr>
        <w:t>猪场布局合理，生产、生活区严格分开，生产区周围设立防护设施，非生产人员不得随意进入生产区；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3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③</w:t>
      </w:r>
      <w:r>
        <w:rPr>
          <w:rFonts w:hint="default" w:ascii="Times New Roman" w:hAnsi="Times New Roman" w:cs="Times New Roman"/>
          <w:sz w:val="24"/>
          <w:szCs w:val="24"/>
        </w:rPr>
        <w:fldChar w:fldCharType="end"/>
      </w:r>
      <w:r>
        <w:rPr>
          <w:rFonts w:hint="default" w:ascii="Times New Roman" w:hAnsi="Times New Roman" w:cs="Times New Roman"/>
          <w:sz w:val="24"/>
          <w:szCs w:val="24"/>
        </w:rPr>
        <w:t>猪场内设病猪隔离舍，对病猪进行隔离观察诊治；对死亡的生猪，实施集中焚烧实现无害化处理，严格进行消毒措施；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4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④</w:t>
      </w:r>
      <w:r>
        <w:rPr>
          <w:rFonts w:hint="default" w:ascii="Times New Roman" w:hAnsi="Times New Roman" w:cs="Times New Roman"/>
          <w:sz w:val="24"/>
          <w:szCs w:val="24"/>
        </w:rPr>
        <w:fldChar w:fldCharType="end"/>
      </w:r>
      <w:r>
        <w:rPr>
          <w:rFonts w:hint="default" w:ascii="Times New Roman" w:hAnsi="Times New Roman" w:cs="Times New Roman"/>
          <w:sz w:val="24"/>
          <w:szCs w:val="24"/>
        </w:rPr>
        <w:t>对进出养殖场的运输车辆进行严格消毒。</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本项目为生猪养殖项目，生产过程中应严格按照《无公害食品—生猪饲养管理技术规程》中提出的“引种、环境、饲养、免疫、疾病控制、废弃物处理” 等涉及到生猪饲养管理的各环节应遵循的准则。</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经以上分析，本工程清洁生产水平可达到国内清洁生产先进水平。</w:t>
      </w:r>
    </w:p>
    <w:p>
      <w:pPr>
        <w:spacing w:line="360" w:lineRule="auto"/>
        <w:jc w:val="left"/>
        <w:outlineLvl w:val="1"/>
        <w:rPr>
          <w:rFonts w:hint="default" w:ascii="Times New Roman" w:hAnsi="Times New Roman" w:cs="Times New Roman"/>
          <w:b/>
          <w:bCs/>
          <w:sz w:val="28"/>
          <w:szCs w:val="28"/>
        </w:rPr>
      </w:pPr>
      <w:bookmarkStart w:id="371" w:name="_Toc32392"/>
      <w:bookmarkStart w:id="372" w:name="_Toc5372"/>
      <w:r>
        <w:rPr>
          <w:rFonts w:hint="default" w:ascii="Times New Roman" w:hAnsi="Times New Roman" w:cs="Times New Roman"/>
          <w:b/>
          <w:bCs/>
          <w:sz w:val="28"/>
          <w:szCs w:val="28"/>
        </w:rPr>
        <w:t>7.3 清洁生产评价</w:t>
      </w:r>
      <w:bookmarkEnd w:id="371"/>
      <w:bookmarkEnd w:id="372"/>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7.3.1 指标对比及评价</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虽然国家尚未制定畜禽养殖类企业的清洁生产标准，但国家对畜禽养殖业干清粪工艺最大排水量有指标，评价仅在此给出工程经过清洁生产后的某些清洁生产指标，并与畜禽养殖业干清粪工艺最大排水量指标对比，见下表。</w:t>
      </w:r>
    </w:p>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表7.3-1  本项目与同行业生产技术指标对比分析一览表</w:t>
      </w:r>
    </w:p>
    <w:tbl>
      <w:tblPr>
        <w:tblStyle w:val="33"/>
        <w:tblW w:w="97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1978"/>
        <w:gridCol w:w="1589"/>
        <w:gridCol w:w="45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35" w:type="dxa"/>
            <w:vAlign w:val="center"/>
          </w:tcPr>
          <w:p>
            <w:pPr>
              <w:adjustRightInd w:val="0"/>
              <w:snapToGrid w:val="0"/>
              <w:jc w:val="center"/>
              <w:textAlignment w:val="center"/>
              <w:rPr>
                <w:rFonts w:hint="default" w:ascii="Times New Roman" w:hAnsi="Times New Roman" w:cs="Times New Roman"/>
                <w:b/>
                <w:snapToGrid w:val="0"/>
                <w:szCs w:val="21"/>
              </w:rPr>
            </w:pPr>
            <w:r>
              <w:rPr>
                <w:rFonts w:hint="default" w:ascii="Times New Roman" w:hAnsi="Times New Roman" w:cs="Times New Roman"/>
                <w:b/>
                <w:snapToGrid w:val="0"/>
                <w:szCs w:val="21"/>
              </w:rPr>
              <w:t>项目</w:t>
            </w:r>
          </w:p>
        </w:tc>
        <w:tc>
          <w:tcPr>
            <w:tcW w:w="1978" w:type="dxa"/>
            <w:vAlign w:val="center"/>
          </w:tcPr>
          <w:p>
            <w:pPr>
              <w:adjustRightInd w:val="0"/>
              <w:snapToGrid w:val="0"/>
              <w:jc w:val="center"/>
              <w:textAlignment w:val="center"/>
              <w:rPr>
                <w:rFonts w:hint="default" w:ascii="Times New Roman" w:hAnsi="Times New Roman" w:cs="Times New Roman"/>
                <w:b/>
                <w:snapToGrid w:val="0"/>
                <w:szCs w:val="21"/>
              </w:rPr>
            </w:pPr>
            <w:r>
              <w:rPr>
                <w:rFonts w:hint="default" w:ascii="Times New Roman" w:hAnsi="Times New Roman" w:cs="Times New Roman"/>
                <w:b/>
                <w:snapToGrid w:val="0"/>
                <w:szCs w:val="21"/>
              </w:rPr>
              <w:t>单位</w:t>
            </w:r>
          </w:p>
        </w:tc>
        <w:tc>
          <w:tcPr>
            <w:tcW w:w="1589" w:type="dxa"/>
            <w:vAlign w:val="center"/>
          </w:tcPr>
          <w:p>
            <w:pPr>
              <w:widowControl/>
              <w:adjustRightInd w:val="0"/>
              <w:snapToGrid w:val="0"/>
              <w:jc w:val="center"/>
              <w:textAlignment w:val="center"/>
              <w:rPr>
                <w:rFonts w:hint="default" w:ascii="Times New Roman" w:hAnsi="Times New Roman" w:cs="Times New Roman"/>
                <w:b/>
                <w:snapToGrid w:val="0"/>
                <w:szCs w:val="21"/>
              </w:rPr>
            </w:pPr>
            <w:r>
              <w:rPr>
                <w:rFonts w:hint="default" w:ascii="Times New Roman" w:hAnsi="Times New Roman" w:cs="Times New Roman"/>
                <w:b/>
                <w:snapToGrid w:val="0"/>
                <w:szCs w:val="21"/>
              </w:rPr>
              <w:t>本工程指标</w:t>
            </w:r>
          </w:p>
        </w:tc>
        <w:tc>
          <w:tcPr>
            <w:tcW w:w="4510" w:type="dxa"/>
            <w:vAlign w:val="center"/>
          </w:tcPr>
          <w:p>
            <w:pPr>
              <w:widowControl/>
              <w:adjustRightInd w:val="0"/>
              <w:snapToGrid w:val="0"/>
              <w:jc w:val="center"/>
              <w:textAlignment w:val="center"/>
              <w:rPr>
                <w:rFonts w:hint="default" w:ascii="Times New Roman" w:hAnsi="Times New Roman" w:cs="Times New Roman"/>
                <w:b/>
                <w:snapToGrid w:val="0"/>
                <w:szCs w:val="21"/>
              </w:rPr>
            </w:pPr>
            <w:r>
              <w:rPr>
                <w:rFonts w:hint="default" w:ascii="Times New Roman" w:hAnsi="Times New Roman" w:cs="Times New Roman"/>
                <w:b/>
                <w:snapToGrid w:val="0"/>
                <w:szCs w:val="21"/>
              </w:rPr>
              <w:t>集约化畜禽养殖业干清粪工艺最高允许排水量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1635"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夏季</w:t>
            </w:r>
          </w:p>
        </w:tc>
        <w:tc>
          <w:tcPr>
            <w:tcW w:w="1978"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m</w:t>
            </w:r>
            <w:r>
              <w:rPr>
                <w:rFonts w:hint="default" w:ascii="Times New Roman" w:hAnsi="Times New Roman" w:cs="Times New Roman"/>
                <w:snapToGrid w:val="0"/>
                <w:szCs w:val="21"/>
                <w:vertAlign w:val="superscript"/>
              </w:rPr>
              <w:t>3</w:t>
            </w:r>
            <w:r>
              <w:rPr>
                <w:rFonts w:hint="default" w:ascii="Times New Roman" w:hAnsi="Times New Roman" w:cs="Times New Roman"/>
                <w:snapToGrid w:val="0"/>
                <w:szCs w:val="21"/>
              </w:rPr>
              <w:t>/百头·d</w:t>
            </w:r>
          </w:p>
        </w:tc>
        <w:tc>
          <w:tcPr>
            <w:tcW w:w="1589"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1.28</w:t>
            </w:r>
          </w:p>
        </w:tc>
        <w:tc>
          <w:tcPr>
            <w:tcW w:w="4510"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635"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冬季</w:t>
            </w:r>
          </w:p>
        </w:tc>
        <w:tc>
          <w:tcPr>
            <w:tcW w:w="1978" w:type="dxa"/>
            <w:vAlign w:val="center"/>
          </w:tcPr>
          <w:p>
            <w:pPr>
              <w:adjustRightInd w:val="0"/>
              <w:snapToGrid w:val="0"/>
              <w:jc w:val="center"/>
              <w:textAlignment w:val="center"/>
              <w:rPr>
                <w:rFonts w:hint="default" w:ascii="Times New Roman" w:hAnsi="Times New Roman" w:cs="Times New Roman"/>
                <w:bCs/>
                <w:szCs w:val="21"/>
              </w:rPr>
            </w:pPr>
            <w:r>
              <w:rPr>
                <w:rFonts w:hint="default" w:ascii="Times New Roman" w:hAnsi="Times New Roman" w:cs="Times New Roman"/>
                <w:snapToGrid w:val="0"/>
                <w:szCs w:val="21"/>
              </w:rPr>
              <w:t>m</w:t>
            </w:r>
            <w:r>
              <w:rPr>
                <w:rFonts w:hint="default" w:ascii="Times New Roman" w:hAnsi="Times New Roman" w:cs="Times New Roman"/>
                <w:snapToGrid w:val="0"/>
                <w:szCs w:val="21"/>
                <w:vertAlign w:val="superscript"/>
              </w:rPr>
              <w:t>3</w:t>
            </w:r>
            <w:r>
              <w:rPr>
                <w:rFonts w:hint="default" w:ascii="Times New Roman" w:hAnsi="Times New Roman" w:cs="Times New Roman"/>
                <w:snapToGrid w:val="0"/>
                <w:szCs w:val="21"/>
              </w:rPr>
              <w:t>/百头·d</w:t>
            </w:r>
          </w:p>
        </w:tc>
        <w:tc>
          <w:tcPr>
            <w:tcW w:w="1589"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0.77</w:t>
            </w:r>
          </w:p>
        </w:tc>
        <w:tc>
          <w:tcPr>
            <w:tcW w:w="4510"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1.2</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由以上分析，工程采取清洁生产后，夏季每天百头猪废水排放量1.28m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，冬季每天百头猪废水排放量0.77m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，低于集约化畜禽养殖业干清粪工艺最高允许排水量。</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7.3.2 清洁生产水平分析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目前我国并未制定养猪行业清洁生产标准及相应的指标体系，目前国内养殖企业主要有雏鹰农牧集团有限公司、牧原食品股份有限公司等大型公司，两公司均为养殖行业的上市公司、其生产设备等各方面较先进。本次评价通过对比雏鹰农牧集团有限公司的基本情况，确定本项目的清洁生产水平。本项目清洁生产指标和国内先进企业指标对比情况具体见表7.3-2。</w:t>
      </w:r>
    </w:p>
    <w:p>
      <w:pPr>
        <w:adjustRightInd w:val="0"/>
        <w:snapToGrid w:val="0"/>
        <w:jc w:val="center"/>
        <w:rPr>
          <w:rFonts w:hint="default" w:ascii="Times New Roman" w:hAnsi="Times New Roman" w:eastAsia="黑体" w:cs="Times New Roman"/>
          <w:bCs/>
          <w:sz w:val="24"/>
          <w:szCs w:val="24"/>
        </w:rPr>
      </w:pPr>
      <w:bookmarkStart w:id="373" w:name="_Ref260684057"/>
      <w:r>
        <w:rPr>
          <w:rFonts w:hint="default" w:ascii="Times New Roman" w:hAnsi="Times New Roman" w:eastAsia="黑体" w:cs="Times New Roman"/>
          <w:bCs/>
          <w:sz w:val="24"/>
          <w:szCs w:val="24"/>
        </w:rPr>
        <w:t>表7.3-2  项目生产技术指标分析一览表</w:t>
      </w:r>
      <w:bookmarkEnd w:id="373"/>
    </w:p>
    <w:tbl>
      <w:tblPr>
        <w:tblStyle w:val="33"/>
        <w:tblW w:w="97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2816"/>
        <w:gridCol w:w="2635"/>
        <w:gridCol w:w="28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419" w:type="dxa"/>
            <w:vAlign w:val="center"/>
          </w:tcPr>
          <w:p>
            <w:pPr>
              <w:adjustRightInd w:val="0"/>
              <w:snapToGrid w:val="0"/>
              <w:jc w:val="center"/>
              <w:textAlignment w:val="center"/>
              <w:rPr>
                <w:rFonts w:hint="default" w:ascii="Times New Roman" w:hAnsi="Times New Roman" w:cs="Times New Roman"/>
                <w:b/>
                <w:snapToGrid w:val="0"/>
                <w:szCs w:val="21"/>
              </w:rPr>
            </w:pPr>
            <w:r>
              <w:rPr>
                <w:rFonts w:hint="default" w:ascii="Times New Roman" w:hAnsi="Times New Roman" w:cs="Times New Roman"/>
                <w:b/>
                <w:snapToGrid w:val="0"/>
                <w:szCs w:val="21"/>
              </w:rPr>
              <w:t>项目</w:t>
            </w:r>
          </w:p>
        </w:tc>
        <w:tc>
          <w:tcPr>
            <w:tcW w:w="2816" w:type="dxa"/>
            <w:vAlign w:val="center"/>
          </w:tcPr>
          <w:p>
            <w:pPr>
              <w:adjustRightInd w:val="0"/>
              <w:snapToGrid w:val="0"/>
              <w:jc w:val="center"/>
              <w:textAlignment w:val="center"/>
              <w:rPr>
                <w:rFonts w:hint="default" w:ascii="Times New Roman" w:hAnsi="Times New Roman" w:cs="Times New Roman"/>
                <w:b/>
                <w:snapToGrid w:val="0"/>
                <w:szCs w:val="21"/>
              </w:rPr>
            </w:pPr>
            <w:r>
              <w:rPr>
                <w:rFonts w:hint="default" w:ascii="Times New Roman" w:hAnsi="Times New Roman" w:cs="Times New Roman"/>
                <w:b/>
                <w:snapToGrid w:val="0"/>
                <w:szCs w:val="21"/>
              </w:rPr>
              <w:t>本项目</w:t>
            </w:r>
          </w:p>
        </w:tc>
        <w:tc>
          <w:tcPr>
            <w:tcW w:w="2635" w:type="dxa"/>
            <w:vAlign w:val="center"/>
          </w:tcPr>
          <w:p>
            <w:pPr>
              <w:widowControl/>
              <w:adjustRightInd w:val="0"/>
              <w:snapToGrid w:val="0"/>
              <w:jc w:val="center"/>
              <w:textAlignment w:val="center"/>
              <w:rPr>
                <w:rFonts w:hint="default" w:ascii="Times New Roman" w:hAnsi="Times New Roman" w:cs="Times New Roman"/>
                <w:b/>
                <w:snapToGrid w:val="0"/>
                <w:szCs w:val="21"/>
              </w:rPr>
            </w:pPr>
            <w:r>
              <w:rPr>
                <w:rFonts w:hint="default" w:ascii="Times New Roman" w:hAnsi="Times New Roman" w:cs="Times New Roman"/>
                <w:b/>
                <w:snapToGrid w:val="0"/>
                <w:szCs w:val="21"/>
              </w:rPr>
              <w:t>雏鹰农牧集团有限公司同类猪场</w:t>
            </w:r>
          </w:p>
        </w:tc>
        <w:tc>
          <w:tcPr>
            <w:tcW w:w="2842" w:type="dxa"/>
            <w:vAlign w:val="center"/>
          </w:tcPr>
          <w:p>
            <w:pPr>
              <w:widowControl/>
              <w:adjustRightInd w:val="0"/>
              <w:snapToGrid w:val="0"/>
              <w:jc w:val="center"/>
              <w:textAlignment w:val="center"/>
              <w:rPr>
                <w:rFonts w:hint="default" w:ascii="Times New Roman" w:hAnsi="Times New Roman" w:cs="Times New Roman"/>
                <w:b/>
                <w:snapToGrid w:val="0"/>
                <w:szCs w:val="21"/>
              </w:rPr>
            </w:pPr>
            <w:r>
              <w:rPr>
                <w:rFonts w:hint="default" w:ascii="Times New Roman" w:hAnsi="Times New Roman" w:cs="Times New Roman"/>
                <w:b/>
                <w:snapToGrid w:val="0"/>
                <w:szCs w:val="21"/>
              </w:rPr>
              <w:t>牧原食品股份有限公司宋沟九厂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419"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技术工艺</w:t>
            </w:r>
          </w:p>
        </w:tc>
        <w:tc>
          <w:tcPr>
            <w:tcW w:w="2816"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漏缝板+机械清粪工艺，投资大，用水量较小、劳动强度小，后期运营维护成本高</w:t>
            </w:r>
          </w:p>
        </w:tc>
        <w:tc>
          <w:tcPr>
            <w:tcW w:w="2635"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漏缝板+机械清粪工艺，投资大，用水量较小、劳动强度小，后期运营维护成本高</w:t>
            </w:r>
          </w:p>
        </w:tc>
        <w:tc>
          <w:tcPr>
            <w:tcW w:w="2842"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漏缝板+机械清粪工艺，投资大，用水量较小、劳动强度小，后期运营维护成本高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2" w:hRule="atLeast"/>
          <w:jc w:val="center"/>
        </w:trPr>
        <w:tc>
          <w:tcPr>
            <w:tcW w:w="1419"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节水设施</w:t>
            </w:r>
          </w:p>
        </w:tc>
        <w:tc>
          <w:tcPr>
            <w:tcW w:w="2816"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全漏缝地板，限位猪槽及水帘降温、只在转栏时用高压水枪冲洗猪舍、限位饮水器、安装水表、绩效管理</w:t>
            </w:r>
          </w:p>
        </w:tc>
        <w:tc>
          <w:tcPr>
            <w:tcW w:w="2635"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全自动给料给水系统、猪舍小环境自动控制系统</w:t>
            </w:r>
          </w:p>
        </w:tc>
        <w:tc>
          <w:tcPr>
            <w:tcW w:w="2842"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全漏缝地板，限位猪槽及水帘降温、只在转栏时用高压水枪冲洗猪舍、限位饮水器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419"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废物回收利用</w:t>
            </w:r>
          </w:p>
        </w:tc>
        <w:tc>
          <w:tcPr>
            <w:tcW w:w="2816" w:type="dxa"/>
            <w:vAlign w:val="center"/>
          </w:tcPr>
          <w:p>
            <w:pPr>
              <w:adjustRightInd w:val="0"/>
              <w:snapToGrid w:val="0"/>
              <w:jc w:val="center"/>
              <w:textAlignment w:val="center"/>
              <w:rPr>
                <w:rFonts w:hint="default" w:ascii="Times New Roman" w:hAnsi="Times New Roman" w:cs="Times New Roman"/>
                <w:bCs/>
                <w:szCs w:val="21"/>
              </w:rPr>
            </w:pPr>
            <w:r>
              <w:rPr>
                <w:rFonts w:hint="default" w:ascii="Times New Roman" w:hAnsi="Times New Roman" w:cs="Times New Roman"/>
                <w:bCs/>
                <w:szCs w:val="21"/>
              </w:rPr>
              <w:t>废水产生量较小，废水采用的“</w:t>
            </w:r>
            <w:r>
              <w:rPr>
                <w:rFonts w:hint="default" w:ascii="Times New Roman" w:hAnsi="Times New Roman" w:cs="Times New Roman"/>
                <w:szCs w:val="21"/>
              </w:rPr>
              <w:t>粪污收集池+集水池+固液分离+调节酸化池+沼气池+好氧池+沉淀池+消毒+沼液暂存池（含应急功能）</w:t>
            </w:r>
            <w:r>
              <w:rPr>
                <w:rFonts w:hint="default" w:ascii="Times New Roman" w:hAnsi="Times New Roman" w:cs="Times New Roman"/>
                <w:bCs/>
                <w:szCs w:val="21"/>
              </w:rPr>
              <w:t>”处理工艺，处理后废水，用于农田施肥</w:t>
            </w:r>
          </w:p>
        </w:tc>
        <w:tc>
          <w:tcPr>
            <w:tcW w:w="2635"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bCs/>
                <w:szCs w:val="21"/>
              </w:rPr>
              <w:t>废水产生量较小，废水采用“UASB”处理工艺，沼液用于农田施肥</w:t>
            </w:r>
          </w:p>
        </w:tc>
        <w:tc>
          <w:tcPr>
            <w:tcW w:w="2842" w:type="dxa"/>
            <w:vAlign w:val="center"/>
          </w:tcPr>
          <w:p>
            <w:pPr>
              <w:adjustRightInd w:val="0"/>
              <w:snapToGrid w:val="0"/>
              <w:jc w:val="center"/>
              <w:textAlignment w:val="center"/>
              <w:rPr>
                <w:rFonts w:hint="default" w:ascii="Times New Roman" w:hAnsi="Times New Roman" w:cs="Times New Roman"/>
                <w:bCs/>
                <w:szCs w:val="21"/>
              </w:rPr>
            </w:pPr>
            <w:r>
              <w:rPr>
                <w:rFonts w:hint="default" w:ascii="Times New Roman" w:hAnsi="Times New Roman" w:cs="Times New Roman"/>
                <w:bCs/>
                <w:szCs w:val="21"/>
              </w:rPr>
              <w:t>废水产生量较小，废水采用改良的“UASB”处理工艺，沼液部分回用于冲洗刮板，其余用于农田施肥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1419"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原辅材料供应</w:t>
            </w:r>
          </w:p>
        </w:tc>
        <w:tc>
          <w:tcPr>
            <w:tcW w:w="2816" w:type="dxa"/>
            <w:vAlign w:val="center"/>
          </w:tcPr>
          <w:p>
            <w:pPr>
              <w:adjustRightInd w:val="0"/>
              <w:snapToGrid w:val="0"/>
              <w:jc w:val="center"/>
              <w:textAlignment w:val="center"/>
              <w:rPr>
                <w:rFonts w:hint="default" w:ascii="Times New Roman" w:hAnsi="Times New Roman" w:cs="Times New Roman"/>
                <w:bCs/>
                <w:szCs w:val="21"/>
              </w:rPr>
            </w:pPr>
            <w:r>
              <w:rPr>
                <w:rFonts w:hint="default" w:ascii="Times New Roman" w:hAnsi="Times New Roman" w:cs="Times New Roman"/>
                <w:bCs/>
                <w:szCs w:val="21"/>
              </w:rPr>
              <w:t>饲料外购，饲料设计合理</w:t>
            </w:r>
          </w:p>
        </w:tc>
        <w:tc>
          <w:tcPr>
            <w:tcW w:w="2635"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集团公司按照猪种统一供应，饲料设计合理</w:t>
            </w:r>
          </w:p>
        </w:tc>
        <w:tc>
          <w:tcPr>
            <w:tcW w:w="2842" w:type="dxa"/>
            <w:vAlign w:val="center"/>
          </w:tcPr>
          <w:p>
            <w:pPr>
              <w:adjustRightInd w:val="0"/>
              <w:snapToGrid w:val="0"/>
              <w:jc w:val="center"/>
              <w:textAlignment w:val="center"/>
              <w:rPr>
                <w:rFonts w:hint="default" w:ascii="Times New Roman" w:hAnsi="Times New Roman" w:cs="Times New Roman"/>
                <w:bCs/>
                <w:szCs w:val="21"/>
              </w:rPr>
            </w:pPr>
            <w:r>
              <w:rPr>
                <w:rFonts w:hint="default" w:ascii="Times New Roman" w:hAnsi="Times New Roman" w:cs="Times New Roman"/>
                <w:bCs/>
                <w:szCs w:val="21"/>
              </w:rPr>
              <w:t>饲料来自牧原公司配套饲料厂，饲料设计合理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419"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能源消耗</w:t>
            </w:r>
          </w:p>
        </w:tc>
        <w:tc>
          <w:tcPr>
            <w:tcW w:w="2816" w:type="dxa"/>
            <w:vAlign w:val="center"/>
          </w:tcPr>
          <w:p>
            <w:pPr>
              <w:adjustRightInd w:val="0"/>
              <w:snapToGrid w:val="0"/>
              <w:jc w:val="center"/>
              <w:textAlignment w:val="center"/>
              <w:rPr>
                <w:rFonts w:hint="default" w:ascii="Times New Roman" w:hAnsi="Times New Roman" w:cs="Times New Roman"/>
                <w:bCs/>
                <w:szCs w:val="21"/>
              </w:rPr>
            </w:pPr>
            <w:r>
              <w:rPr>
                <w:rFonts w:hint="default" w:ascii="Times New Roman" w:hAnsi="Times New Roman" w:cs="Times New Roman"/>
                <w:bCs/>
                <w:szCs w:val="21"/>
              </w:rPr>
              <w:t>平均用水量16L/头·d</w:t>
            </w:r>
          </w:p>
        </w:tc>
        <w:tc>
          <w:tcPr>
            <w:tcW w:w="2635"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bCs/>
                <w:szCs w:val="21"/>
              </w:rPr>
              <w:t>平均用水量15.6L/头·d</w:t>
            </w:r>
          </w:p>
        </w:tc>
        <w:tc>
          <w:tcPr>
            <w:tcW w:w="2842" w:type="dxa"/>
            <w:vAlign w:val="center"/>
          </w:tcPr>
          <w:p>
            <w:pPr>
              <w:adjustRightInd w:val="0"/>
              <w:snapToGrid w:val="0"/>
              <w:jc w:val="center"/>
              <w:textAlignment w:val="center"/>
              <w:rPr>
                <w:rFonts w:hint="default" w:ascii="Times New Roman" w:hAnsi="Times New Roman" w:cs="Times New Roman"/>
                <w:bCs/>
                <w:szCs w:val="21"/>
              </w:rPr>
            </w:pPr>
            <w:r>
              <w:rPr>
                <w:rFonts w:hint="default" w:ascii="Times New Roman" w:hAnsi="Times New Roman" w:cs="Times New Roman"/>
                <w:bCs/>
                <w:szCs w:val="21"/>
              </w:rPr>
              <w:t>平均用水量15L/头·d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19"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废水排放</w:t>
            </w:r>
          </w:p>
        </w:tc>
        <w:tc>
          <w:tcPr>
            <w:tcW w:w="2816" w:type="dxa"/>
            <w:vAlign w:val="center"/>
          </w:tcPr>
          <w:p>
            <w:pPr>
              <w:adjustRightInd w:val="0"/>
              <w:snapToGrid w:val="0"/>
              <w:jc w:val="center"/>
              <w:textAlignment w:val="center"/>
              <w:rPr>
                <w:rFonts w:hint="default" w:ascii="Times New Roman" w:hAnsi="Times New Roman" w:cs="Times New Roman"/>
                <w:bCs/>
                <w:szCs w:val="21"/>
              </w:rPr>
            </w:pPr>
            <w:r>
              <w:rPr>
                <w:rFonts w:hint="default" w:ascii="Times New Roman" w:hAnsi="Times New Roman" w:cs="Times New Roman"/>
                <w:bCs/>
                <w:szCs w:val="21"/>
              </w:rPr>
              <w:t>平均废水量0.56L/头·d</w:t>
            </w:r>
          </w:p>
        </w:tc>
        <w:tc>
          <w:tcPr>
            <w:tcW w:w="2635"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bCs/>
                <w:szCs w:val="21"/>
              </w:rPr>
              <w:t>平均废水量12.3L/头·d</w:t>
            </w:r>
          </w:p>
        </w:tc>
        <w:tc>
          <w:tcPr>
            <w:tcW w:w="2842" w:type="dxa"/>
            <w:vAlign w:val="center"/>
          </w:tcPr>
          <w:p>
            <w:pPr>
              <w:adjustRightInd w:val="0"/>
              <w:snapToGrid w:val="0"/>
              <w:jc w:val="center"/>
              <w:textAlignment w:val="center"/>
              <w:rPr>
                <w:rFonts w:hint="default" w:ascii="Times New Roman" w:hAnsi="Times New Roman" w:cs="Times New Roman"/>
                <w:bCs/>
                <w:szCs w:val="21"/>
              </w:rPr>
            </w:pPr>
            <w:r>
              <w:rPr>
                <w:rFonts w:hint="default" w:ascii="Times New Roman" w:hAnsi="Times New Roman" w:cs="Times New Roman"/>
                <w:bCs/>
                <w:szCs w:val="21"/>
              </w:rPr>
              <w:t>平均废水量8L/头·d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1419"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猪粪、沼渣利用措施</w:t>
            </w:r>
          </w:p>
        </w:tc>
        <w:tc>
          <w:tcPr>
            <w:tcW w:w="2816" w:type="dxa"/>
            <w:vAlign w:val="center"/>
          </w:tcPr>
          <w:p>
            <w:pPr>
              <w:adjustRightInd w:val="0"/>
              <w:snapToGrid w:val="0"/>
              <w:jc w:val="center"/>
              <w:textAlignment w:val="center"/>
              <w:rPr>
                <w:rFonts w:hint="default" w:ascii="Times New Roman" w:hAnsi="Times New Roman" w:cs="Times New Roman"/>
                <w:bCs/>
                <w:szCs w:val="21"/>
              </w:rPr>
            </w:pPr>
            <w:r>
              <w:rPr>
                <w:rFonts w:hint="default" w:ascii="Times New Roman" w:hAnsi="Times New Roman" w:cs="Times New Roman"/>
                <w:bCs/>
                <w:szCs w:val="21"/>
              </w:rPr>
              <w:t>外售给夹江县果香四季家庭农场制作有机肥</w:t>
            </w:r>
          </w:p>
        </w:tc>
        <w:tc>
          <w:tcPr>
            <w:tcW w:w="2635" w:type="dxa"/>
            <w:vAlign w:val="center"/>
          </w:tcPr>
          <w:p>
            <w:pPr>
              <w:adjustRightInd w:val="0"/>
              <w:snapToGrid w:val="0"/>
              <w:jc w:val="center"/>
              <w:textAlignment w:val="center"/>
              <w:rPr>
                <w:rFonts w:hint="default" w:ascii="Times New Roman" w:hAnsi="Times New Roman" w:cs="Times New Roman"/>
                <w:snapToGrid w:val="0"/>
                <w:szCs w:val="21"/>
              </w:rPr>
            </w:pPr>
            <w:r>
              <w:rPr>
                <w:rFonts w:hint="default" w:ascii="Times New Roman" w:hAnsi="Times New Roman" w:cs="Times New Roman"/>
                <w:snapToGrid w:val="0"/>
                <w:szCs w:val="21"/>
              </w:rPr>
              <w:t>高温发酵制备有机肥、回收利用率高</w:t>
            </w:r>
          </w:p>
        </w:tc>
        <w:tc>
          <w:tcPr>
            <w:tcW w:w="2842" w:type="dxa"/>
            <w:vAlign w:val="center"/>
          </w:tcPr>
          <w:p>
            <w:pPr>
              <w:adjustRightInd w:val="0"/>
              <w:snapToGrid w:val="0"/>
              <w:jc w:val="center"/>
              <w:textAlignment w:val="center"/>
              <w:rPr>
                <w:rFonts w:hint="default" w:ascii="Times New Roman" w:hAnsi="Times New Roman" w:cs="Times New Roman"/>
                <w:bCs/>
                <w:szCs w:val="21"/>
              </w:rPr>
            </w:pPr>
            <w:r>
              <w:rPr>
                <w:rFonts w:hint="default" w:ascii="Times New Roman" w:hAnsi="Times New Roman" w:cs="Times New Roman"/>
                <w:snapToGrid w:val="0"/>
                <w:szCs w:val="21"/>
              </w:rPr>
              <w:t>高温发酵制备有机肥、回收利用率高</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技术工艺，物耗、水耗、废物回收利用措施等方面均比雏鹰农牧集团有限公司猪场低，与牧原食品股份有限公司清洁生产水平接近，从原辅材料及能源、工艺技术、设备、产品等方面分析，本项目清洁生产水平可达到国内清洁生产先进水平。</w:t>
      </w:r>
    </w:p>
    <w:p>
      <w:pPr>
        <w:spacing w:line="360" w:lineRule="auto"/>
        <w:jc w:val="left"/>
        <w:outlineLvl w:val="1"/>
        <w:rPr>
          <w:rFonts w:hint="default" w:ascii="Times New Roman" w:hAnsi="Times New Roman" w:cs="Times New Roman"/>
          <w:b/>
          <w:bCs/>
          <w:sz w:val="28"/>
          <w:szCs w:val="28"/>
        </w:rPr>
      </w:pPr>
      <w:bookmarkStart w:id="374" w:name="_Toc21617"/>
      <w:bookmarkStart w:id="375" w:name="_Toc27344"/>
      <w:r>
        <w:rPr>
          <w:rFonts w:hint="default" w:ascii="Times New Roman" w:hAnsi="Times New Roman" w:cs="Times New Roman"/>
          <w:b/>
          <w:bCs/>
          <w:sz w:val="28"/>
          <w:szCs w:val="28"/>
        </w:rPr>
        <w:t>7.4 持续清洁生产计划建议</w:t>
      </w:r>
      <w:bookmarkEnd w:id="374"/>
      <w:bookmarkEnd w:id="375"/>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清洁生产是一个动态概念，是一个不断提高和完善的过程，因此建议企业要不断开展清洁生产意义和作用的宣传教育，不断提高持续进行清洁生产的认识；与国内外同类企业进行物耗和能耗的分析对比，找出差距，进行改进和提高；评价在对工程清洁生产水平分析的基础上，针对本工程特点，提出持续清洁生产建议，具体见下表。</w:t>
      </w:r>
    </w:p>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表7.4-3  持续清洁生产建议</w:t>
      </w:r>
    </w:p>
    <w:tbl>
      <w:tblPr>
        <w:tblStyle w:val="33"/>
        <w:tblW w:w="97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286"/>
        <w:gridCol w:w="4364"/>
        <w:gridCol w:w="32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854" w:type="dxa"/>
            <w:vAlign w:val="center"/>
          </w:tcPr>
          <w:p>
            <w:pPr>
              <w:adjustRightInd w:val="0"/>
              <w:snapToGrid w:val="0"/>
              <w:jc w:val="center"/>
              <w:textAlignment w:val="center"/>
              <w:rPr>
                <w:rFonts w:hint="default" w:ascii="Times New Roman" w:hAnsi="Times New Roman" w:cs="Times New Roman"/>
                <w:b/>
                <w:szCs w:val="21"/>
              </w:rPr>
            </w:pPr>
            <w:r>
              <w:rPr>
                <w:rFonts w:hint="default" w:ascii="Times New Roman" w:hAnsi="Times New Roman" w:cs="Times New Roman"/>
                <w:b/>
                <w:szCs w:val="21"/>
              </w:rPr>
              <w:t>类型</w:t>
            </w:r>
          </w:p>
        </w:tc>
        <w:tc>
          <w:tcPr>
            <w:tcW w:w="1286" w:type="dxa"/>
            <w:vAlign w:val="center"/>
          </w:tcPr>
          <w:p>
            <w:pPr>
              <w:adjustRightInd w:val="0"/>
              <w:snapToGrid w:val="0"/>
              <w:jc w:val="center"/>
              <w:textAlignment w:val="center"/>
              <w:rPr>
                <w:rFonts w:hint="default" w:ascii="Times New Roman" w:hAnsi="Times New Roman" w:cs="Times New Roman"/>
                <w:b/>
                <w:szCs w:val="21"/>
              </w:rPr>
            </w:pPr>
            <w:r>
              <w:rPr>
                <w:rFonts w:hint="default" w:ascii="Times New Roman" w:hAnsi="Times New Roman" w:cs="Times New Roman"/>
                <w:b/>
                <w:szCs w:val="21"/>
              </w:rPr>
              <w:t>项 目</w:t>
            </w:r>
          </w:p>
        </w:tc>
        <w:tc>
          <w:tcPr>
            <w:tcW w:w="4364" w:type="dxa"/>
            <w:vAlign w:val="center"/>
          </w:tcPr>
          <w:p>
            <w:pPr>
              <w:adjustRightInd w:val="0"/>
              <w:snapToGrid w:val="0"/>
              <w:jc w:val="center"/>
              <w:textAlignment w:val="center"/>
              <w:rPr>
                <w:rFonts w:hint="default" w:ascii="Times New Roman" w:hAnsi="Times New Roman" w:cs="Times New Roman"/>
                <w:b/>
                <w:szCs w:val="21"/>
              </w:rPr>
            </w:pPr>
            <w:r>
              <w:rPr>
                <w:rFonts w:hint="default" w:ascii="Times New Roman" w:hAnsi="Times New Roman" w:cs="Times New Roman"/>
                <w:b/>
                <w:szCs w:val="21"/>
              </w:rPr>
              <w:t>内         容</w:t>
            </w:r>
          </w:p>
        </w:tc>
        <w:tc>
          <w:tcPr>
            <w:tcW w:w="3208" w:type="dxa"/>
            <w:vAlign w:val="center"/>
          </w:tcPr>
          <w:p>
            <w:pPr>
              <w:adjustRightInd w:val="0"/>
              <w:snapToGrid w:val="0"/>
              <w:jc w:val="center"/>
              <w:textAlignment w:val="center"/>
              <w:rPr>
                <w:rFonts w:hint="default" w:ascii="Times New Roman" w:hAnsi="Times New Roman" w:cs="Times New Roman"/>
                <w:b/>
                <w:szCs w:val="21"/>
              </w:rPr>
            </w:pPr>
            <w:r>
              <w:rPr>
                <w:rFonts w:hint="default" w:ascii="Times New Roman" w:hAnsi="Times New Roman" w:cs="Times New Roman"/>
                <w:b/>
                <w:szCs w:val="21"/>
              </w:rPr>
              <w:t>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854" w:type="dxa"/>
            <w:vMerge w:val="restart"/>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工程方面建议</w:t>
            </w:r>
          </w:p>
        </w:tc>
        <w:tc>
          <w:tcPr>
            <w:tcW w:w="1286"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沼气利用</w:t>
            </w:r>
          </w:p>
        </w:tc>
        <w:tc>
          <w:tcPr>
            <w:tcW w:w="4364"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建议企业多探索一些沼气利用途径</w:t>
            </w:r>
          </w:p>
        </w:tc>
        <w:tc>
          <w:tcPr>
            <w:tcW w:w="3208"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最大程度拓宽沼气利用途径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854" w:type="dxa"/>
            <w:vMerge w:val="continue"/>
            <w:vAlign w:val="center"/>
          </w:tcPr>
          <w:p>
            <w:pPr>
              <w:adjustRightInd w:val="0"/>
              <w:snapToGrid w:val="0"/>
              <w:jc w:val="center"/>
              <w:textAlignment w:val="center"/>
              <w:rPr>
                <w:rFonts w:hint="default" w:ascii="Times New Roman" w:hAnsi="Times New Roman" w:cs="Times New Roman"/>
                <w:szCs w:val="21"/>
              </w:rPr>
            </w:pPr>
          </w:p>
        </w:tc>
        <w:tc>
          <w:tcPr>
            <w:tcW w:w="1286"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制肥工艺</w:t>
            </w:r>
          </w:p>
        </w:tc>
        <w:tc>
          <w:tcPr>
            <w:tcW w:w="4364"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建议进一步优化发酵工艺，提高制肥的自动化程度和发酵效果，降低环境污染</w:t>
            </w:r>
          </w:p>
        </w:tc>
        <w:tc>
          <w:tcPr>
            <w:tcW w:w="3208"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最大程度降低环境污染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jc w:val="center"/>
        </w:trPr>
        <w:tc>
          <w:tcPr>
            <w:tcW w:w="854" w:type="dxa"/>
            <w:vMerge w:val="restart"/>
            <w:vAlign w:val="center"/>
          </w:tcPr>
          <w:p>
            <w:pPr>
              <w:adjustRightInd w:val="0"/>
              <w:snapToGrid w:val="0"/>
              <w:jc w:val="center"/>
              <w:textAlignment w:val="center"/>
              <w:rPr>
                <w:rFonts w:hint="default" w:ascii="Times New Roman" w:hAnsi="Times New Roman" w:cs="Times New Roman"/>
                <w:spacing w:val="-2"/>
                <w:szCs w:val="21"/>
              </w:rPr>
            </w:pPr>
            <w:r>
              <w:rPr>
                <w:rFonts w:hint="default" w:ascii="Times New Roman" w:hAnsi="Times New Roman" w:cs="Times New Roman"/>
                <w:spacing w:val="-2"/>
                <w:szCs w:val="21"/>
              </w:rPr>
              <w:t>管理方面建议</w:t>
            </w:r>
          </w:p>
        </w:tc>
        <w:tc>
          <w:tcPr>
            <w:tcW w:w="1286"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组织</w:t>
            </w:r>
          </w:p>
        </w:tc>
        <w:tc>
          <w:tcPr>
            <w:tcW w:w="4364" w:type="dxa"/>
            <w:vAlign w:val="center"/>
          </w:tcPr>
          <w:p>
            <w:pPr>
              <w:adjustRightInd w:val="0"/>
              <w:snapToGrid w:val="0"/>
              <w:jc w:val="center"/>
              <w:textAlignment w:val="center"/>
              <w:rPr>
                <w:rFonts w:hint="default" w:ascii="Times New Roman" w:hAnsi="Times New Roman" w:cs="Times New Roman"/>
                <w:spacing w:val="-2"/>
                <w:szCs w:val="21"/>
              </w:rPr>
            </w:pPr>
            <w:r>
              <w:rPr>
                <w:rFonts w:hint="default" w:ascii="Times New Roman" w:hAnsi="Times New Roman" w:cs="Times New Roman"/>
                <w:spacing w:val="-2"/>
                <w:szCs w:val="21"/>
              </w:rPr>
              <w:t>设立清洁生产监督员</w:t>
            </w:r>
          </w:p>
        </w:tc>
        <w:tc>
          <w:tcPr>
            <w:tcW w:w="3208"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保证清洁生产实施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vMerge w:val="continue"/>
            <w:vAlign w:val="center"/>
          </w:tcPr>
          <w:p>
            <w:pPr>
              <w:adjustRightInd w:val="0"/>
              <w:snapToGrid w:val="0"/>
              <w:jc w:val="center"/>
              <w:textAlignment w:val="center"/>
              <w:rPr>
                <w:rFonts w:hint="default" w:ascii="Times New Roman" w:hAnsi="Times New Roman" w:cs="Times New Roman"/>
                <w:szCs w:val="21"/>
              </w:rPr>
            </w:pPr>
          </w:p>
        </w:tc>
        <w:tc>
          <w:tcPr>
            <w:tcW w:w="1286" w:type="dxa"/>
            <w:vMerge w:val="restart"/>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管理</w:t>
            </w:r>
          </w:p>
        </w:tc>
        <w:tc>
          <w:tcPr>
            <w:tcW w:w="4364"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制定猪粪堆肥的管理制度，提高员工环保意识</w:t>
            </w:r>
          </w:p>
        </w:tc>
        <w:tc>
          <w:tcPr>
            <w:tcW w:w="3208"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减少二次污染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854" w:type="dxa"/>
            <w:vMerge w:val="continue"/>
            <w:vAlign w:val="center"/>
          </w:tcPr>
          <w:p>
            <w:pPr>
              <w:adjustRightInd w:val="0"/>
              <w:snapToGrid w:val="0"/>
              <w:jc w:val="center"/>
              <w:textAlignment w:val="center"/>
              <w:rPr>
                <w:rFonts w:hint="default" w:ascii="Times New Roman" w:hAnsi="Times New Roman" w:cs="Times New Roman"/>
                <w:szCs w:val="21"/>
              </w:rPr>
            </w:pPr>
          </w:p>
        </w:tc>
        <w:tc>
          <w:tcPr>
            <w:tcW w:w="1286" w:type="dxa"/>
            <w:vMerge w:val="continue"/>
            <w:vAlign w:val="center"/>
          </w:tcPr>
          <w:p>
            <w:pPr>
              <w:adjustRightInd w:val="0"/>
              <w:snapToGrid w:val="0"/>
              <w:jc w:val="center"/>
              <w:textAlignment w:val="center"/>
              <w:rPr>
                <w:rFonts w:hint="default" w:ascii="Times New Roman" w:hAnsi="Times New Roman" w:cs="Times New Roman"/>
                <w:szCs w:val="21"/>
              </w:rPr>
            </w:pPr>
          </w:p>
        </w:tc>
        <w:tc>
          <w:tcPr>
            <w:tcW w:w="4364"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制定岗位操作规程，提高设备完好率</w:t>
            </w:r>
          </w:p>
        </w:tc>
        <w:tc>
          <w:tcPr>
            <w:tcW w:w="3208" w:type="dxa"/>
            <w:vAlign w:val="center"/>
          </w:tcPr>
          <w:p>
            <w:pPr>
              <w:adjustRightInd w:val="0"/>
              <w:snapToGrid w:val="0"/>
              <w:jc w:val="center"/>
              <w:textAlignment w:val="center"/>
              <w:rPr>
                <w:rFonts w:hint="default" w:ascii="Times New Roman" w:hAnsi="Times New Roman" w:cs="Times New Roman"/>
                <w:spacing w:val="-10"/>
                <w:szCs w:val="21"/>
              </w:rPr>
            </w:pPr>
            <w:r>
              <w:rPr>
                <w:rFonts w:hint="default" w:ascii="Times New Roman" w:hAnsi="Times New Roman" w:cs="Times New Roman"/>
                <w:spacing w:val="-10"/>
                <w:szCs w:val="21"/>
              </w:rPr>
              <w:t>确保系统正常运行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854" w:type="dxa"/>
            <w:vMerge w:val="continue"/>
            <w:vAlign w:val="center"/>
          </w:tcPr>
          <w:p>
            <w:pPr>
              <w:adjustRightInd w:val="0"/>
              <w:snapToGrid w:val="0"/>
              <w:jc w:val="center"/>
              <w:textAlignment w:val="center"/>
              <w:rPr>
                <w:rFonts w:hint="default" w:ascii="Times New Roman" w:hAnsi="Times New Roman" w:cs="Times New Roman"/>
                <w:szCs w:val="21"/>
              </w:rPr>
            </w:pPr>
          </w:p>
        </w:tc>
        <w:tc>
          <w:tcPr>
            <w:tcW w:w="1286" w:type="dxa"/>
            <w:vMerge w:val="continue"/>
            <w:vAlign w:val="center"/>
          </w:tcPr>
          <w:p>
            <w:pPr>
              <w:adjustRightInd w:val="0"/>
              <w:snapToGrid w:val="0"/>
              <w:jc w:val="center"/>
              <w:textAlignment w:val="center"/>
              <w:rPr>
                <w:rFonts w:hint="default" w:ascii="Times New Roman" w:hAnsi="Times New Roman" w:cs="Times New Roman"/>
                <w:szCs w:val="21"/>
              </w:rPr>
            </w:pPr>
          </w:p>
        </w:tc>
        <w:tc>
          <w:tcPr>
            <w:tcW w:w="4364"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生产设备的使用、维护、检修管理制度</w:t>
            </w:r>
          </w:p>
        </w:tc>
        <w:tc>
          <w:tcPr>
            <w:tcW w:w="3208"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确保设备正常运行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4" w:type="dxa"/>
            <w:vMerge w:val="continue"/>
            <w:vAlign w:val="center"/>
          </w:tcPr>
          <w:p>
            <w:pPr>
              <w:adjustRightInd w:val="0"/>
              <w:snapToGrid w:val="0"/>
              <w:jc w:val="center"/>
              <w:textAlignment w:val="center"/>
              <w:rPr>
                <w:rFonts w:hint="default" w:ascii="Times New Roman" w:hAnsi="Times New Roman" w:cs="Times New Roman"/>
                <w:spacing w:val="-6"/>
                <w:szCs w:val="21"/>
              </w:rPr>
            </w:pPr>
          </w:p>
        </w:tc>
        <w:tc>
          <w:tcPr>
            <w:tcW w:w="1286" w:type="dxa"/>
            <w:vAlign w:val="center"/>
          </w:tcPr>
          <w:p>
            <w:pPr>
              <w:adjustRightInd w:val="0"/>
              <w:snapToGrid w:val="0"/>
              <w:jc w:val="center"/>
              <w:textAlignment w:val="center"/>
              <w:rPr>
                <w:rFonts w:hint="default" w:ascii="Times New Roman" w:hAnsi="Times New Roman" w:cs="Times New Roman"/>
                <w:spacing w:val="-6"/>
                <w:szCs w:val="21"/>
              </w:rPr>
            </w:pPr>
            <w:r>
              <w:rPr>
                <w:rFonts w:hint="default" w:ascii="Times New Roman" w:hAnsi="Times New Roman" w:cs="Times New Roman"/>
                <w:spacing w:val="-6"/>
                <w:szCs w:val="21"/>
              </w:rPr>
              <w:t>培训</w:t>
            </w:r>
          </w:p>
        </w:tc>
        <w:tc>
          <w:tcPr>
            <w:tcW w:w="4364" w:type="dxa"/>
            <w:vAlign w:val="center"/>
          </w:tcPr>
          <w:p>
            <w:pPr>
              <w:adjustRightInd w:val="0"/>
              <w:snapToGrid w:val="0"/>
              <w:jc w:val="center"/>
              <w:textAlignment w:val="center"/>
              <w:rPr>
                <w:rFonts w:hint="default" w:ascii="Times New Roman" w:hAnsi="Times New Roman" w:cs="Times New Roman"/>
                <w:spacing w:val="-6"/>
                <w:szCs w:val="21"/>
              </w:rPr>
            </w:pPr>
            <w:r>
              <w:rPr>
                <w:rFonts w:hint="default" w:ascii="Times New Roman" w:hAnsi="Times New Roman" w:cs="Times New Roman"/>
                <w:spacing w:val="-6"/>
                <w:szCs w:val="21"/>
              </w:rPr>
              <w:t>制定培训计划，自觉参与清洁生产的各项活动</w:t>
            </w:r>
          </w:p>
        </w:tc>
        <w:tc>
          <w:tcPr>
            <w:tcW w:w="3208" w:type="dxa"/>
            <w:vAlign w:val="center"/>
          </w:tcPr>
          <w:p>
            <w:pPr>
              <w:adjustRightInd w:val="0"/>
              <w:snapToGrid w:val="0"/>
              <w:jc w:val="center"/>
              <w:textAlignment w:val="center"/>
              <w:rPr>
                <w:rFonts w:hint="default" w:ascii="Times New Roman" w:hAnsi="Times New Roman" w:cs="Times New Roman"/>
                <w:szCs w:val="21"/>
              </w:rPr>
            </w:pPr>
            <w:r>
              <w:rPr>
                <w:rFonts w:hint="default" w:ascii="Times New Roman" w:hAnsi="Times New Roman" w:cs="Times New Roman"/>
                <w:szCs w:val="21"/>
              </w:rPr>
              <w:t>保证各项措施顺利实施</w:t>
            </w:r>
          </w:p>
        </w:tc>
      </w:tr>
    </w:tbl>
    <w:p>
      <w:pPr>
        <w:spacing w:line="360" w:lineRule="auto"/>
        <w:jc w:val="left"/>
        <w:outlineLvl w:val="1"/>
        <w:rPr>
          <w:rFonts w:hint="default" w:ascii="Times New Roman" w:hAnsi="Times New Roman" w:cs="Times New Roman"/>
          <w:b/>
          <w:bCs/>
          <w:sz w:val="28"/>
          <w:szCs w:val="28"/>
        </w:rPr>
      </w:pPr>
      <w:bookmarkStart w:id="376" w:name="_Toc16152"/>
      <w:bookmarkStart w:id="377" w:name="_Toc11528"/>
      <w:r>
        <w:rPr>
          <w:rFonts w:hint="default" w:ascii="Times New Roman" w:hAnsi="Times New Roman" w:cs="Times New Roman"/>
          <w:b/>
          <w:bCs/>
          <w:sz w:val="28"/>
          <w:szCs w:val="28"/>
        </w:rPr>
        <w:t>7.5 清洁生产结论</w:t>
      </w:r>
      <w:bookmarkEnd w:id="376"/>
      <w:bookmarkEnd w:id="377"/>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工程从生产过程、污染防治技术、节能降耗等环节采用切实可行的清洁生产技术，从源头控制污染，过程控制和污染控制技术比较完备；工艺技术路线及装备符合目前国家产业政策和环保政策要求；工程物耗、能耗水平等指标达到国内同类企业先进水平。只要加强营运后日常生产管理与维护，保证各项环保设施正常运行，采取工程设计和评价建议的污染防治措施和清洁生产措施，确保各项环保设施正常运行，与同行业相比，本项目能耗低，污染物排放量小，生产工艺及管理可达到国内先进技术水平。</w:t>
      </w:r>
    </w:p>
    <w:p>
      <w:pPr>
        <w:pStyle w:val="3"/>
        <w:keepNext/>
        <w:keepLines/>
        <w:pageBreakBefore w:val="0"/>
        <w:widowControl w:val="0"/>
        <w:kinsoku/>
        <w:wordWrap/>
        <w:overflowPunct/>
        <w:topLinePunct w:val="0"/>
        <w:autoSpaceDE/>
        <w:autoSpaceDN/>
        <w:bidi w:val="0"/>
        <w:adjustRightInd/>
        <w:snapToGrid/>
        <w:spacing w:before="313" w:beforeLines="100" w:after="0" w:line="360" w:lineRule="auto"/>
        <w:jc w:val="center"/>
        <w:textAlignment w:val="auto"/>
        <w:outlineLvl w:val="0"/>
        <w:rPr>
          <w:rFonts w:hint="default" w:ascii="Times New Roman" w:hAnsi="Times New Roman" w:cs="Times New Roman"/>
        </w:rPr>
      </w:pPr>
      <w:r>
        <w:rPr>
          <w:rFonts w:hint="default" w:ascii="Times New Roman" w:hAnsi="Times New Roman" w:cs="Times New Roman"/>
          <w:sz w:val="24"/>
          <w:szCs w:val="24"/>
        </w:rPr>
        <w:br w:type="page"/>
      </w:r>
      <w:bookmarkEnd w:id="370"/>
      <w:bookmarkStart w:id="378" w:name="_Toc22130"/>
      <w:r>
        <w:rPr>
          <w:rFonts w:hint="default" w:ascii="Times New Roman" w:hAnsi="Times New Roman" w:cs="Times New Roman"/>
          <w:sz w:val="44"/>
          <w:szCs w:val="44"/>
        </w:rPr>
        <w:t>第八章 环境风险分析</w:t>
      </w:r>
      <w:bookmarkEnd w:id="378"/>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根据《建设项目环境风险评价技术导则》（HJ 169-2018）、《关于进一步加强环境影响评价管理防范环境风险的通知》（环发[2012]77号）、《关于切实加强风险防范严格环境影响评价管理的通知》（环发[2012]98号），环境风险评价的目的是分析和预测建设项目存在的潜在危险、有害因素，建设项目建设和运行期间可能发生的突发性事件或事故，引起有毒有害和易燃易爆等物质泄漏，所造成的人身安全与环境影响和损害程度，提出合理可行的防范、应急与减缓措施，以使建设项目事故率、损失和环境影响达到可接受水平，因此要加强环境风险管理，切实有效的防范环境风险。</w:t>
      </w:r>
    </w:p>
    <w:p>
      <w:pPr>
        <w:pStyle w:val="4"/>
        <w:spacing w:before="0" w:after="0" w:line="360" w:lineRule="auto"/>
        <w:rPr>
          <w:rFonts w:hint="default" w:ascii="Times New Roman" w:hAnsi="Times New Roman" w:cs="Times New Roman"/>
          <w:sz w:val="28"/>
          <w:szCs w:val="28"/>
        </w:rPr>
      </w:pPr>
      <w:bookmarkStart w:id="379" w:name="_Toc14103"/>
      <w:bookmarkStart w:id="380" w:name="_Toc6258"/>
      <w:r>
        <w:rPr>
          <w:rFonts w:hint="default" w:ascii="Times New Roman" w:hAnsi="Times New Roman" w:cs="Times New Roman"/>
          <w:sz w:val="28"/>
          <w:szCs w:val="28"/>
        </w:rPr>
        <w:t xml:space="preserve">8.1 </w:t>
      </w:r>
      <w:bookmarkEnd w:id="379"/>
      <w:r>
        <w:rPr>
          <w:rFonts w:hint="default" w:ascii="Times New Roman" w:hAnsi="Times New Roman" w:cs="Times New Roman"/>
          <w:sz w:val="28"/>
          <w:szCs w:val="28"/>
        </w:rPr>
        <w:t>评价依据</w:t>
      </w:r>
      <w:bookmarkEnd w:id="380"/>
    </w:p>
    <w:p>
      <w:pPr>
        <w:pStyle w:val="4"/>
        <w:spacing w:before="0" w:after="0" w:line="360" w:lineRule="auto"/>
        <w:ind w:firstLine="482" w:firstLineChars="200"/>
        <w:rPr>
          <w:rFonts w:hint="default" w:ascii="Times New Roman" w:hAnsi="Times New Roman" w:cs="Times New Roman"/>
          <w:sz w:val="24"/>
          <w:szCs w:val="24"/>
        </w:rPr>
      </w:pPr>
      <w:bookmarkStart w:id="381" w:name="_Toc12896"/>
      <w:bookmarkStart w:id="382" w:name="_Toc11369"/>
      <w:r>
        <w:rPr>
          <w:rFonts w:hint="default" w:ascii="Times New Roman" w:hAnsi="Times New Roman" w:cs="Times New Roman"/>
          <w:sz w:val="24"/>
          <w:szCs w:val="24"/>
        </w:rPr>
        <w:t>8.1.1风险调查</w:t>
      </w:r>
      <w:bookmarkEnd w:id="381"/>
      <w:bookmarkEnd w:id="382"/>
    </w:p>
    <w:p>
      <w:pPr>
        <w:pStyle w:val="5"/>
        <w:spacing w:before="0" w:after="0" w:line="360" w:lineRule="auto"/>
        <w:ind w:left="-120" w:right="-120" w:firstLine="480" w:firstLineChars="200"/>
        <w:jc w:val="left"/>
        <w:rPr>
          <w:rFonts w:hint="default" w:ascii="Times New Roman" w:hAnsi="Times New Roman" w:cs="Times New Roman"/>
          <w:b w:val="0"/>
          <w:sz w:val="24"/>
          <w:szCs w:val="24"/>
        </w:rPr>
      </w:pPr>
      <w:r>
        <w:rPr>
          <w:rFonts w:hint="default" w:ascii="Times New Roman" w:hAnsi="Times New Roman" w:cs="Times New Roman"/>
          <w:b w:val="0"/>
          <w:sz w:val="24"/>
          <w:szCs w:val="24"/>
        </w:rPr>
        <w:t>本项目采用干清粪工艺，参照《畜禽养殖业污染治理工程技术规范》（HJ 497-2009），干清粪工艺COD</w:t>
      </w:r>
      <w:r>
        <w:rPr>
          <w:rFonts w:hint="default" w:ascii="Times New Roman" w:hAnsi="Times New Roman" w:cs="Times New Roman"/>
          <w:b w:val="0"/>
          <w:sz w:val="24"/>
          <w:szCs w:val="24"/>
          <w:vertAlign w:val="subscript"/>
        </w:rPr>
        <w:t>cr</w:t>
      </w:r>
      <w:r>
        <w:rPr>
          <w:rFonts w:hint="default" w:ascii="Times New Roman" w:hAnsi="Times New Roman" w:cs="Times New Roman"/>
          <w:b w:val="0"/>
          <w:sz w:val="24"/>
          <w:szCs w:val="24"/>
        </w:rPr>
        <w:t>浓度约2640mg/L，NH</w:t>
      </w:r>
      <w:r>
        <w:rPr>
          <w:rFonts w:hint="default" w:ascii="Times New Roman" w:hAnsi="Times New Roman" w:cs="Times New Roman"/>
          <w:b w:val="0"/>
          <w:sz w:val="24"/>
          <w:szCs w:val="24"/>
          <w:vertAlign w:val="subscript"/>
        </w:rPr>
        <w:t>3</w:t>
      </w:r>
      <w:r>
        <w:rPr>
          <w:rFonts w:hint="default" w:ascii="Times New Roman" w:hAnsi="Times New Roman" w:cs="Times New Roman"/>
          <w:b w:val="0"/>
          <w:sz w:val="24"/>
          <w:szCs w:val="24"/>
        </w:rPr>
        <w:t>-N浓度约261mg/L，且本项目不属于有机废水。本项目涉及到的主要危险物质为沼气（主要成分为甲烷）、柴油。根据《建设项目环境风险评价技术导则》（HJ169-2018）中有关危险物质判定见表8.1-1，理化性质及毒理性质见表8.1-2、表8.1-3。</w:t>
      </w:r>
    </w:p>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表8.1-1    物质危险性标准表</w:t>
      </w:r>
    </w:p>
    <w:tbl>
      <w:tblPr>
        <w:tblStyle w:val="33"/>
        <w:tblW w:w="970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40"/>
        <w:gridCol w:w="662"/>
        <w:gridCol w:w="2535"/>
        <w:gridCol w:w="2494"/>
        <w:gridCol w:w="31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58" w:hRule="atLeast"/>
          <w:jc w:val="center"/>
        </w:trPr>
        <w:tc>
          <w:tcPr>
            <w:tcW w:w="1502" w:type="dxa"/>
            <w:gridSpan w:val="2"/>
            <w:vAlign w:val="center"/>
          </w:tcPr>
          <w:p>
            <w:pPr>
              <w:spacing w:line="276" w:lineRule="auto"/>
              <w:ind w:firstLine="420"/>
              <w:jc w:val="center"/>
              <w:rPr>
                <w:rFonts w:hint="default" w:ascii="Times New Roman" w:hAnsi="Times New Roman" w:cs="Times New Roman"/>
                <w:szCs w:val="21"/>
              </w:rPr>
            </w:pPr>
          </w:p>
        </w:tc>
        <w:tc>
          <w:tcPr>
            <w:tcW w:w="2535" w:type="dxa"/>
            <w:vAlign w:val="center"/>
          </w:tcPr>
          <w:p>
            <w:pPr>
              <w:spacing w:line="276" w:lineRule="auto"/>
              <w:rPr>
                <w:rFonts w:hint="default" w:ascii="Times New Roman" w:hAnsi="Times New Roman" w:cs="Times New Roman"/>
                <w:szCs w:val="21"/>
              </w:rPr>
            </w:pPr>
            <w:r>
              <w:rPr>
                <w:rFonts w:hint="default" w:ascii="Times New Roman" w:hAnsi="Times New Roman" w:cs="Times New Roman"/>
                <w:szCs w:val="21"/>
              </w:rPr>
              <w:t>LD</w:t>
            </w:r>
            <w:r>
              <w:rPr>
                <w:rFonts w:hint="default" w:ascii="Times New Roman" w:hAnsi="Times New Roman" w:cs="Times New Roman"/>
                <w:szCs w:val="21"/>
                <w:vertAlign w:val="subscript"/>
              </w:rPr>
              <w:t>50</w:t>
            </w:r>
            <w:r>
              <w:rPr>
                <w:rFonts w:hint="default" w:ascii="Times New Roman" w:hAnsi="Times New Roman" w:cs="Times New Roman"/>
                <w:szCs w:val="21"/>
              </w:rPr>
              <w:t>（大鼠经口）mg/kg</w:t>
            </w:r>
          </w:p>
        </w:tc>
        <w:tc>
          <w:tcPr>
            <w:tcW w:w="2494" w:type="dxa"/>
            <w:vAlign w:val="center"/>
          </w:tcPr>
          <w:p>
            <w:pPr>
              <w:spacing w:line="276" w:lineRule="auto"/>
              <w:rPr>
                <w:rFonts w:hint="default" w:ascii="Times New Roman" w:hAnsi="Times New Roman" w:cs="Times New Roman"/>
                <w:szCs w:val="21"/>
              </w:rPr>
            </w:pPr>
            <w:r>
              <w:rPr>
                <w:rFonts w:hint="default" w:ascii="Times New Roman" w:hAnsi="Times New Roman" w:cs="Times New Roman"/>
                <w:szCs w:val="21"/>
              </w:rPr>
              <w:t>LD</w:t>
            </w:r>
            <w:r>
              <w:rPr>
                <w:rFonts w:hint="default" w:ascii="Times New Roman" w:hAnsi="Times New Roman" w:cs="Times New Roman"/>
                <w:szCs w:val="21"/>
                <w:vertAlign w:val="subscript"/>
              </w:rPr>
              <w:t>50</w:t>
            </w:r>
            <w:r>
              <w:rPr>
                <w:rFonts w:hint="default" w:ascii="Times New Roman" w:hAnsi="Times New Roman" w:cs="Times New Roman"/>
                <w:szCs w:val="21"/>
              </w:rPr>
              <w:t>（大鼠经皮）mg/kg</w:t>
            </w:r>
          </w:p>
        </w:tc>
        <w:tc>
          <w:tcPr>
            <w:tcW w:w="3169" w:type="dxa"/>
            <w:vAlign w:val="center"/>
          </w:tcPr>
          <w:p>
            <w:pPr>
              <w:spacing w:line="276" w:lineRule="auto"/>
              <w:rPr>
                <w:rFonts w:hint="default" w:ascii="Times New Roman" w:hAnsi="Times New Roman" w:cs="Times New Roman"/>
                <w:szCs w:val="21"/>
              </w:rPr>
            </w:pPr>
            <w:r>
              <w:rPr>
                <w:rFonts w:hint="default" w:ascii="Times New Roman" w:hAnsi="Times New Roman" w:cs="Times New Roman"/>
                <w:szCs w:val="21"/>
              </w:rPr>
              <w:t>LC</w:t>
            </w:r>
            <w:r>
              <w:rPr>
                <w:rFonts w:hint="default" w:ascii="Times New Roman" w:hAnsi="Times New Roman" w:cs="Times New Roman"/>
                <w:szCs w:val="21"/>
                <w:vertAlign w:val="subscript"/>
              </w:rPr>
              <w:t>50</w:t>
            </w:r>
            <w:r>
              <w:rPr>
                <w:rFonts w:hint="default" w:ascii="Times New Roman" w:hAnsi="Times New Roman" w:cs="Times New Roman"/>
                <w:szCs w:val="21"/>
              </w:rPr>
              <w:t>（小鼠吸入，4小时）mg/L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04" w:hRule="atLeast"/>
          <w:jc w:val="center"/>
        </w:trPr>
        <w:tc>
          <w:tcPr>
            <w:tcW w:w="840" w:type="dxa"/>
            <w:vMerge w:val="restart"/>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有毒</w:t>
            </w:r>
          </w:p>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物质</w:t>
            </w:r>
          </w:p>
        </w:tc>
        <w:tc>
          <w:tcPr>
            <w:tcW w:w="66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2535" w:type="dxa"/>
            <w:vAlign w:val="center"/>
          </w:tcPr>
          <w:p>
            <w:pPr>
              <w:ind w:firstLine="420"/>
              <w:jc w:val="center"/>
              <w:rPr>
                <w:rFonts w:hint="default" w:ascii="Times New Roman" w:hAnsi="Times New Roman" w:cs="Times New Roman"/>
                <w:szCs w:val="21"/>
              </w:rPr>
            </w:pPr>
            <w:r>
              <w:rPr>
                <w:rFonts w:hint="default" w:ascii="Times New Roman" w:hAnsi="Times New Roman" w:cs="Times New Roman"/>
                <w:szCs w:val="21"/>
              </w:rPr>
              <w:t>＜5</w:t>
            </w:r>
          </w:p>
        </w:tc>
        <w:tc>
          <w:tcPr>
            <w:tcW w:w="2494" w:type="dxa"/>
            <w:vAlign w:val="center"/>
          </w:tcPr>
          <w:p>
            <w:pPr>
              <w:ind w:firstLine="420"/>
              <w:jc w:val="center"/>
              <w:rPr>
                <w:rFonts w:hint="default" w:ascii="Times New Roman" w:hAnsi="Times New Roman" w:cs="Times New Roman"/>
                <w:szCs w:val="21"/>
              </w:rPr>
            </w:pPr>
            <w:r>
              <w:rPr>
                <w:rFonts w:hint="default" w:ascii="Times New Roman" w:hAnsi="Times New Roman" w:cs="Times New Roman"/>
                <w:szCs w:val="21"/>
              </w:rPr>
              <w:t>＜1</w:t>
            </w:r>
          </w:p>
        </w:tc>
        <w:tc>
          <w:tcPr>
            <w:tcW w:w="3169" w:type="dxa"/>
            <w:vAlign w:val="center"/>
          </w:tcPr>
          <w:p>
            <w:pPr>
              <w:ind w:firstLine="420"/>
              <w:jc w:val="center"/>
              <w:rPr>
                <w:rFonts w:hint="default" w:ascii="Times New Roman" w:hAnsi="Times New Roman" w:cs="Times New Roman"/>
                <w:szCs w:val="21"/>
              </w:rPr>
            </w:pPr>
            <w:r>
              <w:rPr>
                <w:rFonts w:hint="default" w:ascii="Times New Roman" w:hAnsi="Times New Roman" w:cs="Times New Roman"/>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00" w:hRule="atLeast"/>
          <w:jc w:val="center"/>
        </w:trPr>
        <w:tc>
          <w:tcPr>
            <w:tcW w:w="840" w:type="dxa"/>
            <w:vMerge w:val="continue"/>
            <w:vAlign w:val="center"/>
          </w:tcPr>
          <w:p>
            <w:pPr>
              <w:spacing w:line="276" w:lineRule="auto"/>
              <w:ind w:firstLine="420"/>
              <w:jc w:val="center"/>
              <w:rPr>
                <w:rFonts w:hint="default" w:ascii="Times New Roman" w:hAnsi="Times New Roman" w:cs="Times New Roman"/>
                <w:szCs w:val="21"/>
              </w:rPr>
            </w:pPr>
          </w:p>
        </w:tc>
        <w:tc>
          <w:tcPr>
            <w:tcW w:w="66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2535" w:type="dxa"/>
            <w:vAlign w:val="center"/>
          </w:tcPr>
          <w:p>
            <w:pPr>
              <w:ind w:firstLine="420"/>
              <w:jc w:val="center"/>
              <w:rPr>
                <w:rFonts w:hint="default" w:ascii="Times New Roman" w:hAnsi="Times New Roman" w:cs="Times New Roman"/>
                <w:szCs w:val="21"/>
              </w:rPr>
            </w:pPr>
            <w:r>
              <w:rPr>
                <w:rFonts w:hint="default" w:ascii="Times New Roman" w:hAnsi="Times New Roman" w:cs="Times New Roman"/>
                <w:szCs w:val="21"/>
              </w:rPr>
              <w:t>5＜LD50＜25</w:t>
            </w:r>
          </w:p>
        </w:tc>
        <w:tc>
          <w:tcPr>
            <w:tcW w:w="2494" w:type="dxa"/>
            <w:vAlign w:val="center"/>
          </w:tcPr>
          <w:p>
            <w:pPr>
              <w:ind w:firstLine="420"/>
              <w:jc w:val="center"/>
              <w:rPr>
                <w:rFonts w:hint="default" w:ascii="Times New Roman" w:hAnsi="Times New Roman" w:cs="Times New Roman"/>
                <w:szCs w:val="21"/>
              </w:rPr>
            </w:pPr>
            <w:r>
              <w:rPr>
                <w:rFonts w:hint="default" w:ascii="Times New Roman" w:hAnsi="Times New Roman" w:cs="Times New Roman"/>
                <w:szCs w:val="21"/>
              </w:rPr>
              <w:t>10＜LD50＜50</w:t>
            </w:r>
          </w:p>
        </w:tc>
        <w:tc>
          <w:tcPr>
            <w:tcW w:w="3169" w:type="dxa"/>
            <w:vAlign w:val="center"/>
          </w:tcPr>
          <w:p>
            <w:pPr>
              <w:ind w:firstLine="420"/>
              <w:jc w:val="center"/>
              <w:rPr>
                <w:rFonts w:hint="default" w:ascii="Times New Roman" w:hAnsi="Times New Roman" w:cs="Times New Roman"/>
                <w:szCs w:val="21"/>
              </w:rPr>
            </w:pPr>
            <w:r>
              <w:rPr>
                <w:rFonts w:hint="default" w:ascii="Times New Roman" w:hAnsi="Times New Roman" w:cs="Times New Roman"/>
                <w:szCs w:val="21"/>
              </w:rPr>
              <w:t>0.1＜LC50＜0.5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00" w:hRule="atLeast"/>
          <w:jc w:val="center"/>
        </w:trPr>
        <w:tc>
          <w:tcPr>
            <w:tcW w:w="840" w:type="dxa"/>
            <w:vMerge w:val="continue"/>
            <w:vAlign w:val="center"/>
          </w:tcPr>
          <w:p>
            <w:pPr>
              <w:spacing w:line="276" w:lineRule="auto"/>
              <w:ind w:firstLine="420"/>
              <w:jc w:val="center"/>
              <w:rPr>
                <w:rFonts w:hint="default" w:ascii="Times New Roman" w:hAnsi="Times New Roman" w:cs="Times New Roman"/>
                <w:szCs w:val="21"/>
              </w:rPr>
            </w:pPr>
          </w:p>
        </w:tc>
        <w:tc>
          <w:tcPr>
            <w:tcW w:w="66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2535" w:type="dxa"/>
            <w:vAlign w:val="center"/>
          </w:tcPr>
          <w:p>
            <w:pPr>
              <w:ind w:firstLine="420"/>
              <w:jc w:val="center"/>
              <w:rPr>
                <w:rFonts w:hint="default" w:ascii="Times New Roman" w:hAnsi="Times New Roman" w:cs="Times New Roman"/>
                <w:szCs w:val="21"/>
              </w:rPr>
            </w:pPr>
            <w:r>
              <w:rPr>
                <w:rFonts w:hint="default" w:ascii="Times New Roman" w:hAnsi="Times New Roman" w:cs="Times New Roman"/>
                <w:szCs w:val="21"/>
              </w:rPr>
              <w:t>25＜LD50＜200</w:t>
            </w:r>
          </w:p>
        </w:tc>
        <w:tc>
          <w:tcPr>
            <w:tcW w:w="2494" w:type="dxa"/>
            <w:vAlign w:val="center"/>
          </w:tcPr>
          <w:p>
            <w:pPr>
              <w:ind w:firstLine="420"/>
              <w:jc w:val="center"/>
              <w:rPr>
                <w:rFonts w:hint="default" w:ascii="Times New Roman" w:hAnsi="Times New Roman" w:cs="Times New Roman"/>
                <w:szCs w:val="21"/>
              </w:rPr>
            </w:pPr>
            <w:r>
              <w:rPr>
                <w:rFonts w:hint="default" w:ascii="Times New Roman" w:hAnsi="Times New Roman" w:cs="Times New Roman"/>
                <w:szCs w:val="21"/>
              </w:rPr>
              <w:t>50＜LD50＜400</w:t>
            </w:r>
          </w:p>
        </w:tc>
        <w:tc>
          <w:tcPr>
            <w:tcW w:w="3169" w:type="dxa"/>
            <w:vAlign w:val="center"/>
          </w:tcPr>
          <w:p>
            <w:pPr>
              <w:ind w:firstLine="420"/>
              <w:jc w:val="center"/>
              <w:rPr>
                <w:rFonts w:hint="default" w:ascii="Times New Roman" w:hAnsi="Times New Roman" w:cs="Times New Roman"/>
                <w:szCs w:val="21"/>
              </w:rPr>
            </w:pPr>
            <w:r>
              <w:rPr>
                <w:rFonts w:hint="default" w:ascii="Times New Roman" w:hAnsi="Times New Roman" w:cs="Times New Roman"/>
                <w:szCs w:val="21"/>
              </w:rPr>
              <w:t>0.5＜LC50＜2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584" w:hRule="atLeast"/>
          <w:jc w:val="center"/>
        </w:trPr>
        <w:tc>
          <w:tcPr>
            <w:tcW w:w="840" w:type="dxa"/>
            <w:vMerge w:val="restart"/>
            <w:vAlign w:val="center"/>
          </w:tcPr>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易燃</w:t>
            </w:r>
          </w:p>
          <w:p>
            <w:pPr>
              <w:spacing w:line="276" w:lineRule="auto"/>
              <w:jc w:val="center"/>
              <w:rPr>
                <w:rFonts w:hint="default" w:ascii="Times New Roman" w:hAnsi="Times New Roman" w:cs="Times New Roman"/>
                <w:szCs w:val="21"/>
              </w:rPr>
            </w:pPr>
            <w:r>
              <w:rPr>
                <w:rFonts w:hint="default" w:ascii="Times New Roman" w:hAnsi="Times New Roman" w:cs="Times New Roman"/>
                <w:szCs w:val="21"/>
              </w:rPr>
              <w:t>物质</w:t>
            </w:r>
          </w:p>
        </w:tc>
        <w:tc>
          <w:tcPr>
            <w:tcW w:w="66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8198" w:type="dxa"/>
            <w:gridSpan w:val="3"/>
            <w:vAlign w:val="center"/>
          </w:tcPr>
          <w:p>
            <w:pPr>
              <w:ind w:firstLine="420"/>
              <w:jc w:val="center"/>
              <w:rPr>
                <w:rFonts w:hint="default" w:ascii="Times New Roman" w:hAnsi="Times New Roman" w:cs="Times New Roman"/>
                <w:szCs w:val="21"/>
              </w:rPr>
            </w:pPr>
            <w:r>
              <w:rPr>
                <w:rFonts w:hint="default" w:ascii="Times New Roman" w:hAnsi="Times New Roman" w:cs="Times New Roman"/>
                <w:szCs w:val="21"/>
              </w:rPr>
              <w:t>可燃气体：在常压下以气态存在并与空气混合形成可燃混合物；沸点（常压下）20℃或20℃以下的物质。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00" w:hRule="atLeast"/>
          <w:jc w:val="center"/>
        </w:trPr>
        <w:tc>
          <w:tcPr>
            <w:tcW w:w="840" w:type="dxa"/>
            <w:vMerge w:val="continue"/>
            <w:vAlign w:val="center"/>
          </w:tcPr>
          <w:p>
            <w:pPr>
              <w:spacing w:line="276" w:lineRule="auto"/>
              <w:ind w:firstLine="420"/>
              <w:jc w:val="center"/>
              <w:rPr>
                <w:rFonts w:hint="default" w:ascii="Times New Roman" w:hAnsi="Times New Roman" w:cs="Times New Roman"/>
                <w:szCs w:val="21"/>
              </w:rPr>
            </w:pPr>
          </w:p>
        </w:tc>
        <w:tc>
          <w:tcPr>
            <w:tcW w:w="66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8198" w:type="dxa"/>
            <w:gridSpan w:val="3"/>
            <w:vAlign w:val="center"/>
          </w:tcPr>
          <w:p>
            <w:pPr>
              <w:ind w:firstLine="420"/>
              <w:jc w:val="center"/>
              <w:rPr>
                <w:rFonts w:hint="default" w:ascii="Times New Roman" w:hAnsi="Times New Roman" w:cs="Times New Roman"/>
                <w:szCs w:val="21"/>
              </w:rPr>
            </w:pPr>
            <w:r>
              <w:rPr>
                <w:rFonts w:hint="default" w:ascii="Times New Roman" w:hAnsi="Times New Roman" w:cs="Times New Roman"/>
                <w:szCs w:val="21"/>
              </w:rPr>
              <w:t>易燃液体：闪点低于21℃，沸点高于20℃的物质。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584" w:hRule="atLeast"/>
          <w:jc w:val="center"/>
        </w:trPr>
        <w:tc>
          <w:tcPr>
            <w:tcW w:w="840" w:type="dxa"/>
            <w:vMerge w:val="continue"/>
            <w:vAlign w:val="center"/>
          </w:tcPr>
          <w:p>
            <w:pPr>
              <w:spacing w:line="276" w:lineRule="auto"/>
              <w:ind w:firstLine="420"/>
              <w:jc w:val="center"/>
              <w:rPr>
                <w:rFonts w:hint="default" w:ascii="Times New Roman" w:hAnsi="Times New Roman" w:cs="Times New Roman"/>
                <w:szCs w:val="21"/>
              </w:rPr>
            </w:pPr>
          </w:p>
        </w:tc>
        <w:tc>
          <w:tcPr>
            <w:tcW w:w="662"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8198" w:type="dxa"/>
            <w:gridSpan w:val="3"/>
            <w:vAlign w:val="center"/>
          </w:tcPr>
          <w:p>
            <w:pPr>
              <w:ind w:firstLine="420"/>
              <w:jc w:val="center"/>
              <w:rPr>
                <w:rFonts w:hint="default" w:ascii="Times New Roman" w:hAnsi="Times New Roman" w:cs="Times New Roman"/>
                <w:szCs w:val="21"/>
              </w:rPr>
            </w:pPr>
            <w:r>
              <w:rPr>
                <w:rFonts w:hint="default" w:ascii="Times New Roman" w:hAnsi="Times New Roman" w:cs="Times New Roman"/>
                <w:szCs w:val="21"/>
              </w:rPr>
              <w:t>可燃液体：闪点低于55℃，常压下保持液态，在实际操作条件下（如高温高压）可以引起重大事故的物质。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31" w:hRule="atLeast"/>
          <w:jc w:val="center"/>
        </w:trPr>
        <w:tc>
          <w:tcPr>
            <w:tcW w:w="1502" w:type="dxa"/>
            <w:gridSpan w:val="2"/>
            <w:vAlign w:val="center"/>
          </w:tcPr>
          <w:p>
            <w:pPr>
              <w:rPr>
                <w:rFonts w:hint="default" w:ascii="Times New Roman" w:hAnsi="Times New Roman" w:cs="Times New Roman"/>
                <w:szCs w:val="21"/>
              </w:rPr>
            </w:pPr>
            <w:r>
              <w:rPr>
                <w:rFonts w:hint="default" w:ascii="Times New Roman" w:hAnsi="Times New Roman" w:cs="Times New Roman"/>
                <w:szCs w:val="21"/>
              </w:rPr>
              <w:t>爆炸性物质</w:t>
            </w:r>
          </w:p>
        </w:tc>
        <w:tc>
          <w:tcPr>
            <w:tcW w:w="8198" w:type="dxa"/>
            <w:gridSpan w:val="3"/>
            <w:vAlign w:val="center"/>
          </w:tcPr>
          <w:p>
            <w:pPr>
              <w:ind w:firstLine="420"/>
              <w:jc w:val="center"/>
              <w:rPr>
                <w:rFonts w:hint="default" w:ascii="Times New Roman" w:hAnsi="Times New Roman" w:cs="Times New Roman"/>
                <w:szCs w:val="21"/>
              </w:rPr>
            </w:pPr>
            <w:r>
              <w:rPr>
                <w:rFonts w:hint="default" w:ascii="Times New Roman" w:hAnsi="Times New Roman" w:cs="Times New Roman"/>
                <w:szCs w:val="21"/>
              </w:rPr>
              <w:t>在火焰影响下可爆炸，或者对冲击、摩擦比硝基苯更为敏感的物质。</w:t>
            </w:r>
          </w:p>
        </w:tc>
      </w:tr>
    </w:tbl>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表8.1-2  柴油主要化学特性</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2995"/>
        <w:gridCol w:w="1723"/>
        <w:gridCol w:w="31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65" w:type="dxa"/>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化学名称</w:t>
            </w:r>
          </w:p>
        </w:tc>
        <w:tc>
          <w:tcPr>
            <w:tcW w:w="7847" w:type="dxa"/>
            <w:gridSpan w:val="3"/>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柴油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65" w:type="dxa"/>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熔点</w:t>
            </w:r>
          </w:p>
        </w:tc>
        <w:tc>
          <w:tcPr>
            <w:tcW w:w="299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-18℃</w:t>
            </w:r>
          </w:p>
        </w:tc>
        <w:tc>
          <w:tcPr>
            <w:tcW w:w="1723" w:type="dxa"/>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沸点</w:t>
            </w:r>
          </w:p>
        </w:tc>
        <w:tc>
          <w:tcPr>
            <w:tcW w:w="312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282~338℃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65" w:type="dxa"/>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相对密度（水=1）</w:t>
            </w:r>
          </w:p>
        </w:tc>
        <w:tc>
          <w:tcPr>
            <w:tcW w:w="299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0.87~0.9</w:t>
            </w:r>
          </w:p>
        </w:tc>
        <w:tc>
          <w:tcPr>
            <w:tcW w:w="1723" w:type="dxa"/>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闪点</w:t>
            </w:r>
          </w:p>
        </w:tc>
        <w:tc>
          <w:tcPr>
            <w:tcW w:w="3129"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65" w:type="dxa"/>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引燃温度</w:t>
            </w:r>
          </w:p>
        </w:tc>
        <w:tc>
          <w:tcPr>
            <w:tcW w:w="7847" w:type="dxa"/>
            <w:gridSpan w:val="3"/>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65" w:type="dxa"/>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燃爆危险</w:t>
            </w:r>
          </w:p>
        </w:tc>
        <w:tc>
          <w:tcPr>
            <w:tcW w:w="7847" w:type="dxa"/>
            <w:gridSpan w:val="3"/>
            <w:vAlign w:val="center"/>
          </w:tcPr>
          <w:p>
            <w:pPr>
              <w:jc w:val="left"/>
              <w:rPr>
                <w:rFonts w:hint="default" w:ascii="Times New Roman" w:hAnsi="Times New Roman" w:cs="Times New Roman"/>
                <w:color w:val="000000"/>
                <w:szCs w:val="21"/>
              </w:rPr>
            </w:pPr>
            <w:r>
              <w:rPr>
                <w:rFonts w:hint="default" w:ascii="Times New Roman" w:hAnsi="Times New Roman" w:cs="Times New Roman"/>
                <w:color w:val="000000"/>
                <w:szCs w:val="21"/>
              </w:rPr>
              <w:t>易燃，具刺激性。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65" w:type="dxa"/>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危险特性</w:t>
            </w:r>
          </w:p>
        </w:tc>
        <w:tc>
          <w:tcPr>
            <w:tcW w:w="7847" w:type="dxa"/>
            <w:gridSpan w:val="3"/>
            <w:vAlign w:val="center"/>
          </w:tcPr>
          <w:p>
            <w:pPr>
              <w:rPr>
                <w:rFonts w:hint="default" w:ascii="Times New Roman" w:hAnsi="Times New Roman" w:cs="Times New Roman"/>
                <w:color w:val="000000"/>
                <w:szCs w:val="21"/>
              </w:rPr>
            </w:pPr>
            <w:r>
              <w:rPr>
                <w:rFonts w:hint="default" w:ascii="Times New Roman" w:hAnsi="Times New Roman" w:cs="Times New Roman"/>
                <w:color w:val="000000"/>
                <w:szCs w:val="21"/>
              </w:rPr>
              <w:t>遇明火、高热或与氧化剂接触，有引起燃烧爆炸的危险。若遇高热，容器内压增大，有开裂和爆炸的危险。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65"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b/>
                <w:bCs/>
                <w:color w:val="000000"/>
                <w:szCs w:val="21"/>
              </w:rPr>
              <w:t>健康危害</w:t>
            </w:r>
          </w:p>
        </w:tc>
        <w:tc>
          <w:tcPr>
            <w:tcW w:w="7847" w:type="dxa"/>
            <w:gridSpan w:val="3"/>
            <w:vAlign w:val="center"/>
          </w:tcPr>
          <w:p>
            <w:pPr>
              <w:rPr>
                <w:rFonts w:hint="default" w:ascii="Times New Roman" w:hAnsi="Times New Roman" w:cs="Times New Roman"/>
                <w:color w:val="000000"/>
                <w:szCs w:val="21"/>
              </w:rPr>
            </w:pPr>
            <w:r>
              <w:rPr>
                <w:rFonts w:hint="default" w:ascii="Times New Roman" w:hAnsi="Times New Roman" w:cs="Times New Roman"/>
                <w:color w:val="000000"/>
                <w:szCs w:val="21"/>
              </w:rPr>
              <w:t>皮肤接触可为主要吸收途径，可致急性肾脏损害。柴油可引起接触性皮炎、油性痤疮。吸入其雾滴或液体呛入可引起吸入性肺炎。能经胎盘进入胎儿血中。柴油废气可引起眼、鼻刺激症状，头晕及头痛。</w:t>
            </w:r>
          </w:p>
        </w:tc>
      </w:tr>
    </w:tbl>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表8.1-3    沼气的理化性质及毒理性质</w:t>
      </w:r>
    </w:p>
    <w:tbl>
      <w:tblPr>
        <w:tblStyle w:val="33"/>
        <w:tblW w:w="97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760"/>
        <w:gridCol w:w="2033"/>
        <w:gridCol w:w="45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vAlign w:val="center"/>
          </w:tcPr>
          <w:p>
            <w:pPr>
              <w:widowControl/>
              <w:spacing w:line="276"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外观与性状</w:t>
            </w:r>
          </w:p>
        </w:tc>
        <w:tc>
          <w:tcPr>
            <w:tcW w:w="8310" w:type="dxa"/>
            <w:gridSpan w:val="3"/>
            <w:vAlign w:val="center"/>
          </w:tcPr>
          <w:p>
            <w:pPr>
              <w:widowControl/>
              <w:spacing w:line="276" w:lineRule="auto"/>
              <w:ind w:firstLine="420"/>
              <w:jc w:val="center"/>
              <w:rPr>
                <w:rFonts w:hint="default" w:ascii="Times New Roman" w:hAnsi="Times New Roman" w:cs="Times New Roman"/>
                <w:kern w:val="0"/>
                <w:szCs w:val="21"/>
              </w:rPr>
            </w:pPr>
            <w:r>
              <w:rPr>
                <w:rFonts w:hint="default" w:ascii="Times New Roman" w:hAnsi="Times New Roman" w:cs="Times New Roman"/>
                <w:szCs w:val="21"/>
              </w:rPr>
              <w:t>无色无臭气体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熔点</w:t>
            </w:r>
          </w:p>
        </w:tc>
        <w:tc>
          <w:tcPr>
            <w:tcW w:w="1760"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-182.5℃</w:t>
            </w:r>
          </w:p>
        </w:tc>
        <w:tc>
          <w:tcPr>
            <w:tcW w:w="2033"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相对密度（水）</w:t>
            </w:r>
          </w:p>
        </w:tc>
        <w:tc>
          <w:tcPr>
            <w:tcW w:w="4517" w:type="dxa"/>
            <w:vAlign w:val="center"/>
          </w:tcPr>
          <w:p>
            <w:pPr>
              <w:widowControl/>
              <w:spacing w:line="276" w:lineRule="auto"/>
              <w:ind w:firstLine="420"/>
              <w:jc w:val="center"/>
              <w:rPr>
                <w:rFonts w:hint="default" w:ascii="Times New Roman" w:hAnsi="Times New Roman" w:cs="Times New Roman"/>
                <w:kern w:val="0"/>
                <w:szCs w:val="21"/>
              </w:rPr>
            </w:pPr>
            <w:r>
              <w:rPr>
                <w:rFonts w:hint="default" w:ascii="Times New Roman" w:hAnsi="Times New Roman" w:cs="Times New Roman"/>
                <w:kern w:val="0"/>
                <w:szCs w:val="21"/>
              </w:rPr>
              <w:t>0.42（-164℃）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闪点</w:t>
            </w:r>
          </w:p>
        </w:tc>
        <w:tc>
          <w:tcPr>
            <w:tcW w:w="1760"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-188℃</w:t>
            </w:r>
          </w:p>
        </w:tc>
        <w:tc>
          <w:tcPr>
            <w:tcW w:w="2033"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相对密度（空气）</w:t>
            </w:r>
          </w:p>
        </w:tc>
        <w:tc>
          <w:tcPr>
            <w:tcW w:w="4517" w:type="dxa"/>
            <w:vAlign w:val="center"/>
          </w:tcPr>
          <w:p>
            <w:pPr>
              <w:widowControl/>
              <w:spacing w:line="276" w:lineRule="auto"/>
              <w:ind w:firstLine="420"/>
              <w:jc w:val="center"/>
              <w:rPr>
                <w:rFonts w:hint="default" w:ascii="Times New Roman" w:hAnsi="Times New Roman" w:cs="Times New Roman"/>
                <w:kern w:val="0"/>
                <w:szCs w:val="21"/>
              </w:rPr>
            </w:pPr>
            <w:r>
              <w:rPr>
                <w:rFonts w:hint="default" w:ascii="Times New Roman" w:hAnsi="Times New Roman" w:cs="Times New Roman"/>
                <w:kern w:val="0"/>
                <w:szCs w:val="21"/>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引燃温度</w:t>
            </w:r>
          </w:p>
        </w:tc>
        <w:tc>
          <w:tcPr>
            <w:tcW w:w="1760"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538℃</w:t>
            </w:r>
          </w:p>
        </w:tc>
        <w:tc>
          <w:tcPr>
            <w:tcW w:w="2033"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爆炸上限%（V/V）</w:t>
            </w:r>
          </w:p>
        </w:tc>
        <w:tc>
          <w:tcPr>
            <w:tcW w:w="4517" w:type="dxa"/>
            <w:vAlign w:val="center"/>
          </w:tcPr>
          <w:p>
            <w:pPr>
              <w:widowControl/>
              <w:spacing w:line="276" w:lineRule="auto"/>
              <w:ind w:firstLine="420"/>
              <w:jc w:val="center"/>
              <w:rPr>
                <w:rFonts w:hint="default" w:ascii="Times New Roman" w:hAnsi="Times New Roman" w:cs="Times New Roman"/>
                <w:kern w:val="0"/>
                <w:szCs w:val="21"/>
              </w:rPr>
            </w:pPr>
            <w:r>
              <w:rPr>
                <w:rFonts w:hint="default" w:ascii="Times New Roman" w:hAnsi="Times New Roman" w:cs="Times New Roman"/>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沸点</w:t>
            </w:r>
          </w:p>
        </w:tc>
        <w:tc>
          <w:tcPr>
            <w:tcW w:w="1760"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-161.5℃</w:t>
            </w:r>
          </w:p>
        </w:tc>
        <w:tc>
          <w:tcPr>
            <w:tcW w:w="2033"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爆炸下限%（V/V）</w:t>
            </w:r>
          </w:p>
        </w:tc>
        <w:tc>
          <w:tcPr>
            <w:tcW w:w="4517" w:type="dxa"/>
            <w:vAlign w:val="center"/>
          </w:tcPr>
          <w:p>
            <w:pPr>
              <w:widowControl/>
              <w:spacing w:line="276" w:lineRule="auto"/>
              <w:ind w:firstLine="420"/>
              <w:jc w:val="center"/>
              <w:rPr>
                <w:rFonts w:hint="default" w:ascii="Times New Roman" w:hAnsi="Times New Roman" w:cs="Times New Roman"/>
                <w:szCs w:val="21"/>
              </w:rPr>
            </w:pPr>
            <w:r>
              <w:rPr>
                <w:rFonts w:hint="default" w:ascii="Times New Roman" w:hAnsi="Times New Roman" w:cs="Times New Roman"/>
                <w:kern w:val="0"/>
                <w:szCs w:val="21"/>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溶解性</w:t>
            </w:r>
          </w:p>
        </w:tc>
        <w:tc>
          <w:tcPr>
            <w:tcW w:w="8310" w:type="dxa"/>
            <w:gridSpan w:val="3"/>
            <w:vAlign w:val="center"/>
          </w:tcPr>
          <w:p>
            <w:pPr>
              <w:widowControl/>
              <w:spacing w:line="276" w:lineRule="auto"/>
              <w:ind w:firstLine="420"/>
              <w:jc w:val="center"/>
              <w:rPr>
                <w:rFonts w:hint="default" w:ascii="Times New Roman" w:hAnsi="Times New Roman" w:cs="Times New Roman"/>
                <w:kern w:val="0"/>
                <w:szCs w:val="21"/>
              </w:rPr>
            </w:pPr>
            <w:r>
              <w:rPr>
                <w:rFonts w:hint="default" w:ascii="Times New Roman" w:hAnsi="Times New Roman" w:cs="Times New Roman"/>
                <w:kern w:val="0"/>
                <w:szCs w:val="21"/>
              </w:rPr>
              <w:t>微溶于水、溶于醇及乙醚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急性毒性</w:t>
            </w:r>
          </w:p>
        </w:tc>
        <w:tc>
          <w:tcPr>
            <w:tcW w:w="8310" w:type="dxa"/>
            <w:gridSpan w:val="3"/>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szCs w:val="21"/>
              </w:rPr>
              <w:t>小鼠吸入42%浓度×60分钟，麻醉作用；兔吸入42%浓度×60分钟，麻醉作用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健康危害</w:t>
            </w:r>
          </w:p>
        </w:tc>
        <w:tc>
          <w:tcPr>
            <w:tcW w:w="8310" w:type="dxa"/>
            <w:gridSpan w:val="3"/>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危险特性</w:t>
            </w:r>
          </w:p>
        </w:tc>
        <w:tc>
          <w:tcPr>
            <w:tcW w:w="8310" w:type="dxa"/>
            <w:gridSpan w:val="3"/>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易燃，与空气混合能形成爆炸性混合物，遇热源和明火有燃烧爆炸的危险。与五氧化溴、氯气、次氯酸、三氟化氮、液氧、二氟化氧及其它强氧化剂接触剧烈反应。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主要用途</w:t>
            </w:r>
          </w:p>
        </w:tc>
        <w:tc>
          <w:tcPr>
            <w:tcW w:w="8310" w:type="dxa"/>
            <w:gridSpan w:val="3"/>
            <w:vAlign w:val="center"/>
          </w:tcPr>
          <w:p>
            <w:pPr>
              <w:widowControl/>
              <w:spacing w:line="276" w:lineRule="auto"/>
              <w:jc w:val="center"/>
              <w:rPr>
                <w:rFonts w:hint="default" w:ascii="Times New Roman" w:hAnsi="Times New Roman" w:cs="Times New Roman"/>
                <w:kern w:val="0"/>
                <w:szCs w:val="21"/>
              </w:rPr>
            </w:pPr>
            <w:r>
              <w:rPr>
                <w:rFonts w:hint="default" w:ascii="Times New Roman" w:hAnsi="Times New Roman" w:cs="Times New Roman"/>
                <w:kern w:val="0"/>
                <w:szCs w:val="21"/>
              </w:rPr>
              <w:t>用作燃料和用于炭黑、氢、乙炔、甲醛等的制造。</w:t>
            </w:r>
          </w:p>
        </w:tc>
      </w:tr>
    </w:tbl>
    <w:p>
      <w:pPr>
        <w:pStyle w:val="4"/>
        <w:spacing w:before="0" w:after="0" w:line="360" w:lineRule="auto"/>
        <w:ind w:firstLine="482" w:firstLineChars="200"/>
        <w:rPr>
          <w:rFonts w:hint="default" w:ascii="Times New Roman" w:hAnsi="Times New Roman" w:cs="Times New Roman"/>
          <w:sz w:val="24"/>
          <w:szCs w:val="24"/>
        </w:rPr>
      </w:pPr>
      <w:bookmarkStart w:id="383" w:name="_Toc25741"/>
      <w:bookmarkStart w:id="384" w:name="_Toc32506"/>
      <w:r>
        <w:rPr>
          <w:rFonts w:hint="default" w:ascii="Times New Roman" w:hAnsi="Times New Roman" w:cs="Times New Roman"/>
          <w:sz w:val="24"/>
          <w:szCs w:val="24"/>
        </w:rPr>
        <w:t>8.1.2环境风险潜势初判</w:t>
      </w:r>
      <w:bookmarkEnd w:id="383"/>
      <w:bookmarkEnd w:id="384"/>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 169-2018）中C.1.1危险物质与临界量比值计算方式如下示：</w:t>
      </w:r>
    </w:p>
    <w:p>
      <w:pPr>
        <w:pStyle w:val="2"/>
        <w:spacing w:line="360" w:lineRule="auto"/>
        <w:jc w:val="center"/>
        <w:rPr>
          <w:rFonts w:hint="default" w:ascii="Times New Roman" w:hAnsi="Times New Roman" w:cs="Times New Roman"/>
          <w:color w:val="auto"/>
        </w:rPr>
      </w:pPr>
      <w:r>
        <w:rPr>
          <w:rFonts w:hint="default" w:ascii="Times New Roman" w:hAnsi="Times New Roman" w:cs="Times New Roman"/>
        </w:rPr>
        <w:drawing>
          <wp:inline distT="0" distB="0" distL="0" distR="0">
            <wp:extent cx="580390" cy="374015"/>
            <wp:effectExtent l="19050" t="0" r="0" b="0"/>
            <wp:docPr id="2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5"/>
                    <pic:cNvPicPr>
                      <a:picLocks noChangeAspect="1" noChangeArrowheads="1"/>
                    </pic:cNvPicPr>
                  </pic:nvPicPr>
                  <pic:blipFill>
                    <a:blip r:embed="rId56" cstate="print"/>
                    <a:srcRect/>
                    <a:stretch>
                      <a:fillRect/>
                    </a:stretch>
                  </pic:blipFill>
                  <pic:spPr>
                    <a:xfrm>
                      <a:off x="0" y="0"/>
                      <a:ext cx="580390" cy="374015"/>
                    </a:xfrm>
                    <a:prstGeom prst="rect">
                      <a:avLst/>
                    </a:prstGeom>
                    <a:noFill/>
                    <a:ln w="9525">
                      <a:noFill/>
                      <a:miter lim="800000"/>
                      <a:headEnd/>
                      <a:tailEnd/>
                    </a:ln>
                  </pic:spPr>
                </pic:pic>
              </a:graphicData>
            </a:graphic>
          </wp:inline>
        </w:drawing>
      </w:r>
    </w:p>
    <w:p>
      <w:pPr>
        <w:pStyle w:val="2"/>
        <w:spacing w:line="360" w:lineRule="auto"/>
        <w:jc w:val="both"/>
        <w:rPr>
          <w:rFonts w:hint="default" w:ascii="Times New Roman" w:hAnsi="Times New Roman" w:cs="Times New Roman"/>
        </w:rPr>
      </w:pPr>
      <w:r>
        <w:rPr>
          <w:rFonts w:hint="default" w:ascii="Times New Roman" w:hAnsi="Times New Roman" w:cs="Times New Roman"/>
          <w:color w:val="auto"/>
        </w:rPr>
        <w:t xml:space="preserve">     </w:t>
      </w:r>
      <w:r>
        <w:rPr>
          <w:rFonts w:hint="default" w:ascii="Times New Roman" w:hAnsi="Times New Roman" w:cs="Times New Roman"/>
        </w:rPr>
        <w:t>式中：q——危险物质的最大存在总量，t。</w:t>
      </w:r>
    </w:p>
    <w:p>
      <w:pPr>
        <w:pStyle w:val="2"/>
        <w:spacing w:line="360" w:lineRule="auto"/>
        <w:jc w:val="both"/>
        <w:rPr>
          <w:rFonts w:hint="default" w:ascii="Times New Roman" w:hAnsi="Times New Roman" w:cs="Times New Roman"/>
        </w:rPr>
      </w:pPr>
      <w:r>
        <w:rPr>
          <w:rFonts w:hint="default" w:ascii="Times New Roman" w:hAnsi="Times New Roman" w:cs="Times New Roman"/>
        </w:rPr>
        <w:t xml:space="preserve">           Q——危险物质的临界量，t。</w:t>
      </w:r>
    </w:p>
    <w:p>
      <w:pPr>
        <w:pStyle w:val="2"/>
        <w:spacing w:line="360" w:lineRule="auto"/>
        <w:jc w:val="both"/>
        <w:rPr>
          <w:rFonts w:hint="default" w:ascii="Times New Roman" w:hAnsi="Times New Roman" w:cs="Times New Roman"/>
        </w:rPr>
      </w:pPr>
      <w:r>
        <w:rPr>
          <w:rFonts w:hint="default" w:ascii="Times New Roman" w:hAnsi="Times New Roman" w:cs="Times New Roman"/>
        </w:rPr>
        <w:t xml:space="preserve">           当Q＜1时，该项目环境风险潜势为</w:t>
      </w:r>
      <w:r>
        <w:rPr>
          <w:rFonts w:hint="default" w:ascii="Times New Roman" w:hAnsi="Times New Roman" w:cs="Times New Roman"/>
        </w:rPr>
        <w:fldChar w:fldCharType="begin"/>
      </w:r>
      <w:r>
        <w:rPr>
          <w:rFonts w:hint="default" w:ascii="Times New Roman" w:hAnsi="Times New Roman" w:cs="Times New Roman"/>
        </w:rPr>
        <w:instrText xml:space="preserve"> = 1 \* ROMAN </w:instrText>
      </w:r>
      <w:r>
        <w:rPr>
          <w:rFonts w:hint="default" w:ascii="Times New Roman" w:hAnsi="Times New Roman" w:cs="Times New Roman"/>
        </w:rPr>
        <w:fldChar w:fldCharType="separate"/>
      </w:r>
      <w:r>
        <w:rPr>
          <w:rFonts w:hint="default" w:ascii="Times New Roman" w:hAnsi="Times New Roman" w:cs="Times New Roman"/>
        </w:rPr>
        <w:t>I</w:t>
      </w:r>
      <w:r>
        <w:rPr>
          <w:rFonts w:hint="default" w:ascii="Times New Roman" w:hAnsi="Times New Roman" w:cs="Times New Roman"/>
        </w:rPr>
        <w:fldChar w:fldCharType="end"/>
      </w:r>
      <w:r>
        <w:rPr>
          <w:rFonts w:hint="default" w:ascii="Times New Roman" w:hAnsi="Times New Roman" w:cs="Times New Roman"/>
        </w:rPr>
        <w:t>。</w:t>
      </w:r>
    </w:p>
    <w:p>
      <w:pPr>
        <w:pStyle w:val="2"/>
        <w:spacing w:line="360" w:lineRule="auto"/>
        <w:jc w:val="both"/>
        <w:rPr>
          <w:rFonts w:hint="default" w:ascii="Times New Roman" w:hAnsi="Times New Roman" w:cs="Times New Roman"/>
        </w:rPr>
      </w:pPr>
      <w:r>
        <w:rPr>
          <w:rFonts w:hint="default" w:ascii="Times New Roman" w:hAnsi="Times New Roman" w:cs="Times New Roman"/>
        </w:rPr>
        <w:t xml:space="preserve">           当Q≥1时，将Q值划分为：（1）1≤Q＜10；（2）10≤Q≤100；（3）Q≥100.</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 xml:space="preserve"> 根据附录B所确定的重大危险源物质临界量表。本项目具体临界量见下表：</w:t>
      </w:r>
    </w:p>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表8.1-4   环境风险物质与临界量比值</w:t>
      </w:r>
    </w:p>
    <w:tbl>
      <w:tblPr>
        <w:tblStyle w:val="33"/>
        <w:tblW w:w="9712"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45"/>
        <w:gridCol w:w="2144"/>
        <w:gridCol w:w="2392"/>
        <w:gridCol w:w="1379"/>
        <w:gridCol w:w="1558"/>
        <w:gridCol w:w="149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193" w:hRule="atLeast"/>
          <w:jc w:val="center"/>
        </w:trPr>
        <w:tc>
          <w:tcPr>
            <w:tcW w:w="745"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序号</w:t>
            </w:r>
          </w:p>
        </w:tc>
        <w:tc>
          <w:tcPr>
            <w:tcW w:w="2144"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环境风险物质名称</w:t>
            </w:r>
          </w:p>
        </w:tc>
        <w:tc>
          <w:tcPr>
            <w:tcW w:w="2392"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实际最大存在量（t）</w:t>
            </w:r>
          </w:p>
        </w:tc>
        <w:tc>
          <w:tcPr>
            <w:tcW w:w="1379"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临界值（t）</w:t>
            </w:r>
          </w:p>
        </w:tc>
        <w:tc>
          <w:tcPr>
            <w:tcW w:w="1558"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q/Q</w:t>
            </w:r>
          </w:p>
        </w:tc>
        <w:tc>
          <w:tcPr>
            <w:tcW w:w="1494"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kern w:val="0"/>
                <w:position w:val="-28"/>
                <w:szCs w:val="21"/>
              </w:rPr>
              <w:object>
                <v:shape id="_x0000_i1037" o:spt="75" type="#_x0000_t75" style="height:33.75pt;width:21.75pt;" o:ole="t" filled="f" o:preferrelative="t" stroked="f" coordsize="21600,21600">
                  <v:path/>
                  <v:fill on="f" focussize="0,0"/>
                  <v:stroke on="f" joinstyle="miter"/>
                  <v:imagedata r:id="rId26" o:title=""/>
                  <o:lock v:ext="edit" aspectratio="t"/>
                  <w10:wrap type="none"/>
                  <w10:anchorlock/>
                </v:shape>
                <o:OLEObject Type="Embed" ProgID="Equation.3" ShapeID="_x0000_i1037" DrawAspect="Content" ObjectID="_1468075736" r:id="rId57">
                  <o:LockedField>false</o:LockedField>
                </o:OLEObject>
              </w:object>
            </w:r>
            <w:r>
              <w:rPr>
                <w:rFonts w:hint="default" w:ascii="Times New Roman" w:hAnsi="Times New Roman" w:cs="Times New Roman"/>
                <w:kern w:val="0"/>
                <w:szCs w:val="21"/>
              </w:rPr>
              <w:t>q</w:t>
            </w:r>
            <w:r>
              <w:rPr>
                <w:rFonts w:hint="default" w:ascii="Times New Roman" w:hAnsi="Times New Roman" w:cs="Times New Roman"/>
                <w:kern w:val="0"/>
                <w:szCs w:val="21"/>
                <w:vertAlign w:val="subscript"/>
              </w:rPr>
              <w:t>i</w:t>
            </w:r>
            <w:r>
              <w:rPr>
                <w:rFonts w:hint="default" w:ascii="Times New Roman" w:hAnsi="Times New Roman" w:cs="Times New Roman"/>
                <w:kern w:val="0"/>
                <w:szCs w:val="21"/>
              </w:rPr>
              <w:t>/Q</w:t>
            </w:r>
            <w:r>
              <w:rPr>
                <w:rFonts w:hint="default" w:ascii="Times New Roman" w:hAnsi="Times New Roman" w:cs="Times New Roman"/>
                <w:kern w:val="0"/>
                <w:szCs w:val="21"/>
                <w:vertAlign w:val="subscript"/>
              </w:rPr>
              <w:t>i</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745"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w:t>
            </w:r>
          </w:p>
        </w:tc>
        <w:tc>
          <w:tcPr>
            <w:tcW w:w="214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柴油</w:t>
            </w:r>
          </w:p>
        </w:tc>
        <w:tc>
          <w:tcPr>
            <w:tcW w:w="2392"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0.02</w:t>
            </w:r>
          </w:p>
        </w:tc>
        <w:tc>
          <w:tcPr>
            <w:tcW w:w="1379"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2500</w:t>
            </w:r>
          </w:p>
        </w:tc>
        <w:tc>
          <w:tcPr>
            <w:tcW w:w="1558"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0.000008</w:t>
            </w:r>
          </w:p>
        </w:tc>
        <w:tc>
          <w:tcPr>
            <w:tcW w:w="1494" w:type="dxa"/>
            <w:vMerge w:val="restart"/>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0.500008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745"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2</w:t>
            </w:r>
          </w:p>
        </w:tc>
        <w:tc>
          <w:tcPr>
            <w:tcW w:w="2144" w:type="dxa"/>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沼气（以甲烷计算）</w:t>
            </w:r>
          </w:p>
        </w:tc>
        <w:tc>
          <w:tcPr>
            <w:tcW w:w="2392"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kern w:val="0"/>
                <w:szCs w:val="21"/>
              </w:rPr>
              <w:t>5.0</w:t>
            </w:r>
          </w:p>
        </w:tc>
        <w:tc>
          <w:tcPr>
            <w:tcW w:w="1379"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kern w:val="0"/>
                <w:szCs w:val="21"/>
              </w:rPr>
              <w:t>10</w:t>
            </w:r>
          </w:p>
        </w:tc>
        <w:tc>
          <w:tcPr>
            <w:tcW w:w="1558" w:type="dxa"/>
            <w:vAlign w:val="center"/>
          </w:tcPr>
          <w:p>
            <w:pPr>
              <w:autoSpaceDE w:val="0"/>
              <w:autoSpaceDN w:val="0"/>
              <w:adjustRightIn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0.5</w:t>
            </w:r>
          </w:p>
        </w:tc>
        <w:tc>
          <w:tcPr>
            <w:tcW w:w="1494" w:type="dxa"/>
            <w:vMerge w:val="continue"/>
            <w:vAlign w:val="center"/>
          </w:tcPr>
          <w:p>
            <w:pPr>
              <w:autoSpaceDE w:val="0"/>
              <w:autoSpaceDN w:val="0"/>
              <w:adjustRightInd w:val="0"/>
              <w:jc w:val="center"/>
              <w:rPr>
                <w:rFonts w:hint="default" w:ascii="Times New Roman" w:hAnsi="Times New Roman" w:cs="Times New Roman"/>
                <w:color w:val="000000"/>
                <w:kern w:val="0"/>
                <w:szCs w:val="21"/>
              </w:rPr>
            </w:pPr>
          </w:p>
        </w:tc>
      </w:tr>
    </w:tbl>
    <w:p>
      <w:pPr>
        <w:spacing w:line="360" w:lineRule="auto"/>
        <w:ind w:firstLine="48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由上表的计算可知，本项目Q值为0.500008＜1，则本项目环境风险潜势为</w:t>
      </w:r>
      <w:r>
        <w:rPr>
          <w:rFonts w:hint="default" w:ascii="Times New Roman" w:hAnsi="Times New Roman" w:cs="Times New Roman"/>
          <w:b/>
          <w:bCs/>
          <w:kern w:val="0"/>
          <w:sz w:val="24"/>
          <w:szCs w:val="24"/>
        </w:rPr>
        <w:fldChar w:fldCharType="begin"/>
      </w:r>
      <w:r>
        <w:rPr>
          <w:rFonts w:hint="default" w:ascii="Times New Roman" w:hAnsi="Times New Roman" w:cs="Times New Roman"/>
          <w:b/>
          <w:bCs/>
          <w:kern w:val="0"/>
          <w:sz w:val="24"/>
          <w:szCs w:val="24"/>
        </w:rPr>
        <w:instrText xml:space="preserve"> = 1 \* ROMAN </w:instrText>
      </w:r>
      <w:r>
        <w:rPr>
          <w:rFonts w:hint="default" w:ascii="Times New Roman" w:hAnsi="Times New Roman" w:cs="Times New Roman"/>
          <w:b/>
          <w:bCs/>
          <w:kern w:val="0"/>
          <w:sz w:val="24"/>
          <w:szCs w:val="24"/>
        </w:rPr>
        <w:fldChar w:fldCharType="separate"/>
      </w:r>
      <w:r>
        <w:rPr>
          <w:rFonts w:hint="default" w:ascii="Times New Roman" w:hAnsi="Times New Roman" w:cs="Times New Roman"/>
          <w:b/>
          <w:bCs/>
          <w:kern w:val="0"/>
          <w:sz w:val="24"/>
          <w:szCs w:val="24"/>
        </w:rPr>
        <w:t>I</w:t>
      </w:r>
      <w:r>
        <w:rPr>
          <w:rFonts w:hint="default" w:ascii="Times New Roman" w:hAnsi="Times New Roman" w:cs="Times New Roman"/>
          <w:b/>
          <w:bCs/>
          <w:kern w:val="0"/>
          <w:sz w:val="24"/>
          <w:szCs w:val="24"/>
        </w:rPr>
        <w:fldChar w:fldCharType="end"/>
      </w:r>
      <w:r>
        <w:rPr>
          <w:rFonts w:hint="default" w:ascii="Times New Roman" w:hAnsi="Times New Roman" w:cs="Times New Roman"/>
          <w:b/>
          <w:bCs/>
          <w:kern w:val="0"/>
          <w:sz w:val="24"/>
          <w:szCs w:val="24"/>
        </w:rPr>
        <w:t>级。</w:t>
      </w:r>
    </w:p>
    <w:p>
      <w:pPr>
        <w:pStyle w:val="4"/>
        <w:spacing w:before="0" w:after="0" w:line="360" w:lineRule="auto"/>
        <w:ind w:firstLine="482" w:firstLineChars="200"/>
        <w:rPr>
          <w:rFonts w:hint="default" w:ascii="Times New Roman" w:hAnsi="Times New Roman" w:cs="Times New Roman"/>
          <w:sz w:val="24"/>
          <w:szCs w:val="24"/>
        </w:rPr>
      </w:pPr>
      <w:bookmarkStart w:id="385" w:name="_Toc6711"/>
      <w:bookmarkStart w:id="386" w:name="_Toc25657"/>
      <w:r>
        <w:rPr>
          <w:rFonts w:hint="default" w:ascii="Times New Roman" w:hAnsi="Times New Roman" w:cs="Times New Roman"/>
          <w:sz w:val="24"/>
          <w:szCs w:val="24"/>
        </w:rPr>
        <w:t>8.1.3 评价等级的确定</w:t>
      </w:r>
      <w:bookmarkEnd w:id="385"/>
      <w:bookmarkEnd w:id="386"/>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根据（HJ 169-2018）4.3评价工作等级划分，本项目评价等级为简单分析。</w:t>
      </w:r>
    </w:p>
    <w:p>
      <w:pPr>
        <w:pStyle w:val="4"/>
        <w:spacing w:before="0" w:after="0" w:line="360" w:lineRule="auto"/>
        <w:ind w:firstLine="482" w:firstLineChars="200"/>
        <w:rPr>
          <w:rFonts w:hint="default" w:ascii="Times New Roman" w:hAnsi="Times New Roman" w:cs="Times New Roman"/>
          <w:sz w:val="24"/>
          <w:szCs w:val="24"/>
        </w:rPr>
      </w:pPr>
      <w:bookmarkStart w:id="387" w:name="_Toc27592"/>
      <w:bookmarkStart w:id="388" w:name="_Toc28777"/>
      <w:r>
        <w:rPr>
          <w:rFonts w:hint="default" w:ascii="Times New Roman" w:hAnsi="Times New Roman" w:cs="Times New Roman"/>
          <w:sz w:val="24"/>
          <w:szCs w:val="24"/>
        </w:rPr>
        <w:t>8.1.4 环境敏感目标</w:t>
      </w:r>
      <w:bookmarkEnd w:id="387"/>
      <w:bookmarkEnd w:id="388"/>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本项目周围主要环境目标为周边分布的住户。</w:t>
      </w:r>
    </w:p>
    <w:p>
      <w:pPr>
        <w:pStyle w:val="4"/>
        <w:spacing w:before="0" w:after="0" w:line="360" w:lineRule="auto"/>
        <w:rPr>
          <w:rFonts w:hint="default" w:ascii="Times New Roman" w:hAnsi="Times New Roman" w:cs="Times New Roman"/>
          <w:sz w:val="28"/>
          <w:szCs w:val="28"/>
        </w:rPr>
      </w:pPr>
      <w:bookmarkStart w:id="389" w:name="_Toc5110"/>
      <w:r>
        <w:rPr>
          <w:rFonts w:hint="default" w:ascii="Times New Roman" w:hAnsi="Times New Roman" w:cs="Times New Roman"/>
          <w:sz w:val="28"/>
          <w:szCs w:val="28"/>
        </w:rPr>
        <w:t>8.2源项分析</w:t>
      </w:r>
      <w:bookmarkEnd w:id="389"/>
    </w:p>
    <w:p>
      <w:pPr>
        <w:pStyle w:val="4"/>
        <w:spacing w:before="0" w:after="0" w:line="360" w:lineRule="auto"/>
        <w:ind w:firstLine="482" w:firstLineChars="200"/>
        <w:rPr>
          <w:rFonts w:hint="default" w:ascii="Times New Roman" w:hAnsi="Times New Roman" w:cs="Times New Roman"/>
          <w:sz w:val="24"/>
          <w:szCs w:val="24"/>
        </w:rPr>
      </w:pPr>
      <w:bookmarkStart w:id="390" w:name="_Toc21463"/>
      <w:bookmarkStart w:id="391" w:name="_Toc24881"/>
      <w:r>
        <w:rPr>
          <w:rFonts w:hint="default" w:ascii="Times New Roman" w:hAnsi="Times New Roman" w:cs="Times New Roman"/>
          <w:sz w:val="24"/>
          <w:szCs w:val="24"/>
        </w:rPr>
        <w:t>8.2.1 最大可信事故和风险概率的确定</w:t>
      </w:r>
      <w:bookmarkEnd w:id="390"/>
      <w:bookmarkEnd w:id="391"/>
    </w:p>
    <w:p>
      <w:pPr>
        <w:pStyle w:val="2"/>
        <w:spacing w:line="360" w:lineRule="auto"/>
        <w:ind w:firstLine="482" w:firstLineChars="200"/>
        <w:jc w:val="both"/>
        <w:outlineLvl w:val="3"/>
        <w:rPr>
          <w:rFonts w:hint="default" w:ascii="Times New Roman" w:hAnsi="Times New Roman" w:cs="Times New Roman"/>
          <w:b/>
          <w:bCs/>
          <w:color w:val="auto"/>
        </w:rPr>
      </w:pPr>
      <w:r>
        <w:rPr>
          <w:rFonts w:hint="default" w:ascii="Times New Roman" w:hAnsi="Times New Roman" w:cs="Times New Roman"/>
          <w:b/>
          <w:bCs/>
          <w:color w:val="auto"/>
        </w:rPr>
        <w:t>8.2.1.1典型事故案例</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沼气事故案例统计详见表8.2-1。</w:t>
      </w:r>
    </w:p>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表8.2-1  沼气典型事故案例</w:t>
      </w:r>
    </w:p>
    <w:tbl>
      <w:tblPr>
        <w:tblStyle w:val="33"/>
        <w:tblW w:w="97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432"/>
        <w:gridCol w:w="4856"/>
        <w:gridCol w:w="2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734" w:type="dxa"/>
            <w:vAlign w:val="center"/>
          </w:tcPr>
          <w:p>
            <w:pPr>
              <w:pStyle w:val="14"/>
              <w:jc w:val="center"/>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1432" w:type="dxa"/>
            <w:vAlign w:val="center"/>
          </w:tcPr>
          <w:p>
            <w:pPr>
              <w:pStyle w:val="14"/>
              <w:jc w:val="center"/>
              <w:rPr>
                <w:rFonts w:hint="default" w:ascii="Times New Roman" w:hAnsi="Times New Roman" w:cs="Times New Roman"/>
                <w:b/>
                <w:sz w:val="21"/>
                <w:szCs w:val="21"/>
              </w:rPr>
            </w:pPr>
            <w:r>
              <w:rPr>
                <w:rFonts w:hint="default" w:ascii="Times New Roman" w:hAnsi="Times New Roman" w:cs="Times New Roman"/>
                <w:b/>
                <w:sz w:val="21"/>
                <w:szCs w:val="21"/>
              </w:rPr>
              <w:t>时间</w:t>
            </w:r>
          </w:p>
        </w:tc>
        <w:tc>
          <w:tcPr>
            <w:tcW w:w="4856" w:type="dxa"/>
            <w:vAlign w:val="center"/>
          </w:tcPr>
          <w:p>
            <w:pPr>
              <w:pStyle w:val="14"/>
              <w:jc w:val="center"/>
              <w:rPr>
                <w:rFonts w:hint="default" w:ascii="Times New Roman" w:hAnsi="Times New Roman" w:cs="Times New Roman"/>
                <w:b/>
                <w:sz w:val="21"/>
                <w:szCs w:val="21"/>
              </w:rPr>
            </w:pPr>
            <w:r>
              <w:rPr>
                <w:rFonts w:hint="default" w:ascii="Times New Roman" w:hAnsi="Times New Roman" w:cs="Times New Roman"/>
                <w:b/>
                <w:sz w:val="21"/>
                <w:szCs w:val="21"/>
              </w:rPr>
              <w:t>事故经过</w:t>
            </w:r>
          </w:p>
        </w:tc>
        <w:tc>
          <w:tcPr>
            <w:tcW w:w="2690" w:type="dxa"/>
            <w:vAlign w:val="center"/>
          </w:tcPr>
          <w:p>
            <w:pPr>
              <w:pStyle w:val="14"/>
              <w:jc w:val="center"/>
              <w:rPr>
                <w:rFonts w:hint="default" w:ascii="Times New Roman" w:hAnsi="Times New Roman" w:cs="Times New Roman"/>
                <w:b/>
                <w:sz w:val="21"/>
                <w:szCs w:val="21"/>
              </w:rPr>
            </w:pPr>
            <w:r>
              <w:rPr>
                <w:rFonts w:hint="default" w:ascii="Times New Roman" w:hAnsi="Times New Roman" w:cs="Times New Roman"/>
                <w:b/>
                <w:sz w:val="21"/>
                <w:szCs w:val="21"/>
              </w:rPr>
              <w:t>事故原因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4"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432"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2002.9.20</w:t>
            </w:r>
          </w:p>
        </w:tc>
        <w:tc>
          <w:tcPr>
            <w:tcW w:w="4856"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乌克兰一座煤矿1日发生沼气爆炸事故，造成一名矿工死亡，另有两人失踪。</w:t>
            </w:r>
          </w:p>
        </w:tc>
        <w:tc>
          <w:tcPr>
            <w:tcW w:w="2690"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通风系统出现故障，沼气未及时外排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4"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432"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2004.4.9</w:t>
            </w:r>
          </w:p>
        </w:tc>
        <w:tc>
          <w:tcPr>
            <w:tcW w:w="4856"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上海市南区污水干线某泵站改建工程中中毒死亡1人。</w:t>
            </w:r>
          </w:p>
        </w:tc>
        <w:tc>
          <w:tcPr>
            <w:tcW w:w="2690"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4"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432"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2004.6.26</w:t>
            </w:r>
          </w:p>
        </w:tc>
        <w:tc>
          <w:tcPr>
            <w:tcW w:w="4856"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甘肃高崖金城水泥有限公司自营工程队3位民工在清理高崖生活福利区化粪池和下水主管道时，不幸因沼气中毒身亡。</w:t>
            </w:r>
          </w:p>
        </w:tc>
        <w:tc>
          <w:tcPr>
            <w:tcW w:w="2690"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4"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1432"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2006.5.7</w:t>
            </w:r>
          </w:p>
        </w:tc>
        <w:tc>
          <w:tcPr>
            <w:tcW w:w="4856"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且末县供排水公司11名工作人员在检修且末县客运站至且末县玉石商贸城排水管沟时，1名职工下井作业长时间无回应，供排水公司随即组织井上6名职工陆续下井营救，营救过程中，因井下沼气浓度过高，造成6人死亡，1人受伤。</w:t>
            </w:r>
          </w:p>
        </w:tc>
        <w:tc>
          <w:tcPr>
            <w:tcW w:w="2690"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4"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432"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2009.6.24</w:t>
            </w:r>
          </w:p>
        </w:tc>
        <w:tc>
          <w:tcPr>
            <w:tcW w:w="4856"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银川市西夏区海珑药业公司2名工人在没有任何防护措施的情况下到污水井进行疏通作业，导致沼气中毒，随后被距离事故现场10米处的3名工厂保安发现。救人心切的3名工厂保安也在没有任何保护措施的情况下下井救人，结果也中毒晕倒在井底。最终导致3人死亡，1人重伤，1人轻伤。</w:t>
            </w:r>
          </w:p>
        </w:tc>
        <w:tc>
          <w:tcPr>
            <w:tcW w:w="2690"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4"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1432"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2011.8.31</w:t>
            </w:r>
          </w:p>
        </w:tc>
        <w:tc>
          <w:tcPr>
            <w:tcW w:w="4856"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北京通州区漷县镇北堤寺村东一养殖基地发生沼气中毒事故，5名中毒人员医治无效死亡。</w:t>
            </w:r>
          </w:p>
        </w:tc>
        <w:tc>
          <w:tcPr>
            <w:tcW w:w="2690"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沼气具有隐蔽性和工作人员缺乏防范意识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4"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1432"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2014.7.29</w:t>
            </w:r>
          </w:p>
        </w:tc>
        <w:tc>
          <w:tcPr>
            <w:tcW w:w="4856"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厦门一名男子下污水井清理污泥时，因沼气中毒晕倒，三名同伴接连下井救人，只有一人因戴着防毒面具成功逃离，最终三人死亡死亡，一人受伤送医。</w:t>
            </w:r>
          </w:p>
        </w:tc>
        <w:tc>
          <w:tcPr>
            <w:tcW w:w="2690"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沼气具有隐蔽性和工作人员缺乏防范意识</w:t>
            </w:r>
          </w:p>
        </w:tc>
      </w:tr>
    </w:tbl>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由上表可以看出，沼气发生的事故多为中毒事件，主要原因是由于人们对沼气缺乏足够的认识和重视，作业时没有采取相应的防范措施，违反操作规程造成事故的发生。</w:t>
      </w:r>
    </w:p>
    <w:p>
      <w:pPr>
        <w:pStyle w:val="2"/>
        <w:spacing w:line="360" w:lineRule="auto"/>
        <w:ind w:firstLine="482" w:firstLineChars="200"/>
        <w:jc w:val="both"/>
        <w:outlineLvl w:val="3"/>
        <w:rPr>
          <w:rFonts w:hint="default" w:ascii="Times New Roman" w:hAnsi="Times New Roman" w:cs="Times New Roman"/>
          <w:b/>
          <w:bCs/>
          <w:color w:val="auto"/>
        </w:rPr>
      </w:pPr>
      <w:r>
        <w:rPr>
          <w:rFonts w:hint="default" w:ascii="Times New Roman" w:hAnsi="Times New Roman" w:cs="Times New Roman"/>
          <w:b/>
          <w:bCs/>
          <w:color w:val="auto"/>
        </w:rPr>
        <w:t>8.2.1.2 最大可信事故</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根据风险导则定义，在所有预测概率不为零的事故中，对环境危害最严重的重大事故为最大可信事故。</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本项目最大可信事故位沼气的泄漏中毒事故。</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最大可信事故的风险概率为：参考《环境风险评价实用技术和方法》（胡二邦主编）中统计数据以及类比国内其他同类企业，确定本项目风险事故的概率为3×10-6次/a。</w:t>
      </w:r>
    </w:p>
    <w:p>
      <w:pPr>
        <w:pStyle w:val="4"/>
        <w:spacing w:before="0" w:after="0" w:line="360" w:lineRule="auto"/>
        <w:ind w:firstLine="482" w:firstLineChars="200"/>
        <w:rPr>
          <w:rFonts w:hint="default" w:ascii="Times New Roman" w:hAnsi="Times New Roman" w:cs="Times New Roman"/>
          <w:sz w:val="24"/>
          <w:szCs w:val="24"/>
        </w:rPr>
      </w:pPr>
      <w:bookmarkStart w:id="392" w:name="_Toc7838"/>
      <w:bookmarkStart w:id="393" w:name="_Toc32201"/>
      <w:r>
        <w:rPr>
          <w:rFonts w:hint="default" w:ascii="Times New Roman" w:hAnsi="Times New Roman" w:cs="Times New Roman"/>
          <w:sz w:val="24"/>
          <w:szCs w:val="24"/>
        </w:rPr>
        <w:t>8.2.2 最大可信事故源强分析</w:t>
      </w:r>
      <w:bookmarkEnd w:id="392"/>
      <w:bookmarkEnd w:id="393"/>
    </w:p>
    <w:p>
      <w:pPr>
        <w:pStyle w:val="2"/>
        <w:spacing w:line="360" w:lineRule="auto"/>
        <w:ind w:firstLine="482" w:firstLineChars="200"/>
        <w:jc w:val="both"/>
        <w:outlineLvl w:val="3"/>
        <w:rPr>
          <w:rFonts w:hint="default" w:ascii="Times New Roman" w:hAnsi="Times New Roman" w:cs="Times New Roman"/>
          <w:b/>
          <w:bCs/>
          <w:color w:val="auto"/>
        </w:rPr>
      </w:pPr>
      <w:r>
        <w:rPr>
          <w:rFonts w:hint="default" w:ascii="Times New Roman" w:hAnsi="Times New Roman" w:cs="Times New Roman"/>
          <w:b/>
          <w:bCs/>
          <w:color w:val="auto"/>
        </w:rPr>
        <w:t xml:space="preserve">8.2.2.1沼气泄漏量计算 </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本项目可能会因管道、阀门破损致使沼气泄漏，使气体从破损处向外泄露。</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本项目气体泄漏量采用类比调查和公式计算相结合的方法进行。泄漏量计算公式如下（沼气按其主要成分甲烷进行计算）：</w:t>
      </w:r>
    </w:p>
    <w:p>
      <w:pPr>
        <w:pStyle w:val="2"/>
        <w:spacing w:line="360" w:lineRule="auto"/>
        <w:ind w:firstLine="480" w:firstLineChars="20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2194560" cy="596265"/>
            <wp:effectExtent l="19050" t="0" r="0" b="0"/>
            <wp:docPr id="2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7"/>
                    <pic:cNvPicPr>
                      <a:picLocks noChangeAspect="1" noChangeArrowheads="1"/>
                    </pic:cNvPicPr>
                  </pic:nvPicPr>
                  <pic:blipFill>
                    <a:blip r:embed="rId58"/>
                    <a:srcRect/>
                    <a:stretch>
                      <a:fillRect/>
                    </a:stretch>
                  </pic:blipFill>
                  <pic:spPr>
                    <a:xfrm>
                      <a:off x="0" y="0"/>
                      <a:ext cx="2194560" cy="596265"/>
                    </a:xfrm>
                    <a:prstGeom prst="rect">
                      <a:avLst/>
                    </a:prstGeom>
                    <a:noFill/>
                    <a:ln w="9525">
                      <a:noFill/>
                      <a:miter lim="800000"/>
                      <a:headEnd/>
                      <a:tailEnd/>
                    </a:ln>
                  </pic:spPr>
                </pic:pic>
              </a:graphicData>
            </a:graphic>
          </wp:inline>
        </w:drawing>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式中：Q</w:t>
      </w:r>
      <w:r>
        <w:rPr>
          <w:rFonts w:hint="default" w:ascii="Times New Roman" w:hAnsi="Times New Roman" w:cs="Times New Roman"/>
          <w:color w:val="auto"/>
          <w:vertAlign w:val="subscript"/>
        </w:rPr>
        <w:t>G</w:t>
      </w:r>
      <w:r>
        <w:rPr>
          <w:rFonts w:hint="default" w:ascii="Times New Roman" w:hAnsi="Times New Roman" w:cs="Times New Roman"/>
          <w:color w:val="auto"/>
        </w:rPr>
        <w:t xml:space="preserve"> —— 气体泄漏速度，kg/s；</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 xml:space="preserve">      P  —— 容器压力，Pa；甲烷为120000 Pa</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 xml:space="preserve">     C</w:t>
      </w:r>
      <w:r>
        <w:rPr>
          <w:rFonts w:hint="default" w:ascii="Times New Roman" w:hAnsi="Times New Roman" w:cs="Times New Roman"/>
          <w:color w:val="auto"/>
          <w:vertAlign w:val="subscript"/>
        </w:rPr>
        <w:t>d</w:t>
      </w:r>
      <w:r>
        <w:rPr>
          <w:rFonts w:hint="default" w:ascii="Times New Roman" w:hAnsi="Times New Roman" w:cs="Times New Roman"/>
          <w:color w:val="auto"/>
        </w:rPr>
        <w:t xml:space="preserve">  —— 气体泄漏系数；当裂口形状为圆形时取1.00，本环评设定裂口形状为圆形。</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 xml:space="preserve">     A —— 裂口面积，m</w:t>
      </w:r>
      <w:r>
        <w:rPr>
          <w:rFonts w:hint="default" w:ascii="Times New Roman" w:hAnsi="Times New Roman" w:cs="Times New Roman"/>
          <w:color w:val="auto"/>
          <w:vertAlign w:val="superscript"/>
        </w:rPr>
        <w:t>2</w:t>
      </w:r>
      <w:r>
        <w:rPr>
          <w:rFonts w:hint="default" w:ascii="Times New Roman" w:hAnsi="Times New Roman" w:cs="Times New Roman"/>
          <w:color w:val="auto"/>
        </w:rPr>
        <w:t xml:space="preserve">； </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 xml:space="preserve">     M —— 分子量；甲烷为16g/mol</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 xml:space="preserve">     R —— 气体常数，8.314 J/(mol·K)；</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 xml:space="preserve">     T</w:t>
      </w:r>
      <w:r>
        <w:rPr>
          <w:rFonts w:hint="default" w:ascii="Times New Roman" w:hAnsi="Times New Roman" w:cs="Times New Roman"/>
          <w:color w:val="auto"/>
          <w:vertAlign w:val="subscript"/>
        </w:rPr>
        <w:t>G</w:t>
      </w:r>
      <w:r>
        <w:rPr>
          <w:rFonts w:hint="default" w:ascii="Times New Roman" w:hAnsi="Times New Roman" w:cs="Times New Roman"/>
          <w:color w:val="auto"/>
        </w:rPr>
        <w:t xml:space="preserve"> ——气体温度，K；</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 xml:space="preserve">     Y —— 流出系数，甲烷为0.757；</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 xml:space="preserve">     K ——气体的绝热指数（热容比），即定压热容Cp与定容热容Cv之比，沼气为1.309。</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该项目泄漏状况由项目事故防范设计措施以及建设方应急处理能力而定，通常情况下，气体发生泄漏后，通过堵漏处理，10min可控制泄漏。气体泄漏主要在贮存过程中由于阀门破裂而发生，阀门裂口长度按2cm计。经类比及估算得出本项目气体泄漏量，详见表8.2-2。</w:t>
      </w:r>
    </w:p>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表8.2-2    项目气体泄漏量</w:t>
      </w:r>
    </w:p>
    <w:tbl>
      <w:tblPr>
        <w:tblStyle w:val="33"/>
        <w:tblW w:w="97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64"/>
        <w:gridCol w:w="3611"/>
        <w:gridCol w:w="37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597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阀门裂口长度（cm）</w:t>
            </w:r>
          </w:p>
        </w:tc>
        <w:tc>
          <w:tcPr>
            <w:tcW w:w="373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75"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泄露时间（min）</w:t>
            </w:r>
          </w:p>
        </w:tc>
        <w:tc>
          <w:tcPr>
            <w:tcW w:w="373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236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泄露速率（kg/s）</w:t>
            </w:r>
          </w:p>
        </w:tc>
        <w:tc>
          <w:tcPr>
            <w:tcW w:w="361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沼气（以甲烷计）</w:t>
            </w:r>
          </w:p>
        </w:tc>
        <w:tc>
          <w:tcPr>
            <w:tcW w:w="373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236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10分钟泄漏量（kg）</w:t>
            </w:r>
          </w:p>
        </w:tc>
        <w:tc>
          <w:tcPr>
            <w:tcW w:w="361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沼气（以甲烷计）</w:t>
            </w:r>
          </w:p>
        </w:tc>
        <w:tc>
          <w:tcPr>
            <w:tcW w:w="3737"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28.8</w:t>
            </w:r>
          </w:p>
        </w:tc>
      </w:tr>
    </w:tbl>
    <w:p>
      <w:pPr>
        <w:pStyle w:val="2"/>
        <w:spacing w:line="360" w:lineRule="auto"/>
        <w:ind w:firstLine="482" w:firstLineChars="200"/>
        <w:jc w:val="both"/>
        <w:outlineLvl w:val="3"/>
        <w:rPr>
          <w:rFonts w:hint="default" w:ascii="Times New Roman" w:hAnsi="Times New Roman" w:cs="Times New Roman"/>
          <w:b/>
          <w:bCs/>
          <w:color w:val="auto"/>
        </w:rPr>
      </w:pPr>
      <w:r>
        <w:rPr>
          <w:rFonts w:hint="default" w:ascii="Times New Roman" w:hAnsi="Times New Roman" w:cs="Times New Roman"/>
          <w:b/>
          <w:bCs/>
          <w:color w:val="auto"/>
        </w:rPr>
        <w:t>8.2.2.2 沼气泄露后果计算</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①预测模式和扩散参数</w:t>
      </w:r>
    </w:p>
    <w:p>
      <w:pPr>
        <w:pStyle w:val="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根据物质泄漏的突发性、有毒蒸气扩散的移动性等特点，本评价采用多烟团叠加模式来预测下风向落地浓度。即将△t时间内排放的污染物看成是一个瞬时烟团，为了求得连续源在下风向的落地浓度，可以把T时段内连续排放造成的下风向落地浓度看作若干个△t时间的瞬时烟囱在该点造成的浓度叠加。计算下风向落地浓度的多烟团模式为：</w:t>
      </w:r>
    </w:p>
    <w:p>
      <w:pPr>
        <w:spacing w:line="500" w:lineRule="exact"/>
        <w:ind w:firstLine="480"/>
        <w:rPr>
          <w:rFonts w:hint="default" w:ascii="Times New Roman" w:hAnsi="Times New Roman" w:cs="Times New Roman"/>
        </w:rPr>
      </w:pPr>
      <w:r>
        <w:rPr>
          <w:rFonts w:hint="default" w:ascii="Times New Roman" w:hAnsi="Times New Roman" w:cs="Times New Roman"/>
        </w:rPr>
        <w:pict>
          <v:shape id="对象 1025" o:spid="_x0000_s2294" o:spt="75" type="#_x0000_t75" style="position:absolute;left:0pt;margin-left:18.1pt;margin-top:0.45pt;height:45pt;width:402pt;z-index:251659264;mso-width-relative:page;mso-height-relative:page;" o:ole="t" filled="f" o:preferrelative="t" stroked="f" coordsize="21600,21600">
            <v:path/>
            <v:fill on="f" focussize="0,0"/>
            <v:stroke on="f" joinstyle="miter"/>
            <v:imagedata r:id="rId60" o:title=""/>
            <o:lock v:ext="edit" aspectratio="t"/>
          </v:shape>
          <o:OLEObject Type="Embed" ProgID="Equation.3" ShapeID="对象 1025" DrawAspect="Content" ObjectID="_1468075737" r:id="rId59">
            <o:LockedField>false</o:LockedField>
          </o:OLEObject>
        </w:pict>
      </w:r>
      <w:r>
        <w:rPr>
          <w:rFonts w:hint="default" w:ascii="Times New Roman" w:hAnsi="Times New Roman" w:cs="Times New Roman"/>
        </w:rPr>
        <w:pict>
          <v:shape id="对象 1024" o:spid="_x0000_s2295" o:spt="75" type="#_x0000_t75" style="position:absolute;left:0pt;margin-left:27.75pt;margin-top:43.2pt;height:34.75pt;width:115.5pt;z-index:-251662336;mso-width-relative:page;mso-height-relative:page;" o:ole="t" filled="f" o:preferrelative="t" stroked="f" coordsize="21600,21600">
            <v:path/>
            <v:fill on="f" focussize="0,0"/>
            <v:stroke on="f" joinstyle="miter"/>
            <v:imagedata r:id="rId62" o:title=""/>
            <o:lock v:ext="edit" aspectratio="t"/>
          </v:shape>
          <o:OLEObject Type="Embed" ProgID="Equation.3" ShapeID="对象 1024" DrawAspect="Content" ObjectID="_1468075738" r:id="rId61">
            <o:LockedField>false</o:LockedField>
          </o:OLEObject>
        </w:pict>
      </w:r>
      <w:r>
        <w:rPr>
          <w:rFonts w:hint="default" w:ascii="Times New Roman" w:hAnsi="Times New Roman" w:cs="Times New Roman"/>
        </w:rPr>
        <w:t xml:space="preserve">    </w:t>
      </w:r>
    </w:p>
    <w:p>
      <w:pPr>
        <w:spacing w:line="500" w:lineRule="exact"/>
        <w:ind w:firstLine="480"/>
        <w:rPr>
          <w:rFonts w:hint="default" w:ascii="Times New Roman" w:hAnsi="Times New Roman" w:cs="Times New Roman"/>
        </w:rPr>
      </w:pPr>
    </w:p>
    <w:p>
      <w:pPr>
        <w:spacing w:line="500" w:lineRule="exact"/>
        <w:ind w:right="-153" w:rightChars="-73" w:firstLine="480"/>
        <w:rPr>
          <w:rFonts w:hint="default" w:ascii="Times New Roman" w:hAnsi="Times New Roman" w:cs="Times New Roman"/>
        </w:rPr>
      </w:pPr>
    </w:p>
    <w:p>
      <w:pPr>
        <w:spacing w:line="500" w:lineRule="exact"/>
        <w:ind w:right="-153" w:rightChars="-73" w:firstLine="480"/>
        <w:rPr>
          <w:rFonts w:hint="default" w:ascii="Times New Roman" w:hAnsi="Times New Roman" w:cs="Times New Roman"/>
          <w:sz w:val="24"/>
          <w:szCs w:val="24"/>
        </w:rPr>
      </w:pPr>
      <w:r>
        <w:rPr>
          <w:rFonts w:hint="default" w:ascii="Times New Roman" w:hAnsi="Times New Roman" w:cs="Times New Roman"/>
          <w:sz w:val="24"/>
          <w:szCs w:val="24"/>
        </w:rPr>
        <w:t>式中：C</w:t>
      </w:r>
      <w:r>
        <w:rPr>
          <w:rFonts w:hint="default" w:ascii="Times New Roman" w:hAnsi="Times New Roman" w:cs="Times New Roman"/>
          <w:sz w:val="24"/>
          <w:szCs w:val="24"/>
          <w:vertAlign w:val="subscript"/>
        </w:rPr>
        <w:t>i</w:t>
      </w:r>
      <w:r>
        <w:rPr>
          <w:rFonts w:hint="default" w:ascii="Times New Roman" w:hAnsi="Times New Roman" w:cs="Times New Roman"/>
          <w:sz w:val="24"/>
          <w:szCs w:val="24"/>
        </w:rPr>
        <w:t>（x,y,0,t-t</w:t>
      </w:r>
      <w:r>
        <w:rPr>
          <w:rFonts w:hint="default" w:ascii="Times New Roman" w:hAnsi="Times New Roman" w:cs="Times New Roman"/>
          <w:sz w:val="24"/>
          <w:szCs w:val="24"/>
          <w:vertAlign w:val="subscript"/>
        </w:rPr>
        <w:t>i</w:t>
      </w:r>
      <w:r>
        <w:rPr>
          <w:rFonts w:hint="default" w:ascii="Times New Roman" w:hAnsi="Times New Roman" w:cs="Times New Roman"/>
          <w:sz w:val="24"/>
          <w:szCs w:val="24"/>
        </w:rPr>
        <w:t>）——第i个烟团t时刻在（x,y,0）处的浓度，mg/m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spacing w:line="500" w:lineRule="exact"/>
        <w:ind w:left="2640" w:hanging="2640" w:hangingChars="1100"/>
        <w:rPr>
          <w:rFonts w:hint="default" w:ascii="Times New Roman" w:hAnsi="Times New Roman" w:cs="Times New Roman"/>
          <w:sz w:val="24"/>
          <w:szCs w:val="24"/>
        </w:rPr>
      </w:pPr>
      <w:r>
        <w:rPr>
          <w:rFonts w:hint="default" w:ascii="Times New Roman" w:hAnsi="Times New Roman" w:cs="Times New Roman"/>
          <w:sz w:val="24"/>
          <w:szCs w:val="24"/>
        </w:rPr>
        <w:t xml:space="preserve">            Q——排放总量，mg；</w:t>
      </w:r>
    </w:p>
    <w:p>
      <w:pPr>
        <w:spacing w:line="500" w:lineRule="exact"/>
        <w:ind w:firstLine="1440" w:firstLineChars="600"/>
        <w:rPr>
          <w:rFonts w:hint="default" w:ascii="Times New Roman" w:hAnsi="Times New Roman" w:cs="Times New Roman"/>
          <w:sz w:val="24"/>
          <w:szCs w:val="24"/>
        </w:rPr>
      </w:pPr>
      <w:r>
        <w:rPr>
          <w:rFonts w:hint="default" w:ascii="Times New Roman" w:hAnsi="Times New Roman" w:cs="Times New Roman"/>
          <w:sz w:val="24"/>
          <w:szCs w:val="24"/>
        </w:rPr>
        <w:t>u——风速，m/s；</w:t>
      </w:r>
    </w:p>
    <w:p>
      <w:pPr>
        <w:spacing w:line="500" w:lineRule="exact"/>
        <w:ind w:firstLine="1440" w:firstLineChars="600"/>
        <w:rPr>
          <w:rFonts w:hint="default" w:ascii="Times New Roman" w:hAnsi="Times New Roman" w:cs="Times New Roman"/>
          <w:sz w:val="24"/>
          <w:szCs w:val="24"/>
        </w:rPr>
      </w:pPr>
      <w:r>
        <w:rPr>
          <w:rFonts w:hint="default" w:ascii="Times New Roman" w:hAnsi="Times New Roman" w:cs="Times New Roman"/>
          <w:sz w:val="24"/>
          <w:szCs w:val="24"/>
        </w:rPr>
        <w:t>t</w:t>
      </w:r>
      <w:r>
        <w:rPr>
          <w:rFonts w:hint="default" w:ascii="Times New Roman" w:hAnsi="Times New Roman" w:cs="Times New Roman"/>
          <w:sz w:val="24"/>
          <w:szCs w:val="24"/>
          <w:vertAlign w:val="subscript"/>
        </w:rPr>
        <w:t>i</w:t>
      </w:r>
      <w:r>
        <w:rPr>
          <w:rFonts w:hint="default" w:ascii="Times New Roman" w:hAnsi="Times New Roman" w:cs="Times New Roman"/>
          <w:sz w:val="24"/>
          <w:szCs w:val="24"/>
        </w:rPr>
        <w:t>——第i个烟团的释放时刻，s；</w:t>
      </w:r>
    </w:p>
    <w:p>
      <w:pPr>
        <w:spacing w:line="500" w:lineRule="exact"/>
        <w:ind w:firstLine="1440" w:firstLineChars="600"/>
        <w:rPr>
          <w:rFonts w:hint="default" w:ascii="Times New Roman" w:hAnsi="Times New Roman" w:cs="Times New Roman"/>
          <w:sz w:val="24"/>
          <w:szCs w:val="24"/>
        </w:rPr>
      </w:pPr>
      <w:r>
        <w:rPr>
          <w:rFonts w:hint="default" w:ascii="Times New Roman" w:hAnsi="Times New Roman" w:cs="Times New Roman"/>
          <w:sz w:val="24"/>
          <w:szCs w:val="24"/>
        </w:rPr>
        <w:t>He——有效源高，m；</w:t>
      </w:r>
    </w:p>
    <w:p>
      <w:pPr>
        <w:spacing w:line="500" w:lineRule="exact"/>
        <w:ind w:firstLine="1440" w:firstLineChars="600"/>
        <w:rPr>
          <w:rFonts w:hint="default" w:ascii="Times New Roman" w:hAnsi="Times New Roman" w:cs="Times New Roman"/>
          <w:sz w:val="24"/>
          <w:szCs w:val="24"/>
        </w:rPr>
      </w:pPr>
      <w:r>
        <w:rPr>
          <w:rFonts w:hint="default" w:ascii="Times New Roman" w:hAnsi="Times New Roman" w:cs="Times New Roman"/>
          <w:sz w:val="24"/>
          <w:szCs w:val="24"/>
        </w:rPr>
        <w:t>σ</w:t>
      </w:r>
      <w:r>
        <w:rPr>
          <w:rFonts w:hint="default" w:ascii="Times New Roman" w:hAnsi="Times New Roman" w:cs="Times New Roman"/>
          <w:sz w:val="24"/>
          <w:szCs w:val="24"/>
          <w:vertAlign w:val="subscript"/>
        </w:rPr>
        <w:t>x</w:t>
      </w:r>
      <w:r>
        <w:rPr>
          <w:rFonts w:hint="default" w:ascii="Times New Roman" w:hAnsi="Times New Roman" w:cs="Times New Roman"/>
          <w:sz w:val="24"/>
          <w:szCs w:val="24"/>
        </w:rPr>
        <w:t>σ</w:t>
      </w:r>
      <w:r>
        <w:rPr>
          <w:rFonts w:hint="default" w:ascii="Times New Roman" w:hAnsi="Times New Roman" w:cs="Times New Roman"/>
          <w:sz w:val="24"/>
          <w:szCs w:val="24"/>
          <w:vertAlign w:val="subscript"/>
        </w:rPr>
        <w:t>y</w:t>
      </w:r>
      <w:r>
        <w:rPr>
          <w:rFonts w:hint="default" w:ascii="Times New Roman" w:hAnsi="Times New Roman" w:cs="Times New Roman"/>
          <w:sz w:val="24"/>
          <w:szCs w:val="24"/>
        </w:rPr>
        <w:t>σ</w:t>
      </w:r>
      <w:r>
        <w:rPr>
          <w:rFonts w:hint="default" w:ascii="Times New Roman" w:hAnsi="Times New Roman" w:cs="Times New Roman"/>
          <w:sz w:val="24"/>
          <w:szCs w:val="24"/>
          <w:vertAlign w:val="subscript"/>
        </w:rPr>
        <w:t>z</w:t>
      </w:r>
      <w:r>
        <w:rPr>
          <w:rFonts w:hint="default" w:ascii="Times New Roman" w:hAnsi="Times New Roman" w:cs="Times New Roman"/>
          <w:sz w:val="24"/>
          <w:szCs w:val="24"/>
        </w:rPr>
        <w:t>——为x、y、z方向的扩散参数，m；</w:t>
      </w:r>
    </w:p>
    <w:p>
      <w:pPr>
        <w:spacing w:line="500" w:lineRule="exact"/>
        <w:ind w:firstLine="1440" w:firstLineChars="600"/>
        <w:rPr>
          <w:rFonts w:hint="default" w:ascii="Times New Roman" w:hAnsi="Times New Roman" w:cs="Times New Roman"/>
          <w:sz w:val="24"/>
          <w:szCs w:val="24"/>
        </w:rPr>
      </w:pPr>
      <w:r>
        <w:rPr>
          <w:rFonts w:hint="default" w:ascii="Times New Roman" w:hAnsi="Times New Roman" w:cs="Times New Roman"/>
          <w:sz w:val="24"/>
          <w:szCs w:val="24"/>
        </w:rPr>
        <w:t>n——烟团个数，这里假设每10s释放一个烟团，事故期间（30min）共释放180个烟团。</w:t>
      </w:r>
    </w:p>
    <w:p>
      <w:pPr>
        <w:pStyle w:val="86"/>
        <w:adjustRightInd/>
        <w:snapToGrid w:val="0"/>
        <w:spacing w:line="500" w:lineRule="exact"/>
        <w:ind w:left="480"/>
        <w:jc w:val="both"/>
        <w:textAlignment w:val="auto"/>
        <w:rPr>
          <w:rFonts w:hint="default" w:ascii="Times New Roman" w:hAnsi="Times New Roman" w:cs="Times New Roman"/>
          <w:szCs w:val="24"/>
        </w:rPr>
      </w:pPr>
      <w:r>
        <w:rPr>
          <w:rFonts w:hint="default" w:ascii="Times New Roman" w:hAnsi="Times New Roman" w:cs="Times New Roman"/>
          <w:szCs w:val="24"/>
        </w:rPr>
        <w:t>②计算结果</w:t>
      </w:r>
    </w:p>
    <w:p>
      <w:pPr>
        <w:spacing w:line="500" w:lineRule="exact"/>
        <w:ind w:firstLine="480"/>
        <w:jc w:val="left"/>
        <w:rPr>
          <w:rFonts w:hint="default" w:ascii="Times New Roman" w:hAnsi="Times New Roman" w:cs="Times New Roman"/>
          <w:b/>
          <w:sz w:val="24"/>
          <w:szCs w:val="24"/>
        </w:rPr>
      </w:pPr>
      <w:r>
        <w:rPr>
          <w:rFonts w:hint="default" w:ascii="Times New Roman" w:hAnsi="Times New Roman" w:cs="Times New Roman"/>
          <w:sz w:val="24"/>
          <w:szCs w:val="24"/>
        </w:rPr>
        <w:t>本次计算事故时选取小风（计算取U</w:t>
      </w:r>
      <w:r>
        <w:rPr>
          <w:rFonts w:hint="default" w:ascii="Times New Roman" w:hAnsi="Times New Roman" w:cs="Times New Roman"/>
          <w:sz w:val="24"/>
          <w:szCs w:val="24"/>
          <w:vertAlign w:val="subscript"/>
        </w:rPr>
        <w:t>10</w:t>
      </w:r>
      <w:r>
        <w:rPr>
          <w:rFonts w:hint="default" w:ascii="Times New Roman" w:hAnsi="Times New Roman" w:cs="Times New Roman"/>
          <w:sz w:val="24"/>
          <w:szCs w:val="24"/>
        </w:rPr>
        <w:t>＝1.0m/s）和年平均风速（计算取U</w:t>
      </w:r>
      <w:r>
        <w:rPr>
          <w:rFonts w:hint="default" w:ascii="Times New Roman" w:hAnsi="Times New Roman" w:cs="Times New Roman"/>
          <w:sz w:val="24"/>
          <w:szCs w:val="24"/>
          <w:vertAlign w:val="subscript"/>
        </w:rPr>
        <w:t>10</w:t>
      </w:r>
      <w:r>
        <w:rPr>
          <w:rFonts w:hint="default" w:ascii="Times New Roman" w:hAnsi="Times New Roman" w:cs="Times New Roman"/>
          <w:sz w:val="24"/>
          <w:szCs w:val="24"/>
        </w:rPr>
        <w:t>＝2.0m/s）天气条件下预测事故影响范围，前</w:t>
      </w:r>
      <w:r>
        <w:rPr>
          <w:rFonts w:hint="default" w:ascii="Times New Roman" w:hAnsi="Times New Roman" w:cs="Times New Roman"/>
          <w:bCs/>
          <w:sz w:val="24"/>
          <w:szCs w:val="24"/>
        </w:rPr>
        <w:t>苏联制定的甲烷的接触限值为</w:t>
      </w:r>
      <w:r>
        <w:rPr>
          <w:rFonts w:hint="default" w:ascii="Times New Roman" w:hAnsi="Times New Roman" w:cs="Times New Roman"/>
          <w:sz w:val="24"/>
          <w:szCs w:val="24"/>
        </w:rPr>
        <w:t>300mg/m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。预测结果见下表。</w:t>
      </w:r>
    </w:p>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表8.2-4   沼气泄漏事故浓度预测结果</w:t>
      </w:r>
    </w:p>
    <w:tbl>
      <w:tblPr>
        <w:tblStyle w:val="33"/>
        <w:tblW w:w="97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462"/>
        <w:gridCol w:w="921"/>
        <w:gridCol w:w="2461"/>
        <w:gridCol w:w="2001"/>
        <w:gridCol w:w="26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79" w:hRule="atLeast"/>
          <w:jc w:val="center"/>
        </w:trPr>
        <w:tc>
          <w:tcPr>
            <w:tcW w:w="1199" w:type="dxa"/>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危险物品</w:t>
            </w:r>
          </w:p>
        </w:tc>
        <w:tc>
          <w:tcPr>
            <w:tcW w:w="1383" w:type="dxa"/>
            <w:gridSpan w:val="2"/>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气象条件</w:t>
            </w:r>
          </w:p>
        </w:tc>
        <w:tc>
          <w:tcPr>
            <w:tcW w:w="2461" w:type="dxa"/>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最大落地浓度(mg/m</w:t>
            </w:r>
            <w:r>
              <w:rPr>
                <w:rFonts w:hint="default" w:ascii="Times New Roman" w:hAnsi="Times New Roman" w:cs="Times New Roman"/>
                <w:b/>
                <w:szCs w:val="21"/>
                <w:vertAlign w:val="superscript"/>
              </w:rPr>
              <w:t>3</w:t>
            </w:r>
            <w:r>
              <w:rPr>
                <w:rFonts w:hint="default" w:ascii="Times New Roman" w:hAnsi="Times New Roman" w:cs="Times New Roman"/>
                <w:b/>
                <w:szCs w:val="21"/>
              </w:rPr>
              <w:t>)</w:t>
            </w:r>
          </w:p>
        </w:tc>
        <w:tc>
          <w:tcPr>
            <w:tcW w:w="2001" w:type="dxa"/>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出现距离（m）</w:t>
            </w:r>
          </w:p>
        </w:tc>
        <w:tc>
          <w:tcPr>
            <w:tcW w:w="2668" w:type="dxa"/>
            <w:vAlign w:val="center"/>
          </w:tcPr>
          <w:p>
            <w:pPr>
              <w:rPr>
                <w:rFonts w:hint="default" w:ascii="Times New Roman" w:hAnsi="Times New Roman" w:cs="Times New Roman"/>
                <w:b/>
                <w:szCs w:val="21"/>
              </w:rPr>
            </w:pPr>
            <w:r>
              <w:rPr>
                <w:rFonts w:hint="default" w:ascii="Times New Roman" w:hAnsi="Times New Roman" w:cs="Times New Roman"/>
                <w:b/>
                <w:szCs w:val="21"/>
              </w:rPr>
              <w:t>短时间接触浓度范围(m)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1199" w:type="dxa"/>
            <w:vMerge w:val="restart"/>
            <w:vAlign w:val="center"/>
          </w:tcPr>
          <w:p>
            <w:pPr>
              <w:pStyle w:val="73"/>
              <w:spacing w:beforeLines="0" w:afterLines="0" w:line="240" w:lineRule="auto"/>
              <w:rPr>
                <w:rFonts w:hint="default" w:ascii="Times New Roman" w:hAnsi="Times New Roman" w:cs="Times New Roman"/>
                <w:szCs w:val="21"/>
              </w:rPr>
            </w:pPr>
            <w:r>
              <w:rPr>
                <w:rFonts w:hint="default" w:ascii="Times New Roman" w:hAnsi="Times New Roman" w:cs="Times New Roman"/>
                <w:szCs w:val="21"/>
              </w:rPr>
              <w:t>沼气</w:t>
            </w:r>
          </w:p>
        </w:tc>
        <w:tc>
          <w:tcPr>
            <w:tcW w:w="462"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B</w:t>
            </w:r>
          </w:p>
        </w:tc>
        <w:tc>
          <w:tcPr>
            <w:tcW w:w="92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1.0m/s</w:t>
            </w:r>
          </w:p>
        </w:tc>
        <w:tc>
          <w:tcPr>
            <w:tcW w:w="246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252.4903</w:t>
            </w:r>
          </w:p>
        </w:tc>
        <w:tc>
          <w:tcPr>
            <w:tcW w:w="20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8.8</w:t>
            </w:r>
          </w:p>
        </w:tc>
        <w:tc>
          <w:tcPr>
            <w:tcW w:w="2668"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1199" w:type="dxa"/>
            <w:vMerge w:val="continue"/>
            <w:vAlign w:val="center"/>
          </w:tcPr>
          <w:p>
            <w:pPr>
              <w:pStyle w:val="73"/>
              <w:spacing w:beforeLines="0" w:afterLines="0" w:line="240" w:lineRule="auto"/>
              <w:rPr>
                <w:rFonts w:hint="default" w:ascii="Times New Roman" w:hAnsi="Times New Roman" w:cs="Times New Roman"/>
                <w:szCs w:val="21"/>
              </w:rPr>
            </w:pPr>
          </w:p>
        </w:tc>
        <w:tc>
          <w:tcPr>
            <w:tcW w:w="462" w:type="dxa"/>
            <w:vMerge w:val="continue"/>
            <w:vAlign w:val="center"/>
          </w:tcPr>
          <w:p>
            <w:pPr>
              <w:jc w:val="center"/>
              <w:rPr>
                <w:rFonts w:hint="default" w:ascii="Times New Roman" w:hAnsi="Times New Roman" w:cs="Times New Roman"/>
                <w:szCs w:val="21"/>
              </w:rPr>
            </w:pPr>
          </w:p>
        </w:tc>
        <w:tc>
          <w:tcPr>
            <w:tcW w:w="92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2.0m/s</w:t>
            </w:r>
          </w:p>
        </w:tc>
        <w:tc>
          <w:tcPr>
            <w:tcW w:w="246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245.1038</w:t>
            </w:r>
          </w:p>
        </w:tc>
        <w:tc>
          <w:tcPr>
            <w:tcW w:w="20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12.3</w:t>
            </w:r>
          </w:p>
        </w:tc>
        <w:tc>
          <w:tcPr>
            <w:tcW w:w="2668"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1199" w:type="dxa"/>
            <w:vMerge w:val="continue"/>
            <w:vAlign w:val="center"/>
          </w:tcPr>
          <w:p>
            <w:pPr>
              <w:pStyle w:val="73"/>
              <w:spacing w:beforeLines="0" w:afterLines="0" w:line="240" w:lineRule="auto"/>
              <w:rPr>
                <w:rFonts w:hint="default" w:ascii="Times New Roman" w:hAnsi="Times New Roman" w:cs="Times New Roman"/>
                <w:szCs w:val="21"/>
              </w:rPr>
            </w:pPr>
          </w:p>
        </w:tc>
        <w:tc>
          <w:tcPr>
            <w:tcW w:w="462"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D</w:t>
            </w:r>
          </w:p>
        </w:tc>
        <w:tc>
          <w:tcPr>
            <w:tcW w:w="92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1.0m/s</w:t>
            </w:r>
          </w:p>
        </w:tc>
        <w:tc>
          <w:tcPr>
            <w:tcW w:w="246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3306.8443</w:t>
            </w:r>
          </w:p>
        </w:tc>
        <w:tc>
          <w:tcPr>
            <w:tcW w:w="20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7.3</w:t>
            </w:r>
          </w:p>
        </w:tc>
        <w:tc>
          <w:tcPr>
            <w:tcW w:w="2668"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26.9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1199" w:type="dxa"/>
            <w:vMerge w:val="continue"/>
            <w:vAlign w:val="center"/>
          </w:tcPr>
          <w:p>
            <w:pPr>
              <w:pStyle w:val="73"/>
              <w:spacing w:beforeLines="0" w:afterLines="0" w:line="240" w:lineRule="auto"/>
              <w:rPr>
                <w:rFonts w:hint="default" w:ascii="Times New Roman" w:hAnsi="Times New Roman" w:cs="Times New Roman"/>
                <w:szCs w:val="21"/>
              </w:rPr>
            </w:pPr>
          </w:p>
        </w:tc>
        <w:tc>
          <w:tcPr>
            <w:tcW w:w="462" w:type="dxa"/>
            <w:vMerge w:val="continue"/>
            <w:vAlign w:val="center"/>
          </w:tcPr>
          <w:p>
            <w:pPr>
              <w:jc w:val="center"/>
              <w:rPr>
                <w:rFonts w:hint="default" w:ascii="Times New Roman" w:hAnsi="Times New Roman" w:cs="Times New Roman"/>
                <w:szCs w:val="21"/>
              </w:rPr>
            </w:pPr>
          </w:p>
        </w:tc>
        <w:tc>
          <w:tcPr>
            <w:tcW w:w="92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2.0m/s</w:t>
            </w:r>
          </w:p>
        </w:tc>
        <w:tc>
          <w:tcPr>
            <w:tcW w:w="246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3144.3418</w:t>
            </w:r>
          </w:p>
        </w:tc>
        <w:tc>
          <w:tcPr>
            <w:tcW w:w="20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10.1</w:t>
            </w:r>
          </w:p>
        </w:tc>
        <w:tc>
          <w:tcPr>
            <w:tcW w:w="2668"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31.7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1199" w:type="dxa"/>
            <w:vMerge w:val="continue"/>
            <w:vAlign w:val="center"/>
          </w:tcPr>
          <w:p>
            <w:pPr>
              <w:pStyle w:val="73"/>
              <w:spacing w:beforeLines="0" w:afterLines="0" w:line="240" w:lineRule="auto"/>
              <w:rPr>
                <w:rFonts w:hint="default" w:ascii="Times New Roman" w:hAnsi="Times New Roman" w:cs="Times New Roman"/>
                <w:szCs w:val="21"/>
              </w:rPr>
            </w:pPr>
          </w:p>
        </w:tc>
        <w:tc>
          <w:tcPr>
            <w:tcW w:w="462"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F</w:t>
            </w:r>
          </w:p>
        </w:tc>
        <w:tc>
          <w:tcPr>
            <w:tcW w:w="92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1.0m/s</w:t>
            </w:r>
          </w:p>
        </w:tc>
        <w:tc>
          <w:tcPr>
            <w:tcW w:w="246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4000.0735</w:t>
            </w:r>
          </w:p>
        </w:tc>
        <w:tc>
          <w:tcPr>
            <w:tcW w:w="20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6.0</w:t>
            </w:r>
          </w:p>
        </w:tc>
        <w:tc>
          <w:tcPr>
            <w:tcW w:w="2668"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38.7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1199" w:type="dxa"/>
            <w:vMerge w:val="continue"/>
            <w:vAlign w:val="center"/>
          </w:tcPr>
          <w:p>
            <w:pPr>
              <w:pStyle w:val="73"/>
              <w:spacing w:beforeLines="0" w:afterLines="0" w:line="240" w:lineRule="auto"/>
              <w:rPr>
                <w:rFonts w:hint="default" w:ascii="Times New Roman" w:hAnsi="Times New Roman" w:cs="Times New Roman"/>
                <w:szCs w:val="21"/>
              </w:rPr>
            </w:pPr>
          </w:p>
        </w:tc>
        <w:tc>
          <w:tcPr>
            <w:tcW w:w="462" w:type="dxa"/>
            <w:vMerge w:val="continue"/>
            <w:vAlign w:val="center"/>
          </w:tcPr>
          <w:p>
            <w:pPr>
              <w:jc w:val="center"/>
              <w:rPr>
                <w:rFonts w:hint="default" w:ascii="Times New Roman" w:hAnsi="Times New Roman" w:cs="Times New Roman"/>
                <w:szCs w:val="21"/>
              </w:rPr>
            </w:pPr>
          </w:p>
        </w:tc>
        <w:tc>
          <w:tcPr>
            <w:tcW w:w="92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2.0m/s</w:t>
            </w:r>
          </w:p>
        </w:tc>
        <w:tc>
          <w:tcPr>
            <w:tcW w:w="246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3588.7329</w:t>
            </w:r>
          </w:p>
        </w:tc>
        <w:tc>
          <w:tcPr>
            <w:tcW w:w="20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8.2</w:t>
            </w:r>
          </w:p>
        </w:tc>
        <w:tc>
          <w:tcPr>
            <w:tcW w:w="2668"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45.6</w:t>
            </w:r>
          </w:p>
        </w:tc>
      </w:tr>
    </w:tbl>
    <w:p>
      <w:pPr>
        <w:pStyle w:val="5"/>
        <w:keepNext w:val="0"/>
        <w:keepLines w:val="0"/>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8.2.3后果分析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沼气发生泄漏时，在B稳定度下，当风速为1m/s时，甲烷的最大落地浓度为252.4903mg/m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，出现的距离为8.8m；当风速为2.0m/s时，甲烷的最大落地浓度为245.1038mg/m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，出现的距离为12.3m；在D稳定度下，当风速为1m/s时，甲烷的最大落地浓度为3306.8443mg/m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，出现的距离为7.3m，短时间接触浓度范围为26.9m；当风速为2.0m/s时，甲烷的最大落地浓度为3144.3418 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，出现的距离为10.1m，短时间接触浓度范围为31.7m；在F稳定度下，当风速为1m/s时，甲烷的最大落地浓度为4000.0735mg/m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，出现的距离为6.0m，短时间接触浓度范围为38.7m；当风速为2.0m/s时，甲烷的最大落地浓度为3588.7329mg/m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，出现的距离为8.2m，短时间接触浓度范围为45.6m；最大落地浓度均出现在卫生防护距离之内，对周围环境敏感点影响较小。</w:t>
      </w:r>
    </w:p>
    <w:p>
      <w:pPr>
        <w:pStyle w:val="4"/>
        <w:keepNext w:val="0"/>
        <w:keepLines w:val="0"/>
        <w:spacing w:before="0" w:after="0" w:line="360" w:lineRule="auto"/>
        <w:jc w:val="left"/>
        <w:rPr>
          <w:rFonts w:hint="default" w:ascii="Times New Roman" w:hAnsi="Times New Roman" w:cs="Times New Roman"/>
          <w:sz w:val="28"/>
          <w:szCs w:val="28"/>
        </w:rPr>
      </w:pPr>
      <w:bookmarkStart w:id="394" w:name="_Toc18335"/>
      <w:bookmarkStart w:id="395" w:name="_Toc3144"/>
      <w:r>
        <w:rPr>
          <w:rFonts w:hint="default" w:ascii="Times New Roman" w:hAnsi="Times New Roman" w:cs="Times New Roman"/>
          <w:sz w:val="28"/>
          <w:szCs w:val="28"/>
        </w:rPr>
        <w:t>8.3 风险防范措施</w:t>
      </w:r>
      <w:bookmarkEnd w:id="394"/>
      <w:bookmarkEnd w:id="395"/>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由于环境风险具有突发性和破坏性的特点，所以必须采取切实有效的措施加以防范，加强控制和管理是杜绝、减轻和避免环境风险的最有效办法。</w:t>
      </w:r>
    </w:p>
    <w:p>
      <w:pPr>
        <w:pStyle w:val="5"/>
        <w:keepNext w:val="0"/>
        <w:keepLines w:val="0"/>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8.3.1事故防范措施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根据工程设计，建设方拟在储气柜周围安装燃气泄露报警器、火焰报警器和烟雾报警器，对封闭式设备进行安全监测。</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除此之外，建设单位在生产过程中应注意以下防范措施：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（1）严格执行有关防水、防爆、防中毒的规定，高温和有明火的设备尽量远离散发可燃气体的场所；</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（2）设备、管道设计应留有一定的安全系统；</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（3）应有急救设施、救援通道就应急疏散通道；</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（4）储气柜设置阻火器，防止发生回火。</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评价建议建设单位在生产过程中加强以下防范措施：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1）加强岗位培训，落实安全生产责任制</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①公司领导要把安全生产、防范事故工作放在第一位，严格安全生产管理，经常检查安全生产措施，发现问题及时解决，消除事故隐患；</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②加强工作人员的安全技术培训工作，特别是对安全管理人员的安全培训，应严格遵守国家劳动安全卫生法律、法规和标准；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③落实各项安全生产责任制，建立健全劳动安全卫生规章制度和安全操作规程。</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2）加强设备维护保养</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①加强对系统设备和密封单元的维护保养，严防泄露；</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②定期进行管道壁厚的测量，对严重关闭减薄的管段，及时维修更换，避免爆管事故发生；</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③在每次大检修时，必须对陈旧、老化的设备和管道按重要程度、安全等级进行更换。</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3）落实工程安全技术措施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本装置拟采用的工艺技术方案在国内外已得到应用，且有成功运行的经验，技术上成熟可靠，工艺技术方案本身不会引起事故风险，因此，只要在设计中严格执行《建筑设计防火规范》（GBJ50016-2006）、《建筑物防雷设计规范》（GB50057-2010）等设计规范，设计不当引起的事故是可以杜绝的；</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严把工程建设质量关，特别是高压设备、各类泵、阀门、法兰等可能泄漏爆破部位质量关，在安装过程中，必须确保各装置的密封性，从采购、制造、安装、试车、检验等关键环节上加强对关键装置的管理，从根本上消除事故隐患，确保生产安全；</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③工程建成后，应全面检查输配管道、配件及安装是否合格，确保不漏气才能交付启用。</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4）防火、防爆措施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①本项目的管道、建构筑物之间应保持一定的防火间距；</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有火灾爆炸危险场所的建构筑物的结构形式以及选用材料应符合防火防爆要求，具有可燃气体、易燃气体的生产装置应设防静电接地系统，具有火灾爆炸危险的生产设备和管道设计安全阀、爆破板、水封、阻火器等防爆阻火器等防爆阻火设施；另外应根据不同危险类型设计可燃气体检测报警系统和在线分析系统设计方案；建议沼气贮存装置加装水喷淋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③具有火灾、爆炸等危害的作业区，应设计事故状态时能延时工作的事故照明灯，装置内潮湿和高温等危险环境采用安全电压；</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④配备足够的消防、气体防护设施，如防火服、氧气呼吸器、防护眼镜等，经常检查安全消防设施的完好性，使其处于即用状态；</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⑤建立一支业务技术过硬的抢救队伍，包括消防、气体防护、维修等，以备在事故发生时能及时、有效的发挥作用；</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⑥严禁在储气柜周围吸烟或使用明火，严禁用明火鉴别沼气池是否已经产生沼气；严禁在储气导气管口试火；严禁用明火检查各种开关、接头、输气管道是否漏气；</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⑦建筑物采取防雷措施，安装避雷针等。</w:t>
      </w:r>
    </w:p>
    <w:p>
      <w:pPr>
        <w:pStyle w:val="5"/>
        <w:keepNext w:val="0"/>
        <w:keepLines w:val="0"/>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8.3.1.1防范措施汇总</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综上，本项目环境风险防范措施汇总详见表8.3-1。</w:t>
      </w:r>
    </w:p>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表8.3-1    风险防范措施一览表</w:t>
      </w:r>
    </w:p>
    <w:tbl>
      <w:tblPr>
        <w:tblStyle w:val="33"/>
        <w:tblW w:w="97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79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50" w:type="dxa"/>
            <w:vAlign w:val="center"/>
          </w:tcPr>
          <w:p>
            <w:pPr>
              <w:pStyle w:val="14"/>
              <w:jc w:val="center"/>
              <w:rPr>
                <w:rFonts w:hint="default" w:ascii="Times New Roman" w:hAnsi="Times New Roman" w:cs="Times New Roman"/>
                <w:b/>
                <w:sz w:val="21"/>
                <w:szCs w:val="21"/>
              </w:rPr>
            </w:pPr>
            <w:r>
              <w:rPr>
                <w:rFonts w:hint="default" w:ascii="Times New Roman" w:hAnsi="Times New Roman" w:cs="Times New Roman"/>
                <w:b/>
                <w:sz w:val="21"/>
                <w:szCs w:val="21"/>
              </w:rPr>
              <w:t>内容</w:t>
            </w:r>
          </w:p>
        </w:tc>
        <w:tc>
          <w:tcPr>
            <w:tcW w:w="7962" w:type="dxa"/>
            <w:vAlign w:val="center"/>
          </w:tcPr>
          <w:p>
            <w:pPr>
              <w:pStyle w:val="14"/>
              <w:jc w:val="center"/>
              <w:rPr>
                <w:rFonts w:hint="default" w:ascii="Times New Roman" w:hAnsi="Times New Roman" w:cs="Times New Roman"/>
                <w:b/>
                <w:sz w:val="21"/>
                <w:szCs w:val="21"/>
              </w:rPr>
            </w:pPr>
            <w:r>
              <w:rPr>
                <w:rFonts w:hint="default" w:ascii="Times New Roman" w:hAnsi="Times New Roman" w:cs="Times New Roman"/>
                <w:b/>
                <w:sz w:val="21"/>
                <w:szCs w:val="21"/>
              </w:rPr>
              <w:t>防范措施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1750" w:type="dxa"/>
            <w:vMerge w:val="restart"/>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场所、设备设计</w:t>
            </w: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严格执行有关防水、防爆、防中毒的规定；高温和有明火的设备尽量远离散发可燃气体的场所。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1750" w:type="dxa"/>
            <w:vMerge w:val="continue"/>
            <w:vAlign w:val="center"/>
          </w:tcPr>
          <w:p>
            <w:pPr>
              <w:pStyle w:val="14"/>
              <w:jc w:val="center"/>
              <w:rPr>
                <w:rFonts w:hint="default" w:ascii="Times New Roman" w:hAnsi="Times New Roman" w:cs="Times New Roman"/>
                <w:sz w:val="21"/>
                <w:szCs w:val="21"/>
              </w:rPr>
            </w:pP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应有急救设施、救援通道及应急疏散通道。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1750" w:type="dxa"/>
            <w:vMerge w:val="continue"/>
            <w:vAlign w:val="center"/>
          </w:tcPr>
          <w:p>
            <w:pPr>
              <w:pStyle w:val="14"/>
              <w:jc w:val="center"/>
              <w:rPr>
                <w:rFonts w:hint="default" w:ascii="Times New Roman" w:hAnsi="Times New Roman" w:cs="Times New Roman"/>
                <w:sz w:val="21"/>
                <w:szCs w:val="21"/>
              </w:rPr>
            </w:pP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设计应留有一定的安全系统。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1750" w:type="dxa"/>
            <w:vMerge w:val="continue"/>
            <w:vAlign w:val="center"/>
          </w:tcPr>
          <w:p>
            <w:pPr>
              <w:pStyle w:val="14"/>
              <w:jc w:val="center"/>
              <w:rPr>
                <w:rFonts w:hint="default" w:ascii="Times New Roman" w:hAnsi="Times New Roman" w:cs="Times New Roman"/>
                <w:sz w:val="21"/>
                <w:szCs w:val="21"/>
              </w:rPr>
            </w:pP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储气装置设有阻火器，防治回火。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1750" w:type="dxa"/>
            <w:vMerge w:val="continue"/>
            <w:vAlign w:val="center"/>
          </w:tcPr>
          <w:p>
            <w:pPr>
              <w:pStyle w:val="14"/>
              <w:jc w:val="center"/>
              <w:rPr>
                <w:rFonts w:hint="default" w:ascii="Times New Roman" w:hAnsi="Times New Roman" w:cs="Times New Roman"/>
                <w:sz w:val="21"/>
                <w:szCs w:val="21"/>
              </w:rPr>
            </w:pP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加强对系统设备和密封单元的维护保养，严防泄漏。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1750" w:type="dxa"/>
            <w:vMerge w:val="continue"/>
            <w:vAlign w:val="center"/>
          </w:tcPr>
          <w:p>
            <w:pPr>
              <w:pStyle w:val="14"/>
              <w:jc w:val="center"/>
              <w:rPr>
                <w:rFonts w:hint="default" w:ascii="Times New Roman" w:hAnsi="Times New Roman" w:cs="Times New Roman"/>
                <w:sz w:val="21"/>
                <w:szCs w:val="21"/>
              </w:rPr>
            </w:pP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管道设防腐层、降低管道腐蚀风险，并定期进行管道壁厚的测量，对严重管壁减薄的管段，及时维修更换，避免爆管事故发生。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1750" w:type="dxa"/>
            <w:vMerge w:val="restart"/>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工程设计</w:t>
            </w: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严格执行防火、防雷等设计规范。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1750" w:type="dxa"/>
            <w:vMerge w:val="continue"/>
            <w:vAlign w:val="center"/>
          </w:tcPr>
          <w:p>
            <w:pPr>
              <w:pStyle w:val="14"/>
              <w:jc w:val="center"/>
              <w:rPr>
                <w:rFonts w:hint="default" w:ascii="Times New Roman" w:hAnsi="Times New Roman" w:cs="Times New Roman"/>
                <w:sz w:val="21"/>
                <w:szCs w:val="21"/>
              </w:rPr>
            </w:pP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严把工程质量关，验收合格后方能投入使用。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 w:hRule="atLeast"/>
          <w:jc w:val="center"/>
        </w:trPr>
        <w:tc>
          <w:tcPr>
            <w:tcW w:w="1750"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安全制度</w:t>
            </w: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加强岗位培训，落实安全生产责任制。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jc w:val="center"/>
        </w:trPr>
        <w:tc>
          <w:tcPr>
            <w:tcW w:w="1750" w:type="dxa"/>
            <w:vMerge w:val="restart"/>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消防、火灾和爆炸防范措施</w:t>
            </w: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应加强设备的管理与维修、切实做好火灾、爆炸和消防等安全措施。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5" w:hRule="atLeast"/>
          <w:jc w:val="center"/>
        </w:trPr>
        <w:tc>
          <w:tcPr>
            <w:tcW w:w="1750" w:type="dxa"/>
            <w:vMerge w:val="continue"/>
            <w:vAlign w:val="center"/>
          </w:tcPr>
          <w:p>
            <w:pPr>
              <w:pStyle w:val="14"/>
              <w:jc w:val="center"/>
              <w:rPr>
                <w:rFonts w:hint="default" w:ascii="Times New Roman" w:hAnsi="Times New Roman" w:cs="Times New Roman"/>
                <w:sz w:val="21"/>
                <w:szCs w:val="21"/>
              </w:rPr>
            </w:pP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具有火灾、爆炸等危害的作业区，应设计事故状态时能延时工作的事故照明灯，装置内潮湿和高温等危险环境采用安全电压。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5" w:hRule="atLeast"/>
          <w:jc w:val="center"/>
        </w:trPr>
        <w:tc>
          <w:tcPr>
            <w:tcW w:w="1750" w:type="dxa"/>
            <w:vMerge w:val="continue"/>
            <w:vAlign w:val="center"/>
          </w:tcPr>
          <w:p>
            <w:pPr>
              <w:pStyle w:val="14"/>
              <w:jc w:val="center"/>
              <w:rPr>
                <w:rFonts w:hint="default" w:ascii="Times New Roman" w:hAnsi="Times New Roman" w:cs="Times New Roman"/>
                <w:sz w:val="21"/>
                <w:szCs w:val="21"/>
              </w:rPr>
            </w:pP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配备足够的消防、气体防护设施。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5" w:hRule="atLeast"/>
          <w:jc w:val="center"/>
        </w:trPr>
        <w:tc>
          <w:tcPr>
            <w:tcW w:w="1750" w:type="dxa"/>
            <w:vMerge w:val="continue"/>
            <w:vAlign w:val="center"/>
          </w:tcPr>
          <w:p>
            <w:pPr>
              <w:pStyle w:val="14"/>
              <w:jc w:val="center"/>
              <w:rPr>
                <w:rFonts w:hint="default" w:ascii="Times New Roman" w:hAnsi="Times New Roman" w:cs="Times New Roman"/>
                <w:sz w:val="21"/>
                <w:szCs w:val="21"/>
              </w:rPr>
            </w:pP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场区内严禁烟火。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5" w:hRule="atLeast"/>
          <w:jc w:val="center"/>
        </w:trPr>
        <w:tc>
          <w:tcPr>
            <w:tcW w:w="1750" w:type="dxa"/>
            <w:vMerge w:val="continue"/>
            <w:vAlign w:val="center"/>
          </w:tcPr>
          <w:p>
            <w:pPr>
              <w:pStyle w:val="14"/>
              <w:jc w:val="center"/>
              <w:rPr>
                <w:rFonts w:hint="default" w:ascii="Times New Roman" w:hAnsi="Times New Roman" w:cs="Times New Roman"/>
                <w:sz w:val="21"/>
                <w:szCs w:val="21"/>
              </w:rPr>
            </w:pPr>
          </w:p>
        </w:tc>
        <w:tc>
          <w:tcPr>
            <w:tcW w:w="7962" w:type="dxa"/>
            <w:vAlign w:val="center"/>
          </w:tcPr>
          <w:p>
            <w:pPr>
              <w:pStyle w:val="14"/>
              <w:rPr>
                <w:rFonts w:hint="default" w:ascii="Times New Roman" w:hAnsi="Times New Roman" w:cs="Times New Roman"/>
                <w:sz w:val="21"/>
                <w:szCs w:val="21"/>
              </w:rPr>
            </w:pPr>
            <w:r>
              <w:rPr>
                <w:rFonts w:hint="default" w:ascii="Times New Roman" w:hAnsi="Times New Roman" w:cs="Times New Roman"/>
                <w:sz w:val="21"/>
                <w:szCs w:val="21"/>
              </w:rPr>
              <w:t>建筑物采取防雷措施，安装避雷针。</w:t>
            </w:r>
          </w:p>
        </w:tc>
      </w:tr>
    </w:tbl>
    <w:p>
      <w:pPr>
        <w:pStyle w:val="5"/>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8.3.1.2风险防范措施投资</w:t>
      </w:r>
    </w:p>
    <w:p>
      <w:pPr>
        <w:keepNext/>
        <w:keepLine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本项目风险事故预防及应急设施设备投资费用详见表8.3-2。</w:t>
      </w:r>
    </w:p>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表8.3-2    事故风险环保投资一览表</w:t>
      </w:r>
    </w:p>
    <w:tbl>
      <w:tblPr>
        <w:tblStyle w:val="33"/>
        <w:tblW w:w="97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386"/>
        <w:gridCol w:w="4462"/>
        <w:gridCol w:w="1084"/>
        <w:gridCol w:w="20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3" w:type="dxa"/>
            <w:vAlign w:val="center"/>
          </w:tcPr>
          <w:p>
            <w:pPr>
              <w:pStyle w:val="14"/>
              <w:jc w:val="center"/>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1386" w:type="dxa"/>
            <w:vAlign w:val="center"/>
          </w:tcPr>
          <w:p>
            <w:pPr>
              <w:pStyle w:val="14"/>
              <w:jc w:val="center"/>
              <w:rPr>
                <w:rFonts w:hint="default" w:ascii="Times New Roman" w:hAnsi="Times New Roman" w:cs="Times New Roman"/>
                <w:b/>
                <w:sz w:val="21"/>
                <w:szCs w:val="21"/>
              </w:rPr>
            </w:pPr>
            <w:r>
              <w:rPr>
                <w:rFonts w:hint="default" w:ascii="Times New Roman" w:hAnsi="Times New Roman" w:cs="Times New Roman"/>
                <w:b/>
                <w:sz w:val="21"/>
                <w:szCs w:val="21"/>
              </w:rPr>
              <w:t>项目</w:t>
            </w:r>
          </w:p>
        </w:tc>
        <w:tc>
          <w:tcPr>
            <w:tcW w:w="4462" w:type="dxa"/>
            <w:vAlign w:val="center"/>
          </w:tcPr>
          <w:p>
            <w:pPr>
              <w:pStyle w:val="14"/>
              <w:jc w:val="center"/>
              <w:rPr>
                <w:rFonts w:hint="default" w:ascii="Times New Roman" w:hAnsi="Times New Roman" w:cs="Times New Roman"/>
                <w:b/>
                <w:sz w:val="21"/>
                <w:szCs w:val="21"/>
              </w:rPr>
            </w:pPr>
            <w:r>
              <w:rPr>
                <w:rFonts w:hint="default" w:ascii="Times New Roman" w:hAnsi="Times New Roman" w:cs="Times New Roman"/>
                <w:b/>
                <w:sz w:val="21"/>
                <w:szCs w:val="21"/>
              </w:rPr>
              <w:t>主要设施</w:t>
            </w:r>
          </w:p>
        </w:tc>
        <w:tc>
          <w:tcPr>
            <w:tcW w:w="1084" w:type="dxa"/>
            <w:vAlign w:val="center"/>
          </w:tcPr>
          <w:p>
            <w:pPr>
              <w:pStyle w:val="14"/>
              <w:jc w:val="center"/>
              <w:rPr>
                <w:rFonts w:hint="default" w:ascii="Times New Roman" w:hAnsi="Times New Roman" w:cs="Times New Roman"/>
                <w:b/>
                <w:sz w:val="21"/>
                <w:szCs w:val="21"/>
              </w:rPr>
            </w:pPr>
            <w:r>
              <w:rPr>
                <w:rFonts w:hint="default" w:ascii="Times New Roman" w:hAnsi="Times New Roman" w:cs="Times New Roman"/>
                <w:b/>
                <w:sz w:val="21"/>
                <w:szCs w:val="21"/>
              </w:rPr>
              <w:t>规模</w:t>
            </w:r>
          </w:p>
        </w:tc>
        <w:tc>
          <w:tcPr>
            <w:tcW w:w="2047" w:type="dxa"/>
            <w:vAlign w:val="center"/>
          </w:tcPr>
          <w:p>
            <w:pPr>
              <w:pStyle w:val="14"/>
              <w:jc w:val="center"/>
              <w:rPr>
                <w:rFonts w:hint="default" w:ascii="Times New Roman" w:hAnsi="Times New Roman" w:cs="Times New Roman"/>
                <w:b/>
                <w:sz w:val="21"/>
                <w:szCs w:val="21"/>
              </w:rPr>
            </w:pPr>
            <w:r>
              <w:rPr>
                <w:rFonts w:hint="default" w:ascii="Times New Roman" w:hAnsi="Times New Roman" w:cs="Times New Roman"/>
                <w:b/>
                <w:sz w:val="21"/>
                <w:szCs w:val="21"/>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733"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386"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消防设施</w:t>
            </w:r>
          </w:p>
        </w:tc>
        <w:tc>
          <w:tcPr>
            <w:tcW w:w="4462" w:type="dxa"/>
            <w:vAlign w:val="center"/>
          </w:tcPr>
          <w:p>
            <w:pPr>
              <w:pStyle w:val="14"/>
              <w:ind w:left="480"/>
              <w:jc w:val="center"/>
              <w:rPr>
                <w:rFonts w:hint="default" w:ascii="Times New Roman" w:hAnsi="Times New Roman" w:cs="Times New Roman"/>
                <w:sz w:val="21"/>
                <w:szCs w:val="21"/>
              </w:rPr>
            </w:pPr>
            <w:r>
              <w:rPr>
                <w:rFonts w:hint="default" w:ascii="Times New Roman" w:hAnsi="Times New Roman" w:cs="Times New Roman"/>
                <w:sz w:val="21"/>
                <w:szCs w:val="21"/>
              </w:rPr>
              <w:t>消防器材</w:t>
            </w:r>
          </w:p>
        </w:tc>
        <w:tc>
          <w:tcPr>
            <w:tcW w:w="1084"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若干</w:t>
            </w:r>
          </w:p>
        </w:tc>
        <w:tc>
          <w:tcPr>
            <w:tcW w:w="2047"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3"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386"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报警装置</w:t>
            </w:r>
          </w:p>
        </w:tc>
        <w:tc>
          <w:tcPr>
            <w:tcW w:w="4462"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燃气泄漏报警器、火焰报警器和烟雾报警器</w:t>
            </w:r>
          </w:p>
        </w:tc>
        <w:tc>
          <w:tcPr>
            <w:tcW w:w="1084"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1套</w:t>
            </w:r>
          </w:p>
        </w:tc>
        <w:tc>
          <w:tcPr>
            <w:tcW w:w="2047"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33"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386"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4462"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084"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047" w:type="dxa"/>
            <w:vAlign w:val="center"/>
          </w:tcPr>
          <w:p>
            <w:pPr>
              <w:pStyle w:val="14"/>
              <w:jc w:val="center"/>
              <w:rPr>
                <w:rFonts w:hint="default" w:ascii="Times New Roman" w:hAnsi="Times New Roman" w:cs="Times New Roman"/>
                <w:sz w:val="21"/>
                <w:szCs w:val="21"/>
              </w:rPr>
            </w:pPr>
            <w:r>
              <w:rPr>
                <w:rFonts w:hint="default" w:ascii="Times New Roman" w:hAnsi="Times New Roman" w:cs="Times New Roman"/>
                <w:sz w:val="21"/>
                <w:szCs w:val="21"/>
              </w:rPr>
              <w:t>8</w:t>
            </w:r>
          </w:p>
        </w:tc>
      </w:tr>
    </w:tbl>
    <w:p>
      <w:pPr>
        <w:pStyle w:val="5"/>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8.3.2 沼气贮存泄露应急预案</w:t>
      </w:r>
    </w:p>
    <w:p>
      <w:pPr>
        <w:keepNext/>
        <w:keepLine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为保证企业及人民生命财产的安全，防止突发性重大化学事故发生，或在发生事故时，能迅速有序地开展救援工作，尽最大努力减少事故的危害和损失，根据《中华人民共和国安全生产法》，公司应制定企业级事故应急救援预案，成立以法人为总指挥，副厂长为副总指挥的化学事故应急救援队伍，指挥部下设办公室、工程抢险救援组、医疗救护组、后勤保障组。</w:t>
      </w:r>
    </w:p>
    <w:p>
      <w:pPr>
        <w:keepNext/>
        <w:keepLine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根据工程特点，对于项目中可能造成环境风险的突发性事件制定应急预案，见表8.3-3。</w:t>
      </w:r>
    </w:p>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表8.3-3     工程应急预案一览表</w:t>
      </w:r>
    </w:p>
    <w:tbl>
      <w:tblPr>
        <w:tblStyle w:val="33"/>
        <w:tblW w:w="955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776"/>
        <w:gridCol w:w="69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项目</w:t>
            </w:r>
          </w:p>
        </w:tc>
        <w:tc>
          <w:tcPr>
            <w:tcW w:w="6992"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总则</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简述生产过程中涉及物料性质及可能产生的突发事故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危险源概况</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评述危险源类型，数量及其分布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应急计划区</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生产、贮存区、邻区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应急组织</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建设单位：指挥部——负责养殖场全面指挥</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专业救援队——负责事故控制、救援善后处理</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地区：地区指挥部——负责养殖场附近地区、全面指挥、救援、疏散</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专业救援队——负责对养殖场专业救援队伍支援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5</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应急状态分类及应急响应程序</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规定事故的级别及相应的应急分类响应程序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应急设施、设备与材料</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生产装置：</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（1）防火灾、爆炸事故应急设施、设备与材料，主要为消防器材</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（2）防止原辅料泄漏、外溢、扩散</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（3）事故中使用的防毒设备与材料</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贮存区：</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（1）防火灾、爆炸事故应急设施、设备与材料，主要为消防器材</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（2）防止原辅料泄漏、外溢、扩散</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（3）事故中使用的防毒设备与材料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应急通讯、通知与交通</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规定应急状态下的通讯方式、通知方式和交通保障、管制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8</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应急环境监测及事故后评估</w:t>
            </w:r>
          </w:p>
        </w:tc>
        <w:tc>
          <w:tcPr>
            <w:tcW w:w="6992" w:type="dxa"/>
            <w:tcMar>
              <w:top w:w="0" w:type="dxa"/>
              <w:left w:w="28" w:type="dxa"/>
              <w:bottom w:w="0" w:type="dxa"/>
              <w:right w:w="28" w:type="dxa"/>
            </w:tcMar>
            <w:vAlign w:val="center"/>
          </w:tcPr>
          <w:p>
            <w:pPr>
              <w:pStyle w:val="25"/>
              <w:adjustRightInd w:val="0"/>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由专业队伍对事故现场进行侦察监测，对事故性质、参数与后果进行评估，为指挥部门提供决策依据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9</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应急防护措施，消除泄漏方法和器材</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事故现场：</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控制事故、防止扩大、漫延及链锁反应、消除现场泄漏物、降低危害；相应的设施器材配备</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邻近区域：</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控制事故影响范围，控制和消除污染措施及相应设备配备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10</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应急剂量控制、撤离组织计划、医疗救护与公众健康</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事故现场：</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事故处理人员对毒物的应急剂量控制规定，现场及邻近装置人员撤离组织计划及救护</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工厂邻近区：</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t>受事故影响的邻近区域人员及公众对毒物应急剂量控制规定，撤离组织计划及救护方案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11</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事故状态终止与恢复措施</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规定应急状态终止程序：事故善后处理，恢复措施，邻近区域解除事故警戒及善后恢复措施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12</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人员培训与演练</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应急计划制定后，平时安排主要岗位人员进行安全教育培训与演练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13</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公众教育和信息</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加强公众宣传教育和培训，让公众和员工对主要化学化工原料、产品等有深刻的了解、认识和安全防患意识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14</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记录和报告</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设置应急事故专门记录，建立档案和专门报告制度，设专门部门并负责管理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15</w:t>
            </w:r>
          </w:p>
        </w:tc>
        <w:tc>
          <w:tcPr>
            <w:tcW w:w="1776" w:type="dxa"/>
            <w:tcMar>
              <w:top w:w="0" w:type="dxa"/>
              <w:left w:w="28" w:type="dxa"/>
              <w:bottom w:w="0" w:type="dxa"/>
              <w:right w:w="28"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附件</w:t>
            </w:r>
          </w:p>
        </w:tc>
        <w:tc>
          <w:tcPr>
            <w:tcW w:w="6992" w:type="dxa"/>
            <w:tcMar>
              <w:top w:w="0" w:type="dxa"/>
              <w:left w:w="28" w:type="dxa"/>
              <w:bottom w:w="0" w:type="dxa"/>
              <w:right w:w="28" w:type="dxa"/>
            </w:tcMar>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与应急事故有关的多种附件材料的准备和形成</w:t>
            </w:r>
          </w:p>
        </w:tc>
      </w:tr>
    </w:tbl>
    <w:p>
      <w:pPr>
        <w:pStyle w:val="4"/>
        <w:keepNext w:val="0"/>
        <w:keepLines w:val="0"/>
        <w:spacing w:before="0" w:after="0" w:line="360" w:lineRule="auto"/>
        <w:rPr>
          <w:rFonts w:hint="default" w:ascii="Times New Roman" w:hAnsi="Times New Roman" w:cs="Times New Roman"/>
          <w:sz w:val="28"/>
          <w:szCs w:val="28"/>
        </w:rPr>
      </w:pPr>
      <w:bookmarkStart w:id="396" w:name="_Toc17863"/>
      <w:bookmarkStart w:id="397" w:name="_Toc10051"/>
      <w:r>
        <w:rPr>
          <w:rFonts w:hint="default" w:ascii="Times New Roman" w:hAnsi="Times New Roman" w:cs="Times New Roman"/>
          <w:sz w:val="28"/>
          <w:szCs w:val="28"/>
        </w:rPr>
        <w:t>8.4 污染处理设施运行风险分析</w:t>
      </w:r>
      <w:bookmarkEnd w:id="396"/>
      <w:bookmarkEnd w:id="397"/>
    </w:p>
    <w:p>
      <w:pPr>
        <w:pStyle w:val="4"/>
        <w:keepNext w:val="0"/>
        <w:keepLines w:val="0"/>
        <w:spacing w:before="0" w:after="0" w:line="360" w:lineRule="auto"/>
        <w:ind w:firstLine="482" w:firstLineChars="200"/>
        <w:rPr>
          <w:rFonts w:hint="default" w:ascii="Times New Roman" w:hAnsi="Times New Roman" w:cs="Times New Roman"/>
          <w:sz w:val="24"/>
          <w:szCs w:val="24"/>
        </w:rPr>
      </w:pPr>
      <w:bookmarkStart w:id="398" w:name="_Toc24645"/>
      <w:bookmarkStart w:id="399" w:name="_Toc19990"/>
      <w:r>
        <w:rPr>
          <w:rFonts w:hint="default" w:ascii="Times New Roman" w:hAnsi="Times New Roman" w:cs="Times New Roman"/>
          <w:sz w:val="24"/>
          <w:szCs w:val="24"/>
        </w:rPr>
        <w:t>8.4.1事故废水的处理措施</w:t>
      </w:r>
      <w:bookmarkEnd w:id="398"/>
      <w:bookmarkEnd w:id="399"/>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本项目污水处理站发生故障，不能处理废水时，可将废水排至沼液暂存池，待污水处理站能够正常运行后，再将废水导入污水处理站进行处理。</w:t>
      </w:r>
    </w:p>
    <w:p>
      <w:pPr>
        <w:pStyle w:val="4"/>
        <w:keepNext w:val="0"/>
        <w:keepLines w:val="0"/>
        <w:spacing w:before="0" w:after="0" w:line="360" w:lineRule="auto"/>
        <w:ind w:firstLine="482" w:firstLineChars="200"/>
        <w:rPr>
          <w:rFonts w:hint="default" w:ascii="Times New Roman" w:hAnsi="Times New Roman" w:cs="Times New Roman"/>
          <w:sz w:val="24"/>
          <w:szCs w:val="24"/>
        </w:rPr>
      </w:pPr>
      <w:bookmarkStart w:id="400" w:name="_Toc376200124"/>
      <w:bookmarkStart w:id="401" w:name="_Toc377468555"/>
      <w:bookmarkStart w:id="402" w:name="_Toc376426735"/>
      <w:bookmarkStart w:id="403" w:name="_Toc30965"/>
      <w:bookmarkStart w:id="404" w:name="_Toc6684"/>
      <w:r>
        <w:rPr>
          <w:rFonts w:hint="default" w:ascii="Times New Roman" w:hAnsi="Times New Roman" w:cs="Times New Roman"/>
          <w:sz w:val="24"/>
          <w:szCs w:val="24"/>
        </w:rPr>
        <w:t>8.4.2废水输送管道风险防范措施</w:t>
      </w:r>
      <w:bookmarkEnd w:id="400"/>
      <w:bookmarkEnd w:id="401"/>
      <w:bookmarkEnd w:id="402"/>
      <w:bookmarkEnd w:id="403"/>
      <w:bookmarkEnd w:id="404"/>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为了防止废水输送过程中管道破裂而污染土壤和浅层地下水，评价提出如下建议措施：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（1）合理设置管道阀门，在出现破裂时，能及时通过阀门控制泄漏量。</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（2）选用优质管材，减少管道破裂的几率。</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（3）加强管理，做好管道的维护工作，发现破裂时能及时做应急处理。</w:t>
      </w:r>
    </w:p>
    <w:p>
      <w:pPr>
        <w:pStyle w:val="4"/>
        <w:keepNext w:val="0"/>
        <w:keepLines w:val="0"/>
        <w:spacing w:before="0" w:after="0" w:line="360" w:lineRule="auto"/>
        <w:ind w:firstLine="482" w:firstLineChars="200"/>
        <w:rPr>
          <w:rFonts w:hint="default" w:ascii="Times New Roman" w:hAnsi="Times New Roman" w:cs="Times New Roman"/>
          <w:sz w:val="24"/>
          <w:szCs w:val="24"/>
        </w:rPr>
      </w:pPr>
      <w:bookmarkStart w:id="405" w:name="_Toc20451"/>
      <w:bookmarkStart w:id="406" w:name="_Toc14349"/>
      <w:r>
        <w:rPr>
          <w:rFonts w:hint="default" w:ascii="Times New Roman" w:hAnsi="Times New Roman" w:cs="Times New Roman"/>
          <w:sz w:val="24"/>
          <w:szCs w:val="24"/>
        </w:rPr>
        <w:t>8.4.3储存池事故风险分析</w:t>
      </w:r>
      <w:bookmarkEnd w:id="405"/>
      <w:bookmarkEnd w:id="406"/>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污水处理站处理后的废水在非浇灌期于沼液储存池中暂存。项目在养殖场东面建设1个容积不少于8087m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的沼液暂存池（按照存储90d灌溉用水的规模设计）。</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（1）渗滤风险分析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废水储存池底部首先进行清场夯压，要做到池底无特殊工艺孔设置且内表面积较大，施工所在地土质情况单一，碎砖块等尖锐性杂物较少，具备工程防渗施工的要求。其次，池底部设置排气沟，最底部排气沟中放置排水管，并设置导流渠，以防止污染地下水，同时各废水输送管道应做到防泄露、跑冒等。本项目处理后的废水储存池采用HDPE膜+混凝土防渗，渗透系数为1.0×10</w:t>
      </w:r>
      <w:r>
        <w:rPr>
          <w:rFonts w:hint="default" w:ascii="Times New Roman" w:hAnsi="Times New Roman" w:cs="Times New Roman"/>
          <w:sz w:val="24"/>
          <w:szCs w:val="24"/>
          <w:vertAlign w:val="superscript"/>
        </w:rPr>
        <w:t>-7</w:t>
      </w:r>
      <w:r>
        <w:rPr>
          <w:rFonts w:hint="default" w:ascii="Times New Roman" w:hAnsi="Times New Roman" w:cs="Times New Roman"/>
          <w:sz w:val="24"/>
          <w:szCs w:val="24"/>
        </w:rPr>
        <w:t>cm/s。</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经过上述处理后，不存在污水下渗污染地下水和土壤的风险。</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（2）泄漏风险分析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事故排放指污水处理站发生故障，废水未经处理直接外排入地表水体，短期内将使受纳水体污染物浓度升高，将会给地表水体水质造成污染影响。当储存池出现泄漏、输送管道出现破裂等事故情况时，泄漏的废水可能根据地势自北向南径流对南面小河沟产生影响。</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本项目区域地表水主要为养殖场东面约850m的金牛河，距离较远，且中间区域主要为大面积的林地，通过表层土的吸收、降解及自然蒸发，处理后的废水不会流入河流。</w:t>
      </w:r>
    </w:p>
    <w:p>
      <w:pPr>
        <w:pStyle w:val="4"/>
        <w:keepNext w:val="0"/>
        <w:keepLines w:val="0"/>
        <w:spacing w:before="0" w:after="0" w:line="360" w:lineRule="auto"/>
        <w:rPr>
          <w:rFonts w:hint="default" w:ascii="Times New Roman" w:hAnsi="Times New Roman" w:cs="Times New Roman"/>
          <w:sz w:val="28"/>
          <w:szCs w:val="28"/>
        </w:rPr>
      </w:pPr>
      <w:bookmarkStart w:id="407" w:name="_Toc1414"/>
      <w:bookmarkStart w:id="408" w:name="_Toc30799"/>
      <w:r>
        <w:rPr>
          <w:rFonts w:hint="default" w:ascii="Times New Roman" w:hAnsi="Times New Roman" w:cs="Times New Roman"/>
          <w:sz w:val="28"/>
          <w:szCs w:val="28"/>
        </w:rPr>
        <w:t>8.5 风险评价结论</w:t>
      </w:r>
      <w:bookmarkEnd w:id="407"/>
      <w:bookmarkEnd w:id="408"/>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对场内各单元建筑物和场区地面采取防渗漏措施，并将处理后废水储存池作为事故状况下的事故储存池，可大大降低粪便污水泄漏对地表水体的影响。严格落实本环评提出的各项风险防范措施和事故应急预案后，该项目发生风险事故的可能进一步降低，其潜在的环境风险是可以接受的。</w:t>
      </w:r>
    </w:p>
    <w:p>
      <w:pPr>
        <w:pStyle w:val="9"/>
        <w:ind w:firstLine="480" w:firstLineChars="0"/>
        <w:rPr>
          <w:rFonts w:hint="default" w:ascii="Times New Roman" w:hAnsi="Times New Roman" w:cs="Times New Roman"/>
          <w:b/>
          <w:color w:val="000000"/>
        </w:rPr>
      </w:pPr>
      <w:r>
        <w:rPr>
          <w:rFonts w:hint="default" w:ascii="Times New Roman" w:hAnsi="Times New Roman" w:cs="Times New Roman"/>
          <w:b/>
          <w:color w:val="000000"/>
        </w:rPr>
        <w:t>建设项目环境风险简单分析内容表：</w:t>
      </w:r>
    </w:p>
    <w:p>
      <w:pPr>
        <w:adjustRightInd w:val="0"/>
        <w:snapToGrid w:val="0"/>
        <w:jc w:val="center"/>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表8.5-1 建设项目环境风险简单分析内容表</w:t>
      </w:r>
    </w:p>
    <w:tbl>
      <w:tblPr>
        <w:tblStyle w:val="33"/>
        <w:tblW w:w="97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1310"/>
        <w:gridCol w:w="1946"/>
        <w:gridCol w:w="1182"/>
        <w:gridCol w:w="1491"/>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45" w:type="dxa"/>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建设项目名称</w:t>
            </w:r>
          </w:p>
        </w:tc>
        <w:tc>
          <w:tcPr>
            <w:tcW w:w="7067" w:type="dxa"/>
            <w:gridSpan w:val="5"/>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新建年出栏14000头生猪养殖场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45" w:type="dxa"/>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建设地点</w:t>
            </w:r>
          </w:p>
        </w:tc>
        <w:tc>
          <w:tcPr>
            <w:tcW w:w="1310" w:type="dxa"/>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（四川）省</w:t>
            </w:r>
          </w:p>
        </w:tc>
        <w:tc>
          <w:tcPr>
            <w:tcW w:w="1946" w:type="dxa"/>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（乐山市）市</w:t>
            </w:r>
          </w:p>
        </w:tc>
        <w:tc>
          <w:tcPr>
            <w:tcW w:w="1182" w:type="dxa"/>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（/）区</w:t>
            </w:r>
          </w:p>
        </w:tc>
        <w:tc>
          <w:tcPr>
            <w:tcW w:w="1491" w:type="dxa"/>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（夹江）县</w:t>
            </w:r>
          </w:p>
        </w:tc>
        <w:tc>
          <w:tcPr>
            <w:tcW w:w="1138" w:type="dxa"/>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45" w:type="dxa"/>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地理坐标</w:t>
            </w:r>
          </w:p>
        </w:tc>
        <w:tc>
          <w:tcPr>
            <w:tcW w:w="1310" w:type="dxa"/>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经度</w:t>
            </w:r>
          </w:p>
        </w:tc>
        <w:tc>
          <w:tcPr>
            <w:tcW w:w="1946" w:type="dxa"/>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103.672383857</w:t>
            </w:r>
          </w:p>
        </w:tc>
        <w:tc>
          <w:tcPr>
            <w:tcW w:w="1182" w:type="dxa"/>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纬度</w:t>
            </w:r>
          </w:p>
        </w:tc>
        <w:tc>
          <w:tcPr>
            <w:tcW w:w="2629" w:type="dxa"/>
            <w:gridSpan w:val="2"/>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29.846508210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45" w:type="dxa"/>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主要危险物质及分布</w:t>
            </w:r>
          </w:p>
        </w:tc>
        <w:tc>
          <w:tcPr>
            <w:tcW w:w="7067" w:type="dxa"/>
            <w:gridSpan w:val="5"/>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本项目涉及到的主要危险物质为沼气（主要成分为甲烷）和柴油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45" w:type="dxa"/>
            <w:vAlign w:val="center"/>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环境影响途径及危害后果（大气、地表水、地下水等）</w:t>
            </w:r>
          </w:p>
        </w:tc>
        <w:tc>
          <w:tcPr>
            <w:tcW w:w="7067" w:type="dxa"/>
            <w:gridSpan w:val="5"/>
          </w:tcPr>
          <w:p>
            <w:pPr>
              <w:spacing w:beforeLines="10" w:afterLines="10"/>
              <w:jc w:val="left"/>
              <w:rPr>
                <w:rFonts w:hint="default" w:ascii="Times New Roman" w:hAnsi="Times New Roman" w:cs="Times New Roman"/>
                <w:szCs w:val="21"/>
              </w:rPr>
            </w:pPr>
            <w:r>
              <w:rPr>
                <w:rFonts w:hint="default" w:ascii="Times New Roman" w:hAnsi="Times New Roman" w:cs="Times New Roman"/>
                <w:szCs w:val="21"/>
              </w:rPr>
              <w:t>泄露引起人员中毒；</w:t>
            </w:r>
          </w:p>
          <w:p>
            <w:pPr>
              <w:spacing w:beforeLines="10" w:afterLines="10"/>
              <w:jc w:val="left"/>
              <w:rPr>
                <w:rFonts w:hint="default" w:ascii="Times New Roman" w:hAnsi="Times New Roman" w:cs="Times New Roman"/>
                <w:szCs w:val="21"/>
              </w:rPr>
            </w:pPr>
            <w:r>
              <w:rPr>
                <w:rFonts w:hint="default" w:ascii="Times New Roman" w:hAnsi="Times New Roman" w:cs="Times New Roman"/>
                <w:szCs w:val="21"/>
              </w:rPr>
              <w:t>引起火灾爆炸事故。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45" w:type="dxa"/>
            <w:vAlign w:val="center"/>
          </w:tcPr>
          <w:p>
            <w:pPr>
              <w:spacing w:beforeLines="10" w:afterLines="10"/>
              <w:jc w:val="center"/>
              <w:rPr>
                <w:rFonts w:hint="default" w:ascii="Times New Roman" w:hAnsi="Times New Roman" w:cs="Times New Roman"/>
                <w:szCs w:val="21"/>
              </w:rPr>
            </w:pPr>
            <w:r>
              <w:rPr>
                <w:rFonts w:hint="default" w:ascii="Times New Roman" w:hAnsi="Times New Roman" w:cs="Times New Roman"/>
                <w:szCs w:val="21"/>
              </w:rPr>
              <w:t>风险防范措施要求</w:t>
            </w:r>
          </w:p>
        </w:tc>
        <w:tc>
          <w:tcPr>
            <w:tcW w:w="7067" w:type="dxa"/>
            <w:gridSpan w:val="5"/>
          </w:tcPr>
          <w:p>
            <w:pPr>
              <w:spacing w:beforeLines="10" w:afterLines="10"/>
              <w:jc w:val="left"/>
              <w:rPr>
                <w:rFonts w:hint="default" w:ascii="Times New Roman" w:hAnsi="Times New Roman" w:cs="Times New Roman"/>
                <w:szCs w:val="21"/>
              </w:rPr>
            </w:pPr>
            <w:r>
              <w:rPr>
                <w:rFonts w:hint="default" w:ascii="Times New Roman" w:hAnsi="Times New Roman" w:cs="Times New Roman"/>
                <w:szCs w:val="21"/>
              </w:rPr>
              <w:t>在储气柜周围安装燃气泄露报警器、火焰报警器和烟雾报警器，对封闭式设备进行安全监测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12" w:type="dxa"/>
            <w:gridSpan w:val="6"/>
          </w:tcPr>
          <w:p>
            <w:pPr>
              <w:spacing w:beforeLines="10" w:afterLines="10"/>
              <w:jc w:val="left"/>
              <w:rPr>
                <w:rFonts w:hint="default" w:ascii="Times New Roman" w:hAnsi="Times New Roman" w:cs="Times New Roman"/>
                <w:szCs w:val="21"/>
              </w:rPr>
            </w:pPr>
            <w:r>
              <w:rPr>
                <w:rFonts w:hint="default" w:ascii="Times New Roman" w:hAnsi="Times New Roman" w:cs="Times New Roman"/>
                <w:szCs w:val="21"/>
              </w:rPr>
              <w:t>填表说明（列出项目相关信息及评价说明）：</w:t>
            </w:r>
          </w:p>
          <w:p>
            <w:pPr>
              <w:spacing w:beforeLines="10" w:afterLines="10"/>
              <w:jc w:val="left"/>
              <w:rPr>
                <w:rFonts w:hint="default" w:ascii="Times New Roman" w:hAnsi="Times New Roman" w:cs="Times New Roman"/>
                <w:szCs w:val="21"/>
              </w:rPr>
            </w:pPr>
            <w:r>
              <w:rPr>
                <w:rFonts w:hint="default" w:ascii="Times New Roman" w:hAnsi="Times New Roman" w:cs="Times New Roman"/>
                <w:szCs w:val="21"/>
              </w:rPr>
              <w:t xml:space="preserve">  本项目为生猪养殖项目。根据《建设项目环境风险评价技术导则》（HJ 169-2018）附录B.1、B.2和《危险化学品重大危险源辩识》(GB18218-2018)、《危险化学品名录（2018版）》的有关规定，确定本项目危险物质为柴油及沼气（主要成分为甲烷）。</w:t>
            </w:r>
          </w:p>
          <w:p>
            <w:pPr>
              <w:spacing w:beforeLines="10" w:afterLines="10"/>
              <w:ind w:firstLine="420" w:firstLineChars="200"/>
              <w:jc w:val="left"/>
              <w:rPr>
                <w:rFonts w:hint="default" w:ascii="Times New Roman" w:hAnsi="Times New Roman" w:cs="Times New Roman"/>
                <w:szCs w:val="21"/>
              </w:rPr>
            </w:pPr>
            <w:r>
              <w:rPr>
                <w:rFonts w:hint="default" w:ascii="Times New Roman" w:hAnsi="Times New Roman" w:cs="Times New Roman"/>
                <w:szCs w:val="21"/>
              </w:rPr>
              <w:t>本项目按《建设项目环境风险评价技术导则》（HJ 169-2018）中相关规范要求进行风险评价。</w:t>
            </w:r>
          </w:p>
          <w:p>
            <w:pPr>
              <w:spacing w:beforeLines="10" w:afterLines="10"/>
              <w:ind w:firstLine="420" w:firstLineChars="200"/>
              <w:rPr>
                <w:rFonts w:hint="default" w:ascii="Times New Roman" w:hAnsi="Times New Roman" w:cs="Times New Roman"/>
                <w:szCs w:val="21"/>
              </w:rPr>
            </w:pPr>
            <w:r>
              <w:rPr>
                <w:rFonts w:hint="default" w:ascii="Times New Roman" w:hAnsi="Times New Roman" w:cs="Times New Roman"/>
                <w:szCs w:val="21"/>
              </w:rPr>
              <w:t>环境风险潜势为Ⅰ，评价工作等级为简单分析。</w:t>
            </w:r>
          </w:p>
        </w:tc>
      </w:tr>
    </w:tbl>
    <w:p>
      <w:pPr>
        <w:pStyle w:val="2"/>
        <w:rPr>
          <w:rFonts w:hint="default" w:ascii="Times New Roman" w:hAnsi="Times New Roman" w:cs="Times New Roman"/>
          <w:color w:val="auto"/>
        </w:rPr>
      </w:pPr>
    </w:p>
    <w:p>
      <w:pPr>
        <w:pStyle w:val="2"/>
        <w:rPr>
          <w:rFonts w:hint="default" w:ascii="Times New Roman" w:hAnsi="Times New Roman" w:cs="Times New Roman"/>
          <w:color w:val="auto"/>
        </w:rPr>
        <w:sectPr>
          <w:headerReference r:id="rId12" w:type="default"/>
          <w:footerReference r:id="rId13" w:type="default"/>
          <w:pgSz w:w="11906" w:h="16838"/>
          <w:pgMar w:top="1276" w:right="1134" w:bottom="901" w:left="1276"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3"/>
        <w:keepNext/>
        <w:keepLines/>
        <w:pageBreakBefore w:val="0"/>
        <w:widowControl w:val="0"/>
        <w:kinsoku/>
        <w:wordWrap/>
        <w:overflowPunct/>
        <w:topLinePunct w:val="0"/>
        <w:autoSpaceDE/>
        <w:autoSpaceDN/>
        <w:bidi w:val="0"/>
        <w:adjustRightInd/>
        <w:snapToGrid/>
        <w:spacing w:before="313" w:beforeLines="100" w:after="0" w:line="360" w:lineRule="auto"/>
        <w:jc w:val="center"/>
        <w:textAlignment w:val="auto"/>
        <w:outlineLvl w:val="0"/>
        <w:rPr>
          <w:rFonts w:hint="default" w:ascii="Times New Roman" w:hAnsi="Times New Roman" w:cs="Times New Roman"/>
          <w:sz w:val="44"/>
          <w:szCs w:val="44"/>
        </w:rPr>
      </w:pPr>
      <w:bookmarkStart w:id="409" w:name="_Toc375206217"/>
      <w:bookmarkStart w:id="410" w:name="_Toc24724"/>
      <w:bookmarkStart w:id="411" w:name="_Toc18984"/>
      <w:r>
        <w:rPr>
          <w:rFonts w:hint="default" w:ascii="Times New Roman" w:hAnsi="Times New Roman" w:cs="Times New Roman"/>
          <w:sz w:val="44"/>
          <w:szCs w:val="44"/>
        </w:rPr>
        <w:t>第九章 环境管理与</w:t>
      </w:r>
      <w:bookmarkEnd w:id="409"/>
      <w:r>
        <w:rPr>
          <w:rFonts w:hint="default" w:ascii="Times New Roman" w:hAnsi="Times New Roman" w:cs="Times New Roman"/>
          <w:sz w:val="44"/>
          <w:szCs w:val="44"/>
        </w:rPr>
        <w:t>环境监测计划</w:t>
      </w:r>
      <w:bookmarkEnd w:id="410"/>
      <w:bookmarkEnd w:id="411"/>
    </w:p>
    <w:p>
      <w:pPr>
        <w:pStyle w:val="4"/>
        <w:spacing w:before="0" w:after="0" w:line="360" w:lineRule="auto"/>
        <w:rPr>
          <w:rFonts w:hint="default" w:ascii="Times New Roman" w:hAnsi="Times New Roman" w:cs="Times New Roman"/>
          <w:bCs w:val="0"/>
          <w:sz w:val="28"/>
          <w:szCs w:val="28"/>
        </w:rPr>
      </w:pPr>
      <w:bookmarkStart w:id="412" w:name="_Toc515898086"/>
      <w:bookmarkStart w:id="413" w:name="_Toc508353250"/>
      <w:bookmarkStart w:id="414" w:name="_Toc5023571"/>
      <w:bookmarkStart w:id="415" w:name="_Toc19535"/>
      <w:r>
        <w:rPr>
          <w:rFonts w:hint="default" w:ascii="Times New Roman" w:hAnsi="Times New Roman" w:cs="Times New Roman"/>
          <w:bCs w:val="0"/>
          <w:sz w:val="28"/>
          <w:szCs w:val="28"/>
        </w:rPr>
        <w:t>9.1 环境管理</w:t>
      </w:r>
      <w:bookmarkEnd w:id="412"/>
      <w:bookmarkEnd w:id="413"/>
      <w:bookmarkEnd w:id="414"/>
      <w:bookmarkEnd w:id="415"/>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9.1.1 环境管理基本原则</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一个企业的环境保护工作的好坏与其环保管理制度和方法息息相关，作为养殖企业，本项目更应该特别注意环境保护工作的重要性，本次评价认为，项目的环境管理特别应该遵循以下几条原则：</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（1）明确本企业环境保护工作的重点、难点以及需要特别关注的要点，制定普通职工易于理解的管理技术和方法规范或者条例，加以颁布。</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2）全面规划、综合防治，并且根据项目的基本特点，制定有针对性的环境保护措施，在企业整体发展规划中要有环境保护工作专门说明，在其它一些相关的生产、宣传等计划中都应包含环境保护的内容，要从各方面综合防治环境污染。</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（3）防治结合、以防为主控制污染宜采取防治结合、以防为主、管治结合、综合治理等手段和办法，以获得最佳的环境效益。</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（4）提高环境保护意识加强全体员工的环境保护意识，专业管理和群众管理相结合，提高公众参与，采纳合理建议。同时，要加强与周边村镇、社区的宣传和沟通。</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9.1.2 环境管理机构</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环评建议业主应设置专职环境管理人员负责项目的及环境保护工作，环境管理人员应全权负责项目的环境管理、定期配合第三方检测机构采样检测及分析、环境教育等，配备一定的仪器和设备进行日常监测工作，企业无法进行日常检测的项目应委托第三方检测技术单位进行检测，并对日常检测和委托检测工作资料进行统计、存档，为环境管理及污染治理提供依据。</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（1）专职环境管理人员接受环境保护主管部门的检查监督，定期上报企业的环境管理工作的执行情况；</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（2）专职环境管理人员组织制定企业内部的环保考核制度，并担负监督执行之职责；建立企业领导、环境管理部门、专职环境管理人员组成的企业环境管理责任体系；</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（3）内部环境管理制度建设</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 xml:space="preserve"> 1）基本要求</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 xml:space="preserve"> 企业应当制定内部综合环境管理制度，污染治理设施管理制度、环境应急管理制度等各项环境管理制度，纳入企业环境保护管理档案，并将上述制度上墙。</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 xml:space="preserve"> 2）综合管理制度</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 xml:space="preserve"> 明确企业内部各部门环境职责分工，建立厂区综合环境保护管理办法、厂区环境综合整治制度、粪污处置设施运行制度、环境应急制度及应急预案等。</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3）污染防治设施管理制度</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主要包括粪污处置设施（二级生化）处理操作规程、环保交接班管理制度，台账制度，污染治理设施设备维护保养管理制度等。</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9.1.3 项目建设期的环境管理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项目建设期应派专人负责本项目建设期运转过程中的有关环境管理方面的组织、协调、监督和检查工作。本项目建设期环境管理要点主要为以下几个方面：</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（1）建设单位与施工单位签定工程承包合同中应有工程施工期间的环境保护条款，包括施工中生态保护（含水土保持）、施工期环境污染控制、污染排放管理、施工人员环保教育及相关奖惩条款。</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2）施工单位应提高环保意识，加强驻地和施工现场的环境管理，合理安排施工计划，切实做到组织计划严谨，文明施工：环保措施逐项落实到位，环保工程与主体工程同时施工、同时运行，环保工程费用专款专用。</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（3）施工单位应特别注意施工中的水土保持，尽可能保护好植被、土壤，弃土弃渣尽量回填，回填不完须运至相关政府部门指定地点弃置，严禁随意堆置，防止水土流失。</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4）各施工现场、施工单位驻地及施工临时设施，应加强环境管理，避免污水排入地面水环境；易产尘点应采取降尘措施，减少扬尘；施工完毕后施工单位须及时清理和恢复施工现场，妥善处理生活垃圾与施工弃碴；施工噪声应执行 《建筑施工场界环境噪声排放标准》（GB12523-2011）中的有关规定。</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（5）认真落实各项补偿措施，做好工程各项环保设施的施工监理与验收，保证环保工程质量，真正做到环保工程“三同时”。</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9.1.4 项目营运期环境管理要点</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项目投产后，环境管理进入一个全新的阶段，这个阶段主要注意对项目在营运期间的环保工作进行管理，对可能产生的环境问题进行妥善处置，保障企业长期健康稳定安全的运转，因此，这段时期的环境管理主要着重于以下几个方面：</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（1）“三同时”验收</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根据《建设项目环境环境保护管理条例》（国务院令第682号）、《建设项目竣工环境保护验收暂行办法》（国环规环评[2017]4号）相关法律法规要求，建设项目竣工后，建设项目竣工后须对项目配套建设的环保治理设施予以竣工验收，然后本项目方可正式运行。</w:t>
      </w:r>
    </w:p>
    <w:p>
      <w:pPr>
        <w:spacing w:line="360" w:lineRule="auto"/>
        <w:ind w:firstLine="480"/>
        <w:rPr>
          <w:rFonts w:hint="default" w:ascii="Times New Roman" w:hAnsi="Times New Roman" w:eastAsia="黑体" w:cs="Times New Roman"/>
          <w:bCs/>
          <w:sz w:val="24"/>
          <w:szCs w:val="24"/>
        </w:rPr>
      </w:pPr>
      <w:r>
        <w:rPr>
          <w:rFonts w:hint="default" w:ascii="Times New Roman" w:hAnsi="Times New Roman" w:cs="Times New Roman"/>
          <w:sz w:val="24"/>
          <w:szCs w:val="24"/>
        </w:rPr>
        <w:t xml:space="preserve">          </w:t>
      </w:r>
      <w:r>
        <w:rPr>
          <w:rFonts w:hint="default" w:ascii="Times New Roman" w:hAnsi="Times New Roman" w:eastAsia="黑体" w:cs="Times New Roman"/>
          <w:bCs/>
          <w:sz w:val="24"/>
          <w:szCs w:val="24"/>
        </w:rPr>
        <w:t xml:space="preserve">   表9.1-1 环保设施及主要措施竣工验收一览表</w:t>
      </w:r>
    </w:p>
    <w:tbl>
      <w:tblPr>
        <w:tblStyle w:val="33"/>
        <w:tblW w:w="978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301"/>
        <w:gridCol w:w="4129"/>
        <w:gridCol w:w="37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9" w:type="dxa"/>
            <w:vAlign w:val="center"/>
          </w:tcPr>
          <w:p>
            <w:pPr>
              <w:rPr>
                <w:rFonts w:hint="default" w:ascii="Times New Roman" w:hAnsi="Times New Roman" w:cs="Times New Roman"/>
                <w:szCs w:val="21"/>
              </w:rPr>
            </w:pPr>
            <w:r>
              <w:rPr>
                <w:rFonts w:hint="default" w:ascii="Times New Roman" w:hAnsi="Times New Roman" w:cs="Times New Roman"/>
                <w:szCs w:val="21"/>
              </w:rPr>
              <w:t>项目</w:t>
            </w:r>
          </w:p>
        </w:tc>
        <w:tc>
          <w:tcPr>
            <w:tcW w:w="13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污染源名称</w:t>
            </w:r>
          </w:p>
        </w:tc>
        <w:tc>
          <w:tcPr>
            <w:tcW w:w="4129" w:type="dxa"/>
            <w:vAlign w:val="center"/>
          </w:tcPr>
          <w:p>
            <w:pPr>
              <w:rPr>
                <w:rFonts w:hint="default" w:ascii="Times New Roman" w:hAnsi="Times New Roman" w:cs="Times New Roman"/>
                <w:szCs w:val="21"/>
              </w:rPr>
            </w:pPr>
            <w:r>
              <w:rPr>
                <w:rFonts w:hint="default" w:ascii="Times New Roman" w:hAnsi="Times New Roman" w:cs="Times New Roman"/>
                <w:szCs w:val="21"/>
              </w:rPr>
              <w:t xml:space="preserve">        主要治理措施</w:t>
            </w:r>
          </w:p>
        </w:tc>
        <w:tc>
          <w:tcPr>
            <w:tcW w:w="3703" w:type="dxa"/>
            <w:vAlign w:val="center"/>
          </w:tcPr>
          <w:p>
            <w:pPr>
              <w:rPr>
                <w:rFonts w:hint="default" w:ascii="Times New Roman" w:hAnsi="Times New Roman" w:cs="Times New Roman"/>
                <w:szCs w:val="21"/>
              </w:rPr>
            </w:pPr>
            <w:r>
              <w:rPr>
                <w:rFonts w:hint="default" w:ascii="Times New Roman" w:hAnsi="Times New Roman" w:cs="Times New Roman"/>
                <w:szCs w:val="21"/>
              </w:rPr>
              <w:t xml:space="preserve">         验收要求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9" w:type="dxa"/>
            <w:vMerge w:val="restart"/>
            <w:vAlign w:val="center"/>
          </w:tcPr>
          <w:p>
            <w:pPr>
              <w:ind w:firstLine="105" w:firstLineChars="50"/>
              <w:rPr>
                <w:rFonts w:hint="default" w:ascii="Times New Roman" w:hAnsi="Times New Roman" w:cs="Times New Roman"/>
                <w:szCs w:val="21"/>
              </w:rPr>
            </w:pPr>
          </w:p>
          <w:p>
            <w:pPr>
              <w:ind w:firstLine="105" w:firstLineChars="50"/>
              <w:rPr>
                <w:rFonts w:hint="default" w:ascii="Times New Roman" w:hAnsi="Times New Roman" w:cs="Times New Roman"/>
                <w:szCs w:val="21"/>
              </w:rPr>
            </w:pPr>
          </w:p>
          <w:p>
            <w:pPr>
              <w:rPr>
                <w:rFonts w:hint="default" w:ascii="Times New Roman" w:hAnsi="Times New Roman" w:cs="Times New Roman"/>
                <w:szCs w:val="21"/>
              </w:rPr>
            </w:pPr>
            <w:r>
              <w:rPr>
                <w:rFonts w:hint="default" w:ascii="Times New Roman" w:hAnsi="Times New Roman" w:cs="Times New Roman"/>
                <w:szCs w:val="21"/>
              </w:rPr>
              <w:t>废气</w:t>
            </w:r>
          </w:p>
        </w:tc>
        <w:tc>
          <w:tcPr>
            <w:tcW w:w="13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恶臭</w:t>
            </w:r>
          </w:p>
        </w:tc>
        <w:tc>
          <w:tcPr>
            <w:tcW w:w="4129" w:type="dxa"/>
            <w:vAlign w:val="center"/>
          </w:tcPr>
          <w:p>
            <w:pPr>
              <w:rPr>
                <w:rFonts w:hint="default" w:ascii="Times New Roman" w:hAnsi="Times New Roman" w:cs="Times New Roman"/>
                <w:szCs w:val="21"/>
              </w:rPr>
            </w:pPr>
            <w:r>
              <w:rPr>
                <w:rFonts w:hint="default" w:ascii="Times New Roman" w:hAnsi="Times New Roman" w:cs="Times New Roman"/>
                <w:szCs w:val="21"/>
              </w:rPr>
              <w:t>科学设计日粮，提高饲料利用率，合理使用饲料添加剂，加强猪舍通风，定期对排尿沟等处设专人消毒，定期进行杀虫灭蝇工作，加强场区绿化、设置卫生防护距离</w:t>
            </w:r>
          </w:p>
        </w:tc>
        <w:tc>
          <w:tcPr>
            <w:tcW w:w="3703" w:type="dxa"/>
            <w:vAlign w:val="center"/>
          </w:tcPr>
          <w:p>
            <w:pPr>
              <w:ind w:firstLine="210" w:firstLineChars="100"/>
              <w:jc w:val="center"/>
              <w:rPr>
                <w:rFonts w:hint="default" w:ascii="Times New Roman" w:hAnsi="Times New Roman" w:cs="Times New Roman"/>
                <w:szCs w:val="21"/>
              </w:rPr>
            </w:pPr>
            <w:r>
              <w:rPr>
                <w:rFonts w:hint="default" w:ascii="Times New Roman" w:hAnsi="Times New Roman" w:cs="Times New Roman"/>
                <w:szCs w:val="21"/>
              </w:rPr>
              <w:t>场界臭气浓度执行《畜禽养殖业污染物排放标准》（GB18596-2001）相关管控限值；硫化氢、氨执行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9" w:type="dxa"/>
            <w:vMerge w:val="continue"/>
            <w:vAlign w:val="center"/>
          </w:tcPr>
          <w:p>
            <w:pPr>
              <w:rPr>
                <w:rFonts w:hint="default" w:ascii="Times New Roman" w:hAnsi="Times New Roman" w:cs="Times New Roman"/>
                <w:szCs w:val="21"/>
              </w:rPr>
            </w:pPr>
          </w:p>
        </w:tc>
        <w:tc>
          <w:tcPr>
            <w:tcW w:w="13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食堂油烟</w:t>
            </w:r>
          </w:p>
        </w:tc>
        <w:tc>
          <w:tcPr>
            <w:tcW w:w="4129" w:type="dxa"/>
            <w:vAlign w:val="center"/>
          </w:tcPr>
          <w:p>
            <w:pPr>
              <w:rPr>
                <w:rFonts w:hint="default" w:ascii="Times New Roman" w:hAnsi="Times New Roman" w:cs="Times New Roman"/>
                <w:szCs w:val="21"/>
              </w:rPr>
            </w:pPr>
            <w:r>
              <w:rPr>
                <w:rFonts w:hint="default" w:ascii="Times New Roman" w:hAnsi="Times New Roman" w:cs="Times New Roman"/>
                <w:szCs w:val="21"/>
              </w:rPr>
              <w:t>1台风量约2000m</w:t>
            </w:r>
            <w:r>
              <w:rPr>
                <w:rFonts w:hint="default" w:ascii="Times New Roman" w:hAnsi="Times New Roman" w:cs="Times New Roman"/>
                <w:szCs w:val="21"/>
                <w:vertAlign w:val="superscript"/>
              </w:rPr>
              <w:t>3</w:t>
            </w:r>
            <w:r>
              <w:rPr>
                <w:rFonts w:hint="default" w:ascii="Times New Roman" w:hAnsi="Times New Roman" w:cs="Times New Roman"/>
                <w:szCs w:val="21"/>
              </w:rPr>
              <w:t>/h抽油烟机</w:t>
            </w:r>
          </w:p>
        </w:tc>
        <w:tc>
          <w:tcPr>
            <w:tcW w:w="3703" w:type="dxa"/>
            <w:vAlign w:val="center"/>
          </w:tcPr>
          <w:p>
            <w:pPr>
              <w:ind w:firstLine="210" w:firstLineChars="100"/>
              <w:rPr>
                <w:rFonts w:hint="default" w:ascii="Times New Roman" w:hAnsi="Times New Roman" w:cs="Times New Roman"/>
                <w:szCs w:val="21"/>
              </w:rPr>
            </w:pPr>
            <w:r>
              <w:rPr>
                <w:rFonts w:hint="default" w:ascii="Times New Roman" w:hAnsi="Times New Roman" w:cs="Times New Roman"/>
                <w:szCs w:val="21"/>
              </w:rPr>
              <w:t>参照执行《饮食业油烟排放标准（试行）》（GB18483-2001）相关排放限值要求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9" w:type="dxa"/>
            <w:vMerge w:val="restart"/>
            <w:vAlign w:val="center"/>
          </w:tcPr>
          <w:p>
            <w:pPr>
              <w:rPr>
                <w:rFonts w:hint="default" w:ascii="Times New Roman" w:hAnsi="Times New Roman" w:cs="Times New Roman"/>
                <w:szCs w:val="21"/>
              </w:rPr>
            </w:pPr>
            <w:r>
              <w:rPr>
                <w:rFonts w:hint="default" w:ascii="Times New Roman" w:hAnsi="Times New Roman" w:cs="Times New Roman"/>
                <w:szCs w:val="21"/>
              </w:rPr>
              <w:t>废水</w:t>
            </w:r>
          </w:p>
        </w:tc>
        <w:tc>
          <w:tcPr>
            <w:tcW w:w="13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生活污水、餐饮废水</w:t>
            </w:r>
          </w:p>
        </w:tc>
        <w:tc>
          <w:tcPr>
            <w:tcW w:w="4129" w:type="dxa"/>
            <w:vAlign w:val="center"/>
          </w:tcPr>
          <w:p>
            <w:pPr>
              <w:rPr>
                <w:rFonts w:hint="default" w:ascii="Times New Roman" w:hAnsi="Times New Roman" w:cs="Times New Roman"/>
                <w:szCs w:val="21"/>
              </w:rPr>
            </w:pPr>
            <w:r>
              <w:rPr>
                <w:rFonts w:hint="default" w:ascii="Times New Roman" w:hAnsi="Times New Roman" w:cs="Times New Roman"/>
                <w:szCs w:val="21"/>
              </w:rPr>
              <w:t>项目营运期员工餐饮废水经隔油池处理后同生活污水一起排入化粪池，处理后</w:t>
            </w:r>
            <w:r>
              <w:rPr>
                <w:rFonts w:hint="default" w:ascii="Times New Roman" w:hAnsi="Times New Roman" w:cs="Times New Roman"/>
                <w:bCs/>
                <w:szCs w:val="21"/>
              </w:rPr>
              <w:t>输送至项目自建污水处理设施与养殖废水一起进行处置</w:t>
            </w:r>
          </w:p>
        </w:tc>
        <w:tc>
          <w:tcPr>
            <w:tcW w:w="3703" w:type="dxa"/>
            <w:vAlign w:val="center"/>
          </w:tcPr>
          <w:p>
            <w:pPr>
              <w:ind w:firstLine="315" w:firstLineChars="150"/>
              <w:jc w:val="center"/>
              <w:rPr>
                <w:rFonts w:hint="default" w:ascii="Times New Roman" w:hAnsi="Times New Roman" w:cs="Times New Roman"/>
                <w:szCs w:val="21"/>
              </w:rPr>
            </w:pPr>
            <w:r>
              <w:rPr>
                <w:rFonts w:hint="default" w:ascii="Times New Roman" w:hAnsi="Times New Roman" w:cs="Times New Roman"/>
                <w:szCs w:val="21"/>
              </w:rPr>
              <w:t>是否按照要求进行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9" w:type="dxa"/>
            <w:vMerge w:val="continue"/>
            <w:vAlign w:val="center"/>
          </w:tcPr>
          <w:p>
            <w:pPr>
              <w:rPr>
                <w:rFonts w:hint="default" w:ascii="Times New Roman" w:hAnsi="Times New Roman" w:cs="Times New Roman"/>
                <w:szCs w:val="21"/>
              </w:rPr>
            </w:pPr>
          </w:p>
        </w:tc>
        <w:tc>
          <w:tcPr>
            <w:tcW w:w="13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养殖废水</w:t>
            </w:r>
          </w:p>
        </w:tc>
        <w:tc>
          <w:tcPr>
            <w:tcW w:w="4129" w:type="dxa"/>
            <w:vAlign w:val="center"/>
          </w:tcPr>
          <w:p>
            <w:pPr>
              <w:rPr>
                <w:rFonts w:hint="default" w:ascii="Times New Roman" w:hAnsi="Times New Roman" w:cs="Times New Roman"/>
                <w:szCs w:val="21"/>
              </w:rPr>
            </w:pPr>
            <w:r>
              <w:rPr>
                <w:rFonts w:hint="default" w:ascii="Times New Roman" w:hAnsi="Times New Roman" w:cs="Times New Roman"/>
                <w:szCs w:val="21"/>
              </w:rPr>
              <w:t>养殖废水收集后经管道输送至污水处理设施，采用“粪污收集池+集水池+固液分离+调节酸化池+沼气池+好氧池+沉淀池+消毒+沼液暂存池”，处理能力为90m</w:t>
            </w:r>
            <w:r>
              <w:rPr>
                <w:rFonts w:hint="default" w:ascii="Times New Roman" w:hAnsi="Times New Roman" w:cs="Times New Roman"/>
                <w:szCs w:val="21"/>
                <w:vertAlign w:val="superscript"/>
              </w:rPr>
              <w:t>3</w:t>
            </w:r>
            <w:r>
              <w:rPr>
                <w:rFonts w:hint="default" w:ascii="Times New Roman" w:hAnsi="Times New Roman" w:cs="Times New Roman"/>
                <w:szCs w:val="21"/>
              </w:rPr>
              <w:t>/d</w:t>
            </w:r>
          </w:p>
        </w:tc>
        <w:tc>
          <w:tcPr>
            <w:tcW w:w="3703" w:type="dxa"/>
            <w:vAlign w:val="center"/>
          </w:tcPr>
          <w:p>
            <w:pPr>
              <w:ind w:firstLine="315" w:firstLineChars="150"/>
              <w:jc w:val="center"/>
              <w:rPr>
                <w:rFonts w:hint="default" w:ascii="Times New Roman" w:hAnsi="Times New Roman" w:cs="Times New Roman"/>
                <w:szCs w:val="21"/>
              </w:rPr>
            </w:pPr>
            <w:r>
              <w:rPr>
                <w:rFonts w:hint="default" w:ascii="Times New Roman" w:hAnsi="Times New Roman" w:cs="Times New Roman"/>
                <w:szCs w:val="21"/>
              </w:rPr>
              <w:t>是否按照要求进行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9" w:type="dxa"/>
            <w:vMerge w:val="continue"/>
            <w:vAlign w:val="center"/>
          </w:tcPr>
          <w:p>
            <w:pPr>
              <w:rPr>
                <w:rFonts w:hint="default" w:ascii="Times New Roman" w:hAnsi="Times New Roman" w:cs="Times New Roman"/>
                <w:szCs w:val="21"/>
              </w:rPr>
            </w:pPr>
          </w:p>
        </w:tc>
        <w:tc>
          <w:tcPr>
            <w:tcW w:w="13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水帘降温系统冷却水</w:t>
            </w:r>
          </w:p>
        </w:tc>
        <w:tc>
          <w:tcPr>
            <w:tcW w:w="412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建设循环水池9个，位于各圈舍门口旁地下，容积4.5m</w:t>
            </w:r>
            <w:r>
              <w:rPr>
                <w:rFonts w:hint="default" w:ascii="Times New Roman" w:hAnsi="Times New Roman" w:cs="Times New Roman"/>
                <w:szCs w:val="21"/>
                <w:vertAlign w:val="superscript"/>
              </w:rPr>
              <w:t>3</w:t>
            </w:r>
            <w:r>
              <w:rPr>
                <w:rFonts w:hint="default" w:ascii="Times New Roman" w:hAnsi="Times New Roman" w:cs="Times New Roman"/>
                <w:szCs w:val="21"/>
              </w:rPr>
              <w:t>，冷却水循环使用不外排</w:t>
            </w:r>
          </w:p>
        </w:tc>
        <w:tc>
          <w:tcPr>
            <w:tcW w:w="370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是否按照要求进行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9" w:type="dxa"/>
            <w:vMerge w:val="continue"/>
            <w:vAlign w:val="center"/>
          </w:tcPr>
          <w:p>
            <w:pPr>
              <w:rPr>
                <w:rFonts w:hint="default" w:ascii="Times New Roman" w:hAnsi="Times New Roman" w:cs="Times New Roman"/>
                <w:szCs w:val="21"/>
              </w:rPr>
            </w:pPr>
          </w:p>
        </w:tc>
        <w:tc>
          <w:tcPr>
            <w:tcW w:w="13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洗车消毒用水</w:t>
            </w:r>
          </w:p>
        </w:tc>
        <w:tc>
          <w:tcPr>
            <w:tcW w:w="4129" w:type="dxa"/>
            <w:vAlign w:val="center"/>
          </w:tcPr>
          <w:p>
            <w:pPr>
              <w:rPr>
                <w:rFonts w:hint="default" w:ascii="Times New Roman" w:hAnsi="Times New Roman" w:cs="Times New Roman"/>
                <w:szCs w:val="21"/>
              </w:rPr>
            </w:pPr>
            <w:r>
              <w:rPr>
                <w:rFonts w:hint="default" w:ascii="Times New Roman" w:hAnsi="Times New Roman" w:cs="Times New Roman"/>
                <w:szCs w:val="21"/>
              </w:rPr>
              <w:t>进出场区及养殖舍等区域洗车、消毒废水等经沉淀处理后循环使用，不外排</w:t>
            </w:r>
          </w:p>
        </w:tc>
        <w:tc>
          <w:tcPr>
            <w:tcW w:w="3703"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是否按照要求进行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9" w:type="dxa"/>
            <w:vMerge w:val="restart"/>
            <w:vAlign w:val="center"/>
          </w:tcPr>
          <w:p>
            <w:pPr>
              <w:rPr>
                <w:rFonts w:hint="default" w:ascii="Times New Roman" w:hAnsi="Times New Roman" w:cs="Times New Roman"/>
                <w:szCs w:val="21"/>
              </w:rPr>
            </w:pPr>
            <w:r>
              <w:rPr>
                <w:rFonts w:hint="default" w:ascii="Times New Roman" w:hAnsi="Times New Roman" w:cs="Times New Roman"/>
                <w:szCs w:val="21"/>
              </w:rPr>
              <w:t>噪声</w:t>
            </w:r>
          </w:p>
        </w:tc>
        <w:tc>
          <w:tcPr>
            <w:tcW w:w="1301"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设备噪声、交通噪声、猪叫等</w:t>
            </w:r>
          </w:p>
        </w:tc>
        <w:tc>
          <w:tcPr>
            <w:tcW w:w="4129" w:type="dxa"/>
            <w:vAlign w:val="center"/>
          </w:tcPr>
          <w:p>
            <w:pPr>
              <w:jc w:val="left"/>
              <w:rPr>
                <w:rFonts w:hint="default" w:ascii="Times New Roman" w:hAnsi="Times New Roman" w:cs="Times New Roman"/>
                <w:szCs w:val="21"/>
              </w:rPr>
            </w:pPr>
            <w:r>
              <w:rPr>
                <w:rFonts w:hint="default" w:ascii="Times New Roman" w:hAnsi="Times New Roman" w:cs="Times New Roman"/>
                <w:szCs w:val="21"/>
              </w:rPr>
              <w:t>主要产噪设备基础减振、维修保养，泵及风机安装减振消声装置、厂区进出车辆交通管制等</w:t>
            </w:r>
          </w:p>
        </w:tc>
        <w:tc>
          <w:tcPr>
            <w:tcW w:w="3703"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场界满足《工业企业厂界环境噪声排放标准》（GB12348-2008）2类标准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9" w:type="dxa"/>
            <w:vMerge w:val="continue"/>
            <w:vAlign w:val="center"/>
          </w:tcPr>
          <w:p>
            <w:pPr>
              <w:ind w:firstLine="105" w:firstLineChars="50"/>
              <w:rPr>
                <w:rFonts w:hint="default" w:ascii="Times New Roman" w:hAnsi="Times New Roman" w:cs="Times New Roman"/>
                <w:szCs w:val="21"/>
              </w:rPr>
            </w:pPr>
          </w:p>
        </w:tc>
        <w:tc>
          <w:tcPr>
            <w:tcW w:w="1301" w:type="dxa"/>
            <w:vMerge w:val="continue"/>
            <w:vAlign w:val="center"/>
          </w:tcPr>
          <w:p>
            <w:pPr>
              <w:ind w:firstLine="210" w:firstLineChars="100"/>
              <w:jc w:val="center"/>
              <w:rPr>
                <w:rFonts w:hint="default" w:ascii="Times New Roman" w:hAnsi="Times New Roman" w:cs="Times New Roman"/>
                <w:szCs w:val="21"/>
              </w:rPr>
            </w:pPr>
          </w:p>
        </w:tc>
        <w:tc>
          <w:tcPr>
            <w:tcW w:w="4129" w:type="dxa"/>
            <w:vAlign w:val="center"/>
          </w:tcPr>
          <w:p>
            <w:pPr>
              <w:jc w:val="left"/>
              <w:rPr>
                <w:rFonts w:hint="default" w:ascii="Times New Roman" w:hAnsi="Times New Roman" w:cs="Times New Roman"/>
                <w:szCs w:val="21"/>
              </w:rPr>
            </w:pPr>
            <w:r>
              <w:rPr>
                <w:rFonts w:hint="default" w:ascii="Times New Roman" w:hAnsi="Times New Roman" w:cs="Times New Roman"/>
                <w:szCs w:val="21"/>
              </w:rPr>
              <w:t>加强养殖舍管理，减少猪群突发性噪声</w:t>
            </w:r>
          </w:p>
        </w:tc>
        <w:tc>
          <w:tcPr>
            <w:tcW w:w="3703" w:type="dxa"/>
            <w:vMerge w:val="continue"/>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9" w:type="dxa"/>
            <w:vMerge w:val="restart"/>
            <w:vAlign w:val="center"/>
          </w:tcPr>
          <w:p>
            <w:pPr>
              <w:rPr>
                <w:rFonts w:hint="default" w:ascii="Times New Roman" w:hAnsi="Times New Roman" w:cs="Times New Roman"/>
                <w:szCs w:val="21"/>
              </w:rPr>
            </w:pPr>
            <w:r>
              <w:rPr>
                <w:rFonts w:hint="default" w:ascii="Times New Roman" w:hAnsi="Times New Roman" w:cs="Times New Roman"/>
                <w:szCs w:val="21"/>
              </w:rPr>
              <w:t>固废</w:t>
            </w:r>
          </w:p>
        </w:tc>
        <w:tc>
          <w:tcPr>
            <w:tcW w:w="13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生活垃圾</w:t>
            </w:r>
          </w:p>
        </w:tc>
        <w:tc>
          <w:tcPr>
            <w:tcW w:w="4129" w:type="dxa"/>
            <w:vAlign w:val="center"/>
          </w:tcPr>
          <w:p>
            <w:pPr>
              <w:rPr>
                <w:rFonts w:hint="default" w:ascii="Times New Roman" w:hAnsi="Times New Roman" w:cs="Times New Roman"/>
                <w:szCs w:val="21"/>
              </w:rPr>
            </w:pPr>
            <w:r>
              <w:rPr>
                <w:rFonts w:hint="default" w:ascii="Times New Roman" w:hAnsi="Times New Roman" w:cs="Times New Roman"/>
                <w:szCs w:val="21"/>
              </w:rPr>
              <w:t xml:space="preserve"> 垃圾桶收集，送至</w:t>
            </w:r>
            <w:r>
              <w:rPr>
                <w:rFonts w:hint="default" w:ascii="Times New Roman" w:hAnsi="Times New Roman" w:cs="Times New Roman"/>
                <w:kern w:val="0"/>
                <w:szCs w:val="21"/>
              </w:rPr>
              <w:t>乡镇垃圾收集点，交由当地环卫部门统一清运处理</w:t>
            </w:r>
          </w:p>
        </w:tc>
        <w:tc>
          <w:tcPr>
            <w:tcW w:w="3703" w:type="dxa"/>
            <w:vAlign w:val="center"/>
          </w:tcPr>
          <w:p>
            <w:pPr>
              <w:rPr>
                <w:rFonts w:hint="default" w:ascii="Times New Roman" w:hAnsi="Times New Roman" w:cs="Times New Roman"/>
                <w:szCs w:val="21"/>
              </w:rPr>
            </w:pPr>
            <w:r>
              <w:rPr>
                <w:rFonts w:hint="default" w:ascii="Times New Roman" w:hAnsi="Times New Roman" w:cs="Times New Roman"/>
                <w:szCs w:val="21"/>
              </w:rPr>
              <w:t>是否按照要求进行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9" w:type="dxa"/>
            <w:vMerge w:val="continue"/>
            <w:vAlign w:val="center"/>
          </w:tcPr>
          <w:p>
            <w:pPr>
              <w:ind w:firstLine="105" w:firstLineChars="50"/>
              <w:rPr>
                <w:rFonts w:hint="default" w:ascii="Times New Roman" w:hAnsi="Times New Roman" w:cs="Times New Roman"/>
                <w:szCs w:val="21"/>
              </w:rPr>
            </w:pPr>
          </w:p>
        </w:tc>
        <w:tc>
          <w:tcPr>
            <w:tcW w:w="13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饲料袋</w:t>
            </w:r>
          </w:p>
        </w:tc>
        <w:tc>
          <w:tcPr>
            <w:tcW w:w="4129" w:type="dxa"/>
            <w:vAlign w:val="center"/>
          </w:tcPr>
          <w:p>
            <w:pPr>
              <w:rPr>
                <w:rFonts w:hint="default" w:ascii="Times New Roman" w:hAnsi="Times New Roman" w:cs="Times New Roman"/>
                <w:szCs w:val="21"/>
              </w:rPr>
            </w:pPr>
            <w:r>
              <w:rPr>
                <w:rFonts w:hint="default" w:ascii="Times New Roman" w:hAnsi="Times New Roman" w:cs="Times New Roman"/>
                <w:color w:val="000000"/>
                <w:szCs w:val="21"/>
              </w:rPr>
              <w:t>用于盛装猪粪</w:t>
            </w:r>
          </w:p>
        </w:tc>
        <w:tc>
          <w:tcPr>
            <w:tcW w:w="3703" w:type="dxa"/>
            <w:vAlign w:val="center"/>
          </w:tcPr>
          <w:p>
            <w:pPr>
              <w:rPr>
                <w:rFonts w:hint="default" w:ascii="Times New Roman" w:hAnsi="Times New Roman" w:cs="Times New Roman"/>
                <w:szCs w:val="21"/>
              </w:rPr>
            </w:pPr>
            <w:r>
              <w:rPr>
                <w:rFonts w:hint="default" w:ascii="Times New Roman" w:hAnsi="Times New Roman" w:cs="Times New Roman"/>
                <w:szCs w:val="21"/>
              </w:rPr>
              <w:t>是否按照要求进行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9" w:type="dxa"/>
            <w:vMerge w:val="continue"/>
            <w:vAlign w:val="center"/>
          </w:tcPr>
          <w:p>
            <w:pPr>
              <w:ind w:firstLine="105" w:firstLineChars="50"/>
              <w:rPr>
                <w:rFonts w:hint="default" w:ascii="Times New Roman" w:hAnsi="Times New Roman" w:cs="Times New Roman"/>
                <w:szCs w:val="21"/>
              </w:rPr>
            </w:pPr>
          </w:p>
        </w:tc>
        <w:tc>
          <w:tcPr>
            <w:tcW w:w="1301" w:type="dxa"/>
            <w:vAlign w:val="center"/>
          </w:tcPr>
          <w:p>
            <w:pPr>
              <w:jc w:val="center"/>
              <w:rPr>
                <w:rFonts w:hint="default" w:ascii="Times New Roman" w:hAnsi="Times New Roman" w:cs="Times New Roman"/>
                <w:szCs w:val="21"/>
              </w:rPr>
            </w:pPr>
            <w:r>
              <w:rPr>
                <w:rFonts w:hint="default" w:ascii="Times New Roman" w:hAnsi="Times New Roman" w:cs="Times New Roman"/>
                <w:kern w:val="0"/>
                <w:szCs w:val="21"/>
              </w:rPr>
              <w:t>废脱硫剂</w:t>
            </w:r>
          </w:p>
        </w:tc>
        <w:tc>
          <w:tcPr>
            <w:tcW w:w="4129" w:type="dxa"/>
            <w:vAlign w:val="center"/>
          </w:tcPr>
          <w:p>
            <w:pPr>
              <w:rPr>
                <w:rFonts w:hint="default" w:ascii="Times New Roman" w:hAnsi="Times New Roman" w:cs="Times New Roman"/>
                <w:color w:val="000000"/>
                <w:szCs w:val="21"/>
              </w:rPr>
            </w:pPr>
            <w:r>
              <w:rPr>
                <w:rFonts w:hint="default" w:ascii="Times New Roman" w:hAnsi="Times New Roman" w:cs="Times New Roman"/>
                <w:szCs w:val="21"/>
              </w:rPr>
              <w:t>厂家回收</w:t>
            </w:r>
          </w:p>
        </w:tc>
        <w:tc>
          <w:tcPr>
            <w:tcW w:w="3703" w:type="dxa"/>
            <w:vAlign w:val="center"/>
          </w:tcPr>
          <w:p>
            <w:pPr>
              <w:rPr>
                <w:rFonts w:hint="default" w:ascii="Times New Roman" w:hAnsi="Times New Roman" w:cs="Times New Roman"/>
                <w:szCs w:val="21"/>
              </w:rPr>
            </w:pPr>
            <w:r>
              <w:rPr>
                <w:rFonts w:hint="default" w:ascii="Times New Roman" w:hAnsi="Times New Roman" w:cs="Times New Roman"/>
                <w:szCs w:val="21"/>
              </w:rPr>
              <w:t>是否按照要求进行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9" w:type="dxa"/>
            <w:vMerge w:val="continue"/>
            <w:vAlign w:val="center"/>
          </w:tcPr>
          <w:p>
            <w:pPr>
              <w:rPr>
                <w:rFonts w:hint="default" w:ascii="Times New Roman" w:hAnsi="Times New Roman" w:cs="Times New Roman"/>
                <w:szCs w:val="21"/>
              </w:rPr>
            </w:pPr>
          </w:p>
        </w:tc>
        <w:tc>
          <w:tcPr>
            <w:tcW w:w="13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医疗废物</w:t>
            </w:r>
          </w:p>
        </w:tc>
        <w:tc>
          <w:tcPr>
            <w:tcW w:w="4129" w:type="dxa"/>
            <w:vAlign w:val="center"/>
          </w:tcPr>
          <w:p>
            <w:pPr>
              <w:rPr>
                <w:rFonts w:hint="default" w:ascii="Times New Roman" w:hAnsi="Times New Roman" w:cs="Times New Roman"/>
                <w:szCs w:val="21"/>
              </w:rPr>
            </w:pPr>
            <w:r>
              <w:rPr>
                <w:rFonts w:hint="default" w:ascii="Times New Roman" w:hAnsi="Times New Roman" w:cs="Times New Roman"/>
                <w:szCs w:val="21"/>
              </w:rPr>
              <w:t>单独收集，设置危废暂存间（占地面积5m</w:t>
            </w:r>
            <w:r>
              <w:rPr>
                <w:rFonts w:hint="default" w:ascii="Times New Roman" w:hAnsi="Times New Roman" w:cs="Times New Roman"/>
                <w:szCs w:val="21"/>
                <w:vertAlign w:val="superscript"/>
              </w:rPr>
              <w:t>2</w:t>
            </w:r>
            <w:r>
              <w:rPr>
                <w:rFonts w:hint="default" w:ascii="Times New Roman" w:hAnsi="Times New Roman" w:cs="Times New Roman"/>
                <w:szCs w:val="21"/>
              </w:rPr>
              <w:t>），交资质单位处理，签订协议</w:t>
            </w:r>
          </w:p>
        </w:tc>
        <w:tc>
          <w:tcPr>
            <w:tcW w:w="3703" w:type="dxa"/>
            <w:vAlign w:val="center"/>
          </w:tcPr>
          <w:p>
            <w:pPr>
              <w:rPr>
                <w:rFonts w:hint="default" w:ascii="Times New Roman" w:hAnsi="Times New Roman" w:cs="Times New Roman"/>
                <w:szCs w:val="21"/>
              </w:rPr>
            </w:pPr>
            <w:r>
              <w:rPr>
                <w:rFonts w:hint="default" w:ascii="Times New Roman" w:hAnsi="Times New Roman" w:cs="Times New Roman"/>
                <w:szCs w:val="21"/>
              </w:rPr>
              <w:t>满足《危险废物贮存污染控制标准》（GB18597-2001）及其修改单要求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9" w:type="dxa"/>
            <w:vMerge w:val="continue"/>
            <w:vAlign w:val="center"/>
          </w:tcPr>
          <w:p>
            <w:pPr>
              <w:rPr>
                <w:rFonts w:hint="default" w:ascii="Times New Roman" w:hAnsi="Times New Roman" w:cs="Times New Roman"/>
                <w:szCs w:val="21"/>
              </w:rPr>
            </w:pPr>
          </w:p>
        </w:tc>
        <w:tc>
          <w:tcPr>
            <w:tcW w:w="1301"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病死猪</w:t>
            </w:r>
          </w:p>
        </w:tc>
        <w:tc>
          <w:tcPr>
            <w:tcW w:w="4129"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交由</w:t>
            </w:r>
            <w:r>
              <w:rPr>
                <w:rFonts w:hint="default" w:ascii="Times New Roman" w:hAnsi="Times New Roman" w:cs="Times New Roman"/>
                <w:bCs/>
                <w:szCs w:val="21"/>
              </w:rPr>
              <w:t>成都科农动物无害化处置有限公司处理</w:t>
            </w:r>
          </w:p>
        </w:tc>
        <w:tc>
          <w:tcPr>
            <w:tcW w:w="3703" w:type="dxa"/>
            <w:vAlign w:val="center"/>
          </w:tcPr>
          <w:p>
            <w:pPr>
              <w:ind w:firstLine="315" w:firstLineChars="150"/>
              <w:rPr>
                <w:rFonts w:hint="default" w:ascii="Times New Roman" w:hAnsi="Times New Roman" w:cs="Times New Roman"/>
                <w:szCs w:val="21"/>
              </w:rPr>
            </w:pPr>
            <w:r>
              <w:rPr>
                <w:rFonts w:hint="default" w:ascii="Times New Roman" w:hAnsi="Times New Roman" w:cs="Times New Roman"/>
                <w:szCs w:val="21"/>
              </w:rPr>
              <w:t>是否按照要求进行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1950" w:type="dxa"/>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分区防渗</w:t>
            </w:r>
          </w:p>
        </w:tc>
        <w:tc>
          <w:tcPr>
            <w:tcW w:w="7832" w:type="dxa"/>
            <w:gridSpan w:val="2"/>
            <w:vAlign w:val="center"/>
          </w:tcPr>
          <w:p>
            <w:pPr>
              <w:rPr>
                <w:rFonts w:hint="default" w:ascii="Times New Roman" w:hAnsi="Times New Roman" w:cs="Times New Roman"/>
                <w:szCs w:val="21"/>
              </w:rPr>
            </w:pPr>
            <w:r>
              <w:rPr>
                <w:rFonts w:hint="default" w:ascii="Times New Roman" w:hAnsi="Times New Roman" w:cs="Times New Roman"/>
                <w:szCs w:val="21"/>
              </w:rPr>
              <w:t>一般防渗区（</w:t>
            </w:r>
            <w:r>
              <w:rPr>
                <w:rFonts w:hint="default" w:ascii="Times New Roman" w:hAnsi="Times New Roman" w:cs="Times New Roman"/>
                <w:bCs/>
                <w:szCs w:val="21"/>
              </w:rPr>
              <w:t>粪污储存池、污水处理设施、病死猪暂存间、隔油池、化粪池</w:t>
            </w:r>
            <w:r>
              <w:rPr>
                <w:rFonts w:hint="default" w:ascii="Times New Roman" w:hAnsi="Times New Roman" w:cs="Times New Roman"/>
                <w:szCs w:val="21"/>
              </w:rPr>
              <w:t>）采用</w:t>
            </w:r>
            <w:r>
              <w:rPr>
                <w:rFonts w:hint="default" w:ascii="Times New Roman" w:hAnsi="Times New Roman" w:cs="Times New Roman"/>
                <w:bCs/>
                <w:szCs w:val="21"/>
              </w:rPr>
              <w:t>防渗混凝土+HDPE土工膜（厚度大于1.5mm）</w:t>
            </w:r>
            <w:r>
              <w:rPr>
                <w:rFonts w:hint="default" w:ascii="Times New Roman" w:hAnsi="Times New Roman" w:cs="Times New Roman"/>
                <w:szCs w:val="21"/>
              </w:rPr>
              <w:t>、猪舍采样防渗混凝土、</w:t>
            </w:r>
            <w:r>
              <w:rPr>
                <w:rFonts w:hint="default" w:ascii="Times New Roman" w:hAnsi="Times New Roman" w:cs="Times New Roman"/>
                <w:bCs/>
                <w:szCs w:val="21"/>
              </w:rPr>
              <w:t>危废暂存间</w:t>
            </w:r>
            <w:r>
              <w:rPr>
                <w:rFonts w:hint="default" w:ascii="Times New Roman" w:hAnsi="Times New Roman" w:cs="Times New Roman"/>
                <w:szCs w:val="21"/>
              </w:rPr>
              <w:t>采用</w:t>
            </w:r>
            <w:r>
              <w:rPr>
                <w:rFonts w:hint="default" w:ascii="Times New Roman" w:hAnsi="Times New Roman" w:cs="Times New Roman"/>
                <w:bCs/>
                <w:szCs w:val="21"/>
              </w:rPr>
              <w:t>防渗混凝土+HDPE土工膜（厚度大于2.0mm）；</w:t>
            </w:r>
            <w:r>
              <w:rPr>
                <w:rFonts w:hint="default" w:ascii="Times New Roman" w:hAnsi="Times New Roman" w:cs="Times New Roman"/>
                <w:szCs w:val="21"/>
              </w:rPr>
              <w:t>简单防渗区采样水泥硬化措施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0" w:type="dxa"/>
            <w:gridSpan w:val="2"/>
            <w:vAlign w:val="center"/>
          </w:tcPr>
          <w:p>
            <w:pPr>
              <w:ind w:firstLine="525" w:firstLineChars="250"/>
              <w:rPr>
                <w:rFonts w:hint="default" w:ascii="Times New Roman" w:hAnsi="Times New Roman" w:cs="Times New Roman"/>
                <w:szCs w:val="21"/>
              </w:rPr>
            </w:pPr>
            <w:r>
              <w:rPr>
                <w:rFonts w:hint="default" w:ascii="Times New Roman" w:hAnsi="Times New Roman" w:cs="Times New Roman"/>
                <w:szCs w:val="21"/>
              </w:rPr>
              <w:t>环境风险</w:t>
            </w:r>
          </w:p>
        </w:tc>
        <w:tc>
          <w:tcPr>
            <w:tcW w:w="7832" w:type="dxa"/>
            <w:gridSpan w:val="2"/>
            <w:vAlign w:val="center"/>
          </w:tcPr>
          <w:p>
            <w:pPr>
              <w:rPr>
                <w:rFonts w:hint="default" w:ascii="Times New Roman" w:hAnsi="Times New Roman" w:cs="Times New Roman"/>
                <w:szCs w:val="21"/>
              </w:rPr>
            </w:pPr>
            <w:r>
              <w:rPr>
                <w:rFonts w:hint="default" w:ascii="Times New Roman" w:hAnsi="Times New Roman" w:cs="Times New Roman"/>
                <w:szCs w:val="21"/>
              </w:rPr>
              <w:t>吸油毡、消防沙、灭火器材、劳保用品等环境风险风险防范物资购置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82" w:type="dxa"/>
            <w:gridSpan w:val="4"/>
            <w:vAlign w:val="center"/>
          </w:tcPr>
          <w:p>
            <w:pPr>
              <w:ind w:firstLine="3570" w:firstLineChars="1700"/>
              <w:rPr>
                <w:rFonts w:hint="default" w:ascii="Times New Roman" w:hAnsi="Times New Roman" w:cs="Times New Roman"/>
                <w:szCs w:val="21"/>
              </w:rPr>
            </w:pPr>
            <w:r>
              <w:rPr>
                <w:rFonts w:hint="default" w:ascii="Times New Roman" w:hAnsi="Times New Roman" w:cs="Times New Roman"/>
                <w:szCs w:val="21"/>
              </w:rPr>
              <w:t>厂区及厂界进行绿化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82" w:type="dxa"/>
            <w:gridSpan w:val="4"/>
            <w:vAlign w:val="center"/>
          </w:tcPr>
          <w:p>
            <w:pPr>
              <w:rPr>
                <w:rFonts w:hint="default" w:ascii="Times New Roman" w:hAnsi="Times New Roman" w:cs="Times New Roman"/>
                <w:szCs w:val="21"/>
              </w:rPr>
            </w:pPr>
            <w:r>
              <w:rPr>
                <w:rFonts w:hint="default" w:ascii="Times New Roman" w:hAnsi="Times New Roman" w:cs="Times New Roman"/>
                <w:szCs w:val="21"/>
              </w:rPr>
              <w:t xml:space="preserve">             环保规章制度的制定及执行，环保宣传栏的建设，日常环境监测等</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（2）排污许可</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严格按照《控制污染物排放许可制实施方案》（国办发[2016]186号）、《排污许可管理办法（试行）》（环境保护部令第48号）的相关要求，并结合《固定污染源排污许可分类管理名录（2017年版）》（环境保护部令第45号），在规定的时限及时间段内申请办理排污许可。</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（3）制订污染物处理排放设备的维修、保养工作岗位作业指导书。</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（4）制订污染物排放口监测计划，并组织监测的实施。</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（5）加强企业的资源和能源管理，进一步降低能源消耗量。</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6）营运期要特别加强岗位责任制，加强项目的科学管理，健全并严格要求员工执行各项规章制度，以保证设备的正常运行，杜绝操作失误造成污染事故。对企业职工必须在企业正式投产前完成专业技术和操作技术的系统培训后才能上岗。</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 xml:space="preserve"> 1）环保专职管理人员岗位职责</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 xml:space="preserve"> ①在场区主管环保领导的指导下，组织开展环境治理专项工作；环保专职管理人员必须达到高中及以上文化程度，具备环保、生产及相关业务知识；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②负责督导养殖车间做好请污分流和粪污清理工作，对违法环境治理要求操作的车间或个人有权提出或作出处理；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③巡查场内粪污运输、处置设施是否有跑、冒、滴、漏现象；</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④负责对环保治理设施巡回检查；检查环保治理设施是否正常运转，负责搞好环保治理设施维护、保养工作，延长其使用寿命；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⑤负责环保治理设施的日常运转操作，确保各项污染物达标排放；</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⑥突发性事件造成排污异常，要立即采取应急措施并及时处理；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⑦建立环保档案管理制度，档案管理由专人负责，保证原始资料及单据齐全完整，安全存放。包括环境影响评价文件、监测报告、环境管理规章制度、环保设施管理台账、各类环保批复等文件；</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⑧完成主管领导交付的与环保有关的工作任务。</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异位发酵床岗位职责：</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①熟悉并认真观察执行当地和国家环境保护的各项方针、政策、法律、法规、条例及标准，杜绝违规操作；</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②严格遵守企业的各种规章制度和防疫制度；</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③熟悉养殖场粪污异位发酵床处理工艺流程及原理，掌握各种处理设施的设备操作方法和日常维护、保养；坚守岗位，严禁脱岗、离岗；</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④设施及设备运行中若发生故障或损坏，应立即停止故障机组，启用备用设备，及时报告主管部门抢修设备；</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⑤严格遵守交接班制度，每天上下班提前十分钟交接班，认真填写好操作运行记录，不得漏记、乱记；</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⑥保持设施场地清洁、注意安全，防止发生事故；</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2）养殖场环境管理办法</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①工作目标</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建立公司环保管理制度，提高职工环保意识，把环境保护工作纳入日常生产经营活动中，实现全过程、全天候、全员的环保管理，在布置、检查、总结、评比时必须有环保工作内容。确保生产过程中的各类污染物经处理后达标排放，使养殖生产过程不对周围环境造成有害的影响。</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②工作范围</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养殖过程中产生的“三废”防治及生态恢复。</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③责任体系</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养殖场负责人总体负责环境管理工作，专职环保管理人员、生产部及各生产车间按照各自的职责检查督促各养殖车间做好环境综合管理工作，发现问题及时处理。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专职环保管理人员：负责企业环境监督，确保环保设备正常运行；</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生产部责任：负责维修环保设备，使其能正常运行，确保“三废”得到达标排放；</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生产车间责任：确保本车间环保设备正常运行。</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④工作内容</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坚持预防为主、防治结合、综合治理的原则，坚持推行清洁生产，实行生产全过程污染控制。环境管理工作内容包括：</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I、有效处理生产过程中产生的粪污、恶臭，防止对周围环境造成污染或有害影响；</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II、生产部具体负责日常的“三废”治理和环境保护工作，符合达标的排放源应树立合格排放标志；</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III、设立“三废”处理人员岗位负责制，实行严格的奖罚制度；</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IV、专职环保管理人员负责维护环保治理设施，在环保治理设施一旦出现故障时，有“三废”外排的生产工序必须停产，以杜绝污染物排放的出现；</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V、定期进行环保技术业务培训，以提高工作人员的技术素质水平；积极开展环境保护宣传教育活动，普及环保知识，提高全员的环保意识；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VI、搞好场区绿化，改善生产区及周围环境，接受环保部门的检查和指导；</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VII、开展节水减污活动，采取一水多用，循环使用，提高水的综合利用率，产生的粪尿污水经污水处理设施处理后用于周边土地施肥；</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VIII、增压风机、各类水泵等动力设备采用隔音、吸音及减振等治理措施；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IX、企业内部饲料、药品等必须按照有关管理规定贮存、保管等，不得对生产养殖区及其周围环境造成污染；</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X、养殖过程中，由于突发性事件造成排污异常，要积极采取应急措施，防止污染扩大，并及时向环保主管部门汇报，以便做好协调处置工作。</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⑤措施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对违反本办法，有下列情形，予以警告、批评、罚款或除名：</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I、放松管理，玩忽职守或造成环保事故的；</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II、挪用治理污染费用、设备和物资的；</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III、对监督检查及检举人进行打击报复的；</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IV、对污染治理设施无故停用或任意拆除造成污染的；</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V、滥用职权、徇私舞弊、玩忽职守的；</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VI、对污染事故迟报或隐瞒不报的；</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VII、造成污染物超标排放的。</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3）养殖场环境综合整治制度</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①实现生产区、生活管理区的隔离。人员进出生产区门、人员进出养殖小区大门、饲料库门以及生猪出场门等“四门”配备相应的消毒防疫设施，并严格按照消毒防疫管理制度执行；</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②优化场区各单元布局；</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③场区实行雨污分流；粪尿通过布设暗沟以密封形式输送到处理设施；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④病死猪要及时处理，严禁随意丢弃，严禁出售或再利用；</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⑤养殖场内部防疫过程产生的废弃药品、试剂等危险废物由专人收集、暂存于危废暂存间中，定期交由有相应处理资质和处理能力的单位处置；</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⑥严格执行《畜禽养殖业污染物排放标准》和消毒防疫制度，保证恶臭污染物排放符合国家标准。</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9.1.5 运营期主要产排污设施环境管理</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运营期主要废气、废水及治理设置信息详见表3.3-12；</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9.1.6 企业环境保护信息公开</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项目建成后，应组织有关人员进行污染源日常监测和环境管理，建立监测数据档案，定期编制环保简报并公开相关信息，以便相关主管部门和公众查阅，并及时了解本企业的污染治理动态。</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企业应主动公开如下信息：</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（1）基础信息；包括单位名称、组织机构代码、法定代表人、生产地址、联系方式，以及生产经营和管理服务的主要内容、产品及规模。</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（2）排污信息；包括主要污染物及特征污染物的名称、排污方式、排放口数量和分布情况、排放浓度和总量、超标情况，以及执行的污染物排放标准、核定的排放总量；</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（3）防治污设施的建设和运行情况；</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（4）建设项目环境影响评价及其他环境保护行政许可情况；</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（5）突发环境事件应急预案；</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（6）其他应当公开的环境信息；</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企业环境信息公开方式可采用以下一种或几种方式予以公开；</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（1）公告或者公开发行的信息专刊；</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（2）广播、电视等新闻媒体；</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（3）信息公开服务、监督热线电话；</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（4）本单位的资料索取点、信息公开栏、信息亭、电子屏幕、电子触摸屏等场所或者设施；</w:t>
      </w:r>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（5）其他便于公众及时、准确获得信息的方式。</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9.1.7 环境管理台账</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企业应建立环境管理台账，明确各项环境保护措施和设施建设、运行及维护费用保障计划，填写并保存自行监测及记录信息表、环境管理台账信息表等，环境管理台账分为电子台账及纸质台账两种形式。</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包括基本信息、生产设施运行管理信息，污染防治设施运行管理信息、监测记录信息及其他环境管理信息等；基本信息包括生产设施基本信息（主要技术参数及设计值等），污染防治设施基本信息；生产设施运行管理信息包括主体工程、公用工程、辅助工程、储运工程等单元的生产设施运行管理信息；污染防治设施运行管理信息主要包括正常情况下设施运行情况、主要药剂添加情况等，异常情况起止时间、污染物排放浓度、异常原因、应对措施、是否报告等；监测记录信息按照HJ819规定执行，监测质量按照HJ/T373和HJ819等规定执行；其他环境管理信息主要包括无组织废气污染防治设施管理维护信息，特殊时段环境管理信息及其他信息等。</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企业环境管理台账具体可参照《排污单位环境管理台账及排污许可证执行报告技术规范总则（试行）》（HJ944-2018）的相关要求执行。</w:t>
      </w:r>
    </w:p>
    <w:p>
      <w:pPr>
        <w:spacing w:line="360" w:lineRule="auto"/>
        <w:jc w:val="left"/>
        <w:outlineLvl w:val="1"/>
        <w:rPr>
          <w:rFonts w:hint="default" w:ascii="Times New Roman" w:hAnsi="Times New Roman" w:cs="Times New Roman"/>
          <w:b/>
          <w:bCs/>
          <w:sz w:val="28"/>
          <w:szCs w:val="28"/>
        </w:rPr>
      </w:pPr>
      <w:bookmarkStart w:id="416" w:name="_Toc4133"/>
      <w:bookmarkStart w:id="417" w:name="_Toc508353251"/>
      <w:bookmarkStart w:id="418" w:name="_Toc515898087"/>
      <w:bookmarkStart w:id="419" w:name="_Toc5023572"/>
      <w:r>
        <w:rPr>
          <w:rFonts w:hint="default" w:ascii="Times New Roman" w:hAnsi="Times New Roman" w:cs="Times New Roman"/>
          <w:b/>
          <w:bCs/>
          <w:sz w:val="28"/>
          <w:szCs w:val="28"/>
        </w:rPr>
        <w:t>9.2 环境监测</w:t>
      </w:r>
      <w:bookmarkEnd w:id="416"/>
      <w:bookmarkEnd w:id="417"/>
      <w:bookmarkEnd w:id="418"/>
      <w:bookmarkEnd w:id="419"/>
    </w:p>
    <w:p>
      <w:pPr>
        <w:spacing w:line="360" w:lineRule="auto"/>
        <w:ind w:firstLine="48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9.2.1 环境监测目的</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环境监测是环境管理技术的支持。同时，环境监测还是企业搞好环境管理，促进污染治理设施正常运行的主要保障。通过定期的环境监测，了解当地的环境质量状况，可以及时发现问题、解决问题，从而有利于监督各项环保措施的落实，并根据监测结果适时调整环境保护计划。</w:t>
      </w:r>
    </w:p>
    <w:p>
      <w:pPr>
        <w:spacing w:line="360" w:lineRule="auto"/>
        <w:ind w:firstLine="48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9.2.2 环境监测机构</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建议该项目营运期的环境监测工作委托有资质的环境监测站承担，日常的生产例行监测则由内部执行。评价建议养殖场配备1名专职环境监测人员，负责养殖场运行期环境监测工作，仪器设备配置污水计量装置、污水比例采样器等。</w:t>
      </w:r>
    </w:p>
    <w:p>
      <w:pPr>
        <w:spacing w:line="360" w:lineRule="auto"/>
        <w:ind w:firstLine="48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9.2.3 监测项目及监测计划</w:t>
      </w:r>
    </w:p>
    <w:p>
      <w:pPr>
        <w:spacing w:line="360" w:lineRule="auto"/>
        <w:ind w:firstLine="480"/>
        <w:rPr>
          <w:rFonts w:hint="default" w:ascii="Times New Roman" w:hAnsi="Times New Roman" w:cs="Times New Roman"/>
          <w:sz w:val="24"/>
          <w:szCs w:val="24"/>
          <w:lang w:val="zh-CN"/>
        </w:rPr>
      </w:pPr>
      <w:bookmarkStart w:id="420" w:name="_Toc14966"/>
      <w:bookmarkStart w:id="421" w:name="_Toc375206211"/>
      <w:r>
        <w:rPr>
          <w:rFonts w:hint="default" w:ascii="Times New Roman" w:hAnsi="Times New Roman" w:cs="Times New Roman"/>
          <w:sz w:val="24"/>
          <w:szCs w:val="24"/>
          <w:lang w:val="zh-CN"/>
        </w:rPr>
        <w:t>主要包括废气、废水、噪声、固体废物等污染源监测及场区周围环境质量的定期监测。</w:t>
      </w:r>
    </w:p>
    <w:p>
      <w:pPr>
        <w:spacing w:line="360" w:lineRule="auto"/>
        <w:ind w:firstLine="480"/>
        <w:rPr>
          <w:rFonts w:hint="default" w:ascii="Times New Roman" w:hAnsi="Times New Roman" w:eastAsia="黑体" w:cs="Times New Roman"/>
          <w:bCs/>
          <w:sz w:val="24"/>
          <w:szCs w:val="24"/>
          <w:lang w:val="zh-CN"/>
        </w:rPr>
      </w:pPr>
      <w:r>
        <w:rPr>
          <w:rFonts w:hint="default" w:ascii="Times New Roman" w:hAnsi="Times New Roman" w:cs="Times New Roman"/>
          <w:sz w:val="24"/>
          <w:szCs w:val="24"/>
        </w:rPr>
        <w:t>根据《排污单位自行监测技术指南》（HJ 819-2017），本项目监测计划见下表。</w:t>
      </w:r>
    </w:p>
    <w:p>
      <w:pPr>
        <w:jc w:val="center"/>
        <w:rPr>
          <w:rFonts w:hint="default" w:ascii="Times New Roman" w:hAnsi="Times New Roman" w:eastAsia="黑体" w:cs="Times New Roman"/>
          <w:bCs/>
          <w:sz w:val="24"/>
          <w:szCs w:val="24"/>
        </w:rPr>
      </w:pPr>
      <w:bookmarkStart w:id="422" w:name="_Toc419553391"/>
      <w:r>
        <w:rPr>
          <w:rFonts w:hint="default" w:ascii="Times New Roman" w:hAnsi="Times New Roman" w:eastAsia="黑体" w:cs="Times New Roman"/>
          <w:bCs/>
          <w:sz w:val="24"/>
          <w:szCs w:val="24"/>
        </w:rPr>
        <w:t>表9.2-1   环境监测计划一览表</w:t>
      </w:r>
    </w:p>
    <w:tbl>
      <w:tblPr>
        <w:tblStyle w:val="33"/>
        <w:tblW w:w="97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0"/>
        <w:gridCol w:w="3420"/>
        <w:gridCol w:w="3230"/>
        <w:gridCol w:w="23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700" w:type="dxa"/>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项目</w:t>
            </w:r>
          </w:p>
        </w:tc>
        <w:tc>
          <w:tcPr>
            <w:tcW w:w="3420" w:type="dxa"/>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监测点位</w:t>
            </w:r>
          </w:p>
        </w:tc>
        <w:tc>
          <w:tcPr>
            <w:tcW w:w="3230" w:type="dxa"/>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监测内容</w:t>
            </w:r>
          </w:p>
        </w:tc>
        <w:tc>
          <w:tcPr>
            <w:tcW w:w="2362" w:type="dxa"/>
            <w:vAlign w:val="center"/>
          </w:tcPr>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70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废气</w:t>
            </w:r>
          </w:p>
        </w:tc>
        <w:tc>
          <w:tcPr>
            <w:tcW w:w="342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四周场界</w:t>
            </w:r>
          </w:p>
        </w:tc>
        <w:tc>
          <w:tcPr>
            <w:tcW w:w="323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颗粒物、H</w:t>
            </w:r>
            <w:r>
              <w:rPr>
                <w:rFonts w:hint="default" w:ascii="Times New Roman" w:hAnsi="Times New Roman" w:cs="Times New Roman"/>
                <w:szCs w:val="21"/>
                <w:vertAlign w:val="subscript"/>
              </w:rPr>
              <w:t>2</w:t>
            </w:r>
            <w:r>
              <w:rPr>
                <w:rFonts w:hint="default" w:ascii="Times New Roman" w:hAnsi="Times New Roman" w:cs="Times New Roman"/>
                <w:szCs w:val="21"/>
              </w:rPr>
              <w:t>S、NH</w:t>
            </w:r>
            <w:r>
              <w:rPr>
                <w:rFonts w:hint="default" w:ascii="Times New Roman" w:hAnsi="Times New Roman" w:cs="Times New Roman"/>
                <w:szCs w:val="21"/>
                <w:vertAlign w:val="subscript"/>
              </w:rPr>
              <w:t>3</w:t>
            </w:r>
          </w:p>
        </w:tc>
        <w:tc>
          <w:tcPr>
            <w:tcW w:w="23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建议每季度监测一次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0" w:type="dxa"/>
            <w:vAlign w:val="center"/>
          </w:tcPr>
          <w:p>
            <w:pPr>
              <w:adjustRightInd w:val="0"/>
              <w:snapToGrid w:val="0"/>
              <w:jc w:val="center"/>
              <w:rPr>
                <w:rFonts w:hint="default" w:ascii="Times New Roman" w:hAnsi="Times New Roman" w:cs="Times New Roman"/>
                <w:szCs w:val="21"/>
                <w:u w:val="single"/>
              </w:rPr>
            </w:pPr>
            <w:r>
              <w:rPr>
                <w:rFonts w:hint="default" w:ascii="Times New Roman" w:hAnsi="Times New Roman" w:cs="Times New Roman"/>
                <w:szCs w:val="21"/>
              </w:rPr>
              <w:t>地下水</w:t>
            </w:r>
          </w:p>
        </w:tc>
        <w:tc>
          <w:tcPr>
            <w:tcW w:w="342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养殖场南面住户水井做为养殖场地下水观测井、在配套农田上游和下游各设置1口地下水观测井</w:t>
            </w:r>
          </w:p>
        </w:tc>
        <w:tc>
          <w:tcPr>
            <w:tcW w:w="323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pH、氨氮、总硬度、硝酸盐、亚硝酸盐、总大肠菌群及镉、砷、铅、汞、铜、锌等重金属</w:t>
            </w:r>
          </w:p>
        </w:tc>
        <w:tc>
          <w:tcPr>
            <w:tcW w:w="23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建议每季度监测一次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70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噪声</w:t>
            </w:r>
          </w:p>
        </w:tc>
        <w:tc>
          <w:tcPr>
            <w:tcW w:w="342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四周场界外1m</w:t>
            </w:r>
          </w:p>
        </w:tc>
        <w:tc>
          <w:tcPr>
            <w:tcW w:w="323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噪声值</w:t>
            </w:r>
          </w:p>
        </w:tc>
        <w:tc>
          <w:tcPr>
            <w:tcW w:w="23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建议每半年监测一次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70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土壤</w:t>
            </w:r>
          </w:p>
        </w:tc>
        <w:tc>
          <w:tcPr>
            <w:tcW w:w="342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养殖场内以及废水施肥区</w:t>
            </w:r>
          </w:p>
        </w:tc>
        <w:tc>
          <w:tcPr>
            <w:tcW w:w="323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pH、铜、砷、锌等重金属及氮、磷、钾等土壤养分的跟踪监测</w:t>
            </w:r>
          </w:p>
        </w:tc>
        <w:tc>
          <w:tcPr>
            <w:tcW w:w="23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建议每半年监测一次</w:t>
            </w:r>
          </w:p>
        </w:tc>
      </w:tr>
    </w:tbl>
    <w:p>
      <w:pPr>
        <w:spacing w:line="360" w:lineRule="auto"/>
        <w:ind w:firstLine="480"/>
        <w:jc w:val="left"/>
        <w:rPr>
          <w:rFonts w:hint="default" w:ascii="Times New Roman" w:hAnsi="Times New Roman" w:cs="Times New Roman"/>
          <w:sz w:val="24"/>
          <w:szCs w:val="24"/>
        </w:rPr>
      </w:pPr>
      <w:r>
        <w:rPr>
          <w:rFonts w:hint="default" w:ascii="Times New Roman" w:hAnsi="Times New Roman" w:cs="Times New Roman"/>
          <w:sz w:val="24"/>
          <w:szCs w:val="24"/>
        </w:rPr>
        <w:t>上述监测任务也可委托当地有资质的单位进行监测。监测结果和污染防治措施运行情况等应以报表形式上报眉山市环保局备案。另外，建议建设单位对消纳地范围内的地下水、土壤跟踪监测的结果进行统计分析，了解其变化范围及规律，进一步探索处理后废水综合利用的合理方案，以达到长期持续灌溉利用、并能够改善土壤环境质量的目的。</w:t>
      </w:r>
      <w:bookmarkEnd w:id="422"/>
    </w:p>
    <w:p>
      <w:pPr>
        <w:keepNext w:val="0"/>
        <w:keepLines w:val="0"/>
        <w:pageBreakBefore w:val="0"/>
        <w:widowControl w:val="0"/>
        <w:kinsoku/>
        <w:wordWrap/>
        <w:overflowPunct/>
        <w:topLinePunct w:val="0"/>
        <w:autoSpaceDE/>
        <w:autoSpaceDN/>
        <w:bidi w:val="0"/>
        <w:adjustRightInd/>
        <w:snapToGrid/>
        <w:spacing w:before="313" w:beforeLines="100" w:line="360" w:lineRule="auto"/>
        <w:jc w:val="center"/>
        <w:textAlignment w:val="auto"/>
        <w:outlineLvl w:val="0"/>
        <w:rPr>
          <w:rFonts w:hint="default" w:ascii="Times New Roman" w:hAnsi="Times New Roman" w:cs="Times New Roman"/>
          <w:sz w:val="32"/>
          <w:szCs w:val="32"/>
        </w:rPr>
      </w:pPr>
      <w:r>
        <w:rPr>
          <w:rFonts w:hint="default" w:ascii="Times New Roman" w:hAnsi="Times New Roman" w:cs="Times New Roman"/>
          <w:sz w:val="24"/>
          <w:szCs w:val="24"/>
        </w:rPr>
        <w:br w:type="page"/>
      </w:r>
      <w:bookmarkStart w:id="423" w:name="_Toc30318"/>
      <w:r>
        <w:rPr>
          <w:rFonts w:hint="default" w:ascii="Times New Roman" w:hAnsi="Times New Roman" w:cs="Times New Roman"/>
          <w:b/>
          <w:bCs/>
          <w:kern w:val="44"/>
          <w:sz w:val="44"/>
          <w:szCs w:val="44"/>
        </w:rPr>
        <w:t>第十章  环境经济损益分析</w:t>
      </w:r>
      <w:bookmarkEnd w:id="420"/>
      <w:bookmarkEnd w:id="421"/>
      <w:bookmarkEnd w:id="423"/>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环境影响经济损益分析的主要任务是衡量项目的环保投资所能收到的环境效益和经济效益；建设项目应力争达到社会效益、环境效益、经济效益的统一，这样才能符合可持续发展的要求，实现经济的持续发展和环境质量的不断改善。项目属于畜牧养殖行业，它的建设在一定程度上会给周围环境带来一些负面影响，因此有必要进行经济效益、社会效益、环境效益的综合分析，使项目的建设论证更加充分可靠，工程的设计和实施更加完善，以实现社会的良性发展、经济的持续增长和环境质量的保持与改善。</w:t>
      </w:r>
    </w:p>
    <w:p>
      <w:pPr>
        <w:pStyle w:val="87"/>
        <w:spacing w:line="360" w:lineRule="auto"/>
        <w:rPr>
          <w:rFonts w:hint="default" w:ascii="Times New Roman" w:hAnsi="Times New Roman" w:eastAsia="宋体" w:cs="Times New Roman"/>
          <w:b/>
          <w:snapToGrid w:val="0"/>
          <w:kern w:val="0"/>
          <w:sz w:val="28"/>
          <w:szCs w:val="28"/>
        </w:rPr>
      </w:pPr>
      <w:bookmarkStart w:id="424" w:name="_Toc15396"/>
      <w:bookmarkStart w:id="425" w:name="_Toc15451"/>
      <w:r>
        <w:rPr>
          <w:rFonts w:hint="default" w:ascii="Times New Roman" w:hAnsi="Times New Roman" w:eastAsia="宋体" w:cs="Times New Roman"/>
          <w:b/>
          <w:snapToGrid w:val="0"/>
          <w:kern w:val="0"/>
          <w:sz w:val="28"/>
          <w:szCs w:val="28"/>
        </w:rPr>
        <w:t>10.1 环保投资估算</w:t>
      </w:r>
      <w:bookmarkEnd w:id="424"/>
      <w:bookmarkEnd w:id="425"/>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工程环保投资包括运行期的污染防治措施的总投资，预计该项费用总投资为168.5万元，占总投资的比例为3.51%。</w:t>
      </w:r>
    </w:p>
    <w:p>
      <w:pPr>
        <w:pStyle w:val="87"/>
        <w:spacing w:line="360" w:lineRule="auto"/>
        <w:rPr>
          <w:rFonts w:hint="default" w:ascii="Times New Roman" w:hAnsi="Times New Roman" w:eastAsia="宋体" w:cs="Times New Roman"/>
          <w:b/>
          <w:snapToGrid w:val="0"/>
          <w:kern w:val="0"/>
          <w:sz w:val="28"/>
          <w:szCs w:val="28"/>
        </w:rPr>
      </w:pPr>
      <w:bookmarkStart w:id="426" w:name="_Toc19792"/>
      <w:bookmarkStart w:id="427" w:name="_Toc6017"/>
      <w:r>
        <w:rPr>
          <w:rFonts w:hint="default" w:ascii="Times New Roman" w:hAnsi="Times New Roman" w:eastAsia="宋体" w:cs="Times New Roman"/>
          <w:b/>
          <w:snapToGrid w:val="0"/>
          <w:kern w:val="0"/>
          <w:sz w:val="28"/>
          <w:szCs w:val="28"/>
        </w:rPr>
        <w:t>10.2 环境影响经济损失分析</w:t>
      </w:r>
      <w:bookmarkEnd w:id="426"/>
      <w:bookmarkEnd w:id="427"/>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10.2.1 噪声影响经济损失</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有关噪声影响的人群调查以及流行病学研究发现，在我国，生活在70dB（A）以上环境中居民的人均医疗费用比70dB（A）以下的同类地方高；噪声级在70dB（A）以上环境的居民有66.7%睡眠受到干扰，而睡眠受到干扰的职工会表现出生产效率有所下降。根据前面的噪声预测结果，在采取降噪措施前，本项目昼夜间噪声值均未达到70dB（A），因此本项目的建设不会引起噪声影响经济损失。</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10.2.2 环境空气影响经济损失</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营运期项目的环境空气影响主要表现在场区产生的恶臭气体使周围居民的空气环境质量有所下降，有可能对居民健康产生一定的影响。但是目前尚无环境空气影响经济损失的定量计算方法，环境空气影响造成的损失还难以直接用货币衡量，因此，以下将对环境空气影响损失进行定性分析。</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恶臭的成分十分复杂，因家畜的种类、清粪方式、日粮组成、粪便和污水处理等不同而异，有机成分是硫醇类、胺类、吲哚、挥发性有机酸、酚类、醛类、酮类、醇类以及含氮杂环化合物等，无机成分主要是NH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和H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本项目建设后，猪舍养殖、粪污处理等过程会产生恶臭气体，通过注意场区卫生、及时冲洗、添加除臭剂等措施可最大限度的减少恶臭气体的排放，另外利用场区内绿化植物及场区外大面积的农田吸收，对周围居民的影响可降至最低。</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10.2.3 水环境影响经济损失</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营运期本项目产生的污水主要是养殖废水和职工生活污水，均经相应处理后作为农肥施用于周边农田，综合利用，因此对环境的影响非常有限。在此，不再估算水污染造成的经济损失。</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10.2.4 生态环境影响经济损失</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本项目的建设将破坏现有农田生态系统，铲除场区现有植被，使得现有植被的经济能力消失，但是项目建成后，新的系统会产生更好的经济效益，对原有生态环境的经济损失做出补偿。</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10.2.5 环保设备运行费用</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本项目环保设施运行费用包括：电费，环保人员工资及设备折旧、维护费用。预计费用在10万左右。本项目预计年毛利为2000万元，环保设施运行年费用占年利润总额的0.2%，本项目环保设施运行费用合理。</w:t>
      </w:r>
    </w:p>
    <w:p>
      <w:pPr>
        <w:pStyle w:val="87"/>
        <w:spacing w:line="360" w:lineRule="auto"/>
        <w:rPr>
          <w:rFonts w:hint="default" w:ascii="Times New Roman" w:hAnsi="Times New Roman" w:eastAsia="宋体" w:cs="Times New Roman"/>
          <w:b/>
          <w:snapToGrid w:val="0"/>
          <w:kern w:val="0"/>
          <w:sz w:val="28"/>
          <w:szCs w:val="28"/>
        </w:rPr>
      </w:pPr>
      <w:bookmarkStart w:id="428" w:name="_Toc375206212"/>
      <w:bookmarkStart w:id="429" w:name="_Toc32089"/>
      <w:bookmarkStart w:id="430" w:name="_Toc26229"/>
      <w:r>
        <w:rPr>
          <w:rFonts w:hint="default" w:ascii="Times New Roman" w:hAnsi="Times New Roman" w:eastAsia="宋体" w:cs="Times New Roman"/>
          <w:b/>
          <w:snapToGrid w:val="0"/>
          <w:kern w:val="0"/>
          <w:sz w:val="28"/>
          <w:szCs w:val="28"/>
        </w:rPr>
        <w:t xml:space="preserve">10.3 </w:t>
      </w:r>
      <w:bookmarkEnd w:id="428"/>
      <w:r>
        <w:rPr>
          <w:rFonts w:hint="default" w:ascii="Times New Roman" w:hAnsi="Times New Roman" w:eastAsia="宋体" w:cs="Times New Roman"/>
          <w:b/>
          <w:snapToGrid w:val="0"/>
          <w:kern w:val="0"/>
          <w:sz w:val="28"/>
          <w:szCs w:val="28"/>
        </w:rPr>
        <w:t>经济效益分析</w:t>
      </w:r>
      <w:bookmarkEnd w:id="429"/>
      <w:bookmarkEnd w:id="430"/>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本项目总投资4800万元，项目的建设将促进该地区农业的发展，从而拉动地方经济增长，提升区域的经济消费水平。本项目建成后，年出栏育肥猪14000头，投资收益率较高。此外，本工程的建设具有产业链效益，能够带动一方经济的快速发展，并能促进饲料加工、种植业、养殖业等相关行业的发展。</w:t>
      </w:r>
    </w:p>
    <w:p>
      <w:pPr>
        <w:pStyle w:val="87"/>
        <w:spacing w:line="360" w:lineRule="auto"/>
        <w:rPr>
          <w:rFonts w:hint="default" w:ascii="Times New Roman" w:hAnsi="Times New Roman" w:eastAsia="宋体" w:cs="Times New Roman"/>
          <w:b/>
          <w:snapToGrid w:val="0"/>
          <w:kern w:val="0"/>
          <w:sz w:val="28"/>
          <w:szCs w:val="28"/>
        </w:rPr>
      </w:pPr>
      <w:bookmarkStart w:id="431" w:name="_Toc375206213"/>
      <w:bookmarkStart w:id="432" w:name="_Toc11192"/>
      <w:bookmarkStart w:id="433" w:name="_Toc18212"/>
      <w:r>
        <w:rPr>
          <w:rFonts w:hint="default" w:ascii="Times New Roman" w:hAnsi="Times New Roman" w:eastAsia="宋体" w:cs="Times New Roman"/>
          <w:b/>
          <w:snapToGrid w:val="0"/>
          <w:kern w:val="0"/>
          <w:sz w:val="28"/>
          <w:szCs w:val="28"/>
        </w:rPr>
        <w:t>10.4 环境效益分析</w:t>
      </w:r>
      <w:bookmarkEnd w:id="431"/>
      <w:bookmarkEnd w:id="432"/>
      <w:bookmarkEnd w:id="433"/>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该项目将畜禽的粪污综合利用，做到了废物利用，变废为宝，从根本上降低了污染源，大大减轻了对周边地区的环境压力。既美化了养殖场的自然环境，消除了臭味，防止了蚊蝇孳生，又改善了周边地区的生态环境，有利于农业的可持续发展，促进项目地区水土资源的合理利用和生态环境的良性循环，使项目地区规划科学、布局合理，为项目地区无公害、有机农业生产和可持续发展提供了良好的物资基础。</w:t>
      </w:r>
    </w:p>
    <w:p>
      <w:pPr>
        <w:overflowPunct w:val="0"/>
        <w:spacing w:line="360" w:lineRule="auto"/>
        <w:ind w:firstLine="360" w:firstLineChars="150"/>
        <w:rPr>
          <w:rFonts w:hint="default" w:ascii="Times New Roman" w:hAnsi="Times New Roman" w:cs="Times New Roman"/>
        </w:rPr>
      </w:pPr>
      <w:r>
        <w:rPr>
          <w:rFonts w:hint="default" w:ascii="Times New Roman" w:hAnsi="Times New Roman" w:cs="Times New Roman"/>
          <w:sz w:val="24"/>
          <w:szCs w:val="24"/>
        </w:rPr>
        <w:t>本项目环保总投资为168.5万元，占工程总投资的3.51%。通过各项污染防治措施的实施和清洁生产技术的落实，可做到养殖区废水最大程度的综合利用和固体废弃物的资源化利用，可取得良好的环境效益。项目的环保投入确保了废水及固废0排放，并变废为宝，生成有机肥料，合理地调整了生产过程中的相互关系，使一个生产过程中的排泄物（废弃物）转变为另一个生产过程的输入物（原料资源），从而实现农业生产的无废弃物过程（零排放目标），即废弃物资源化过程。从环境保护和资源利用的角度出发，走规模处理和综合利用的道路，不仅能够促进畜禽养殖业的进一步发展，而且具有较好的环境效益。</w:t>
      </w:r>
    </w:p>
    <w:p>
      <w:pPr>
        <w:pStyle w:val="87"/>
        <w:spacing w:line="360" w:lineRule="auto"/>
        <w:rPr>
          <w:rFonts w:hint="default" w:ascii="Times New Roman" w:hAnsi="Times New Roman" w:eastAsia="宋体" w:cs="Times New Roman"/>
          <w:b/>
          <w:snapToGrid w:val="0"/>
          <w:kern w:val="0"/>
          <w:sz w:val="28"/>
          <w:szCs w:val="28"/>
        </w:rPr>
      </w:pPr>
      <w:bookmarkStart w:id="434" w:name="_Toc27098"/>
      <w:bookmarkStart w:id="435" w:name="_Toc375206214"/>
      <w:bookmarkStart w:id="436" w:name="_Toc12336"/>
      <w:r>
        <w:rPr>
          <w:rFonts w:hint="default" w:ascii="Times New Roman" w:hAnsi="Times New Roman" w:eastAsia="宋体" w:cs="Times New Roman"/>
          <w:b/>
          <w:snapToGrid w:val="0"/>
          <w:kern w:val="0"/>
          <w:sz w:val="28"/>
          <w:szCs w:val="28"/>
        </w:rPr>
        <w:t>10.5 社会效益分析</w:t>
      </w:r>
      <w:bookmarkEnd w:id="434"/>
      <w:bookmarkEnd w:id="435"/>
      <w:bookmarkEnd w:id="436"/>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本项目的社会效益主要表现在以下几个方面：</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1）畜牧业是农村经济的重要组成部分，也是农民增收的重要来源。本项目的投资建设，以及后续的种养殖循环系列项目体系，将进一步促进青神县畜牧业、农业的发展，进而促进地方经济，具有良好的正效应。</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（2）项目的清洁生产措施，很大程度上节约了资源和能源，起到了“节能、降耗、减污、增效”的作用，符合国家产业政策和环保治理要求。</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（3）该项目未来的标准化、规模化建设将形成农村能源产业，由此所需的技术、管理队伍可就地吸纳农村剩余劳动力，有利于维护农村社会稳定，对提高人民生活水平起到积极作用。</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4）项目的建设可拉动周边畜禽养殖业、肉制品加工业、饲料加工业等行业的快速发展，同时为周围种植业提供了大量优质有机肥，降低了化肥、农药在农产品生产中的使用量，为无公害农产品生产提供了有利条件，有利于促进周围农村产业结构调整。</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（5）项目投产后，可增加当地财政收入，提高当地社会经济发展水平，对区域社会稳定发挥了较强作用。</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综合以上分析，项目的实施有较好的社会效益。</w:t>
      </w:r>
    </w:p>
    <w:p>
      <w:pPr>
        <w:pStyle w:val="87"/>
        <w:spacing w:line="360" w:lineRule="auto"/>
        <w:rPr>
          <w:rFonts w:hint="default" w:ascii="Times New Roman" w:hAnsi="Times New Roman" w:eastAsia="宋体" w:cs="Times New Roman"/>
          <w:b/>
          <w:snapToGrid w:val="0"/>
          <w:kern w:val="0"/>
          <w:sz w:val="28"/>
          <w:szCs w:val="28"/>
        </w:rPr>
      </w:pPr>
      <w:bookmarkStart w:id="437" w:name="_Toc375206215"/>
      <w:bookmarkStart w:id="438" w:name="_Toc25969"/>
      <w:bookmarkStart w:id="439" w:name="_Toc22758"/>
      <w:r>
        <w:rPr>
          <w:rFonts w:hint="default" w:ascii="Times New Roman" w:hAnsi="Times New Roman" w:eastAsia="宋体" w:cs="Times New Roman"/>
          <w:b/>
          <w:snapToGrid w:val="0"/>
          <w:kern w:val="0"/>
          <w:sz w:val="28"/>
          <w:szCs w:val="28"/>
        </w:rPr>
        <w:t xml:space="preserve">10.6 </w:t>
      </w:r>
      <w:bookmarkEnd w:id="437"/>
      <w:r>
        <w:rPr>
          <w:rFonts w:hint="default" w:ascii="Times New Roman" w:hAnsi="Times New Roman" w:eastAsia="宋体" w:cs="Times New Roman"/>
          <w:b/>
          <w:snapToGrid w:val="0"/>
          <w:kern w:val="0"/>
          <w:sz w:val="28"/>
          <w:szCs w:val="28"/>
        </w:rPr>
        <w:t>生态效益</w:t>
      </w:r>
      <w:bookmarkEnd w:id="438"/>
      <w:bookmarkEnd w:id="439"/>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通过项目实施，粪污处理、病死猪处理后能生成有机肥，达到变废为宝的目的。长期大量使用化肥，不仅导致土壤板结，土壤肥力下降，而且对环境和农作物产生污染。项目投产后，提供优质有机肥料，可减少化肥、农药用量，改善土壤理化性状。有利于农作物增产、增收，促进农作物增产、增收，有利生产无公害农产品，保障食品安全。</w:t>
      </w:r>
    </w:p>
    <w:p>
      <w:pPr>
        <w:pStyle w:val="87"/>
        <w:spacing w:line="360" w:lineRule="auto"/>
        <w:rPr>
          <w:rFonts w:hint="default" w:ascii="Times New Roman" w:hAnsi="Times New Roman" w:eastAsia="宋体" w:cs="Times New Roman"/>
          <w:b/>
          <w:snapToGrid w:val="0"/>
          <w:kern w:val="0"/>
          <w:sz w:val="28"/>
          <w:szCs w:val="28"/>
        </w:rPr>
      </w:pPr>
      <w:bookmarkStart w:id="440" w:name="_Toc375206216"/>
      <w:bookmarkStart w:id="441" w:name="_Toc16348"/>
      <w:bookmarkStart w:id="442" w:name="_Toc32622"/>
      <w:r>
        <w:rPr>
          <w:rFonts w:hint="default" w:ascii="Times New Roman" w:hAnsi="Times New Roman" w:eastAsia="宋体" w:cs="Times New Roman"/>
          <w:b/>
          <w:snapToGrid w:val="0"/>
          <w:kern w:val="0"/>
          <w:sz w:val="28"/>
          <w:szCs w:val="28"/>
        </w:rPr>
        <w:t xml:space="preserve">10.7 </w:t>
      </w:r>
      <w:bookmarkEnd w:id="440"/>
      <w:r>
        <w:rPr>
          <w:rFonts w:hint="default" w:ascii="Times New Roman" w:hAnsi="Times New Roman" w:eastAsia="宋体" w:cs="Times New Roman"/>
          <w:b/>
          <w:snapToGrid w:val="0"/>
          <w:kern w:val="0"/>
          <w:sz w:val="28"/>
          <w:szCs w:val="28"/>
        </w:rPr>
        <w:t>分析结论</w:t>
      </w:r>
      <w:bookmarkEnd w:id="441"/>
      <w:bookmarkEnd w:id="442"/>
    </w:p>
    <w:p>
      <w:pPr>
        <w:overflowPunct w:val="0"/>
        <w:spacing w:line="360" w:lineRule="auto"/>
        <w:ind w:firstLine="360" w:firstLineChars="150"/>
        <w:rPr>
          <w:rFonts w:hint="default" w:ascii="Times New Roman" w:hAnsi="Times New Roman" w:cs="Times New Roman"/>
          <w:sz w:val="24"/>
          <w:szCs w:val="24"/>
        </w:rPr>
        <w:sectPr>
          <w:headerReference r:id="rId14" w:type="default"/>
          <w:footerReference r:id="rId15" w:type="default"/>
          <w:pgSz w:w="11906" w:h="16838"/>
          <w:pgMar w:top="1276" w:right="1134" w:bottom="901" w:left="1276"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z w:val="24"/>
          <w:szCs w:val="24"/>
        </w:rPr>
        <w:t>综合以上分析，项目具有较好经济、环境和社会效益，它的建成，将能够拉动地方经济的快速发展；废物资源化利用，将促进人类与社会的和谐发展。</w:t>
      </w:r>
    </w:p>
    <w:p>
      <w:pPr>
        <w:pStyle w:val="3"/>
        <w:keepNext/>
        <w:keepLines/>
        <w:pageBreakBefore w:val="0"/>
        <w:widowControl w:val="0"/>
        <w:kinsoku/>
        <w:wordWrap/>
        <w:overflowPunct/>
        <w:topLinePunct w:val="0"/>
        <w:autoSpaceDE/>
        <w:autoSpaceDN/>
        <w:bidi w:val="0"/>
        <w:adjustRightInd/>
        <w:snapToGrid/>
        <w:spacing w:before="0" w:after="0" w:line="720" w:lineRule="auto"/>
        <w:jc w:val="center"/>
        <w:textAlignment w:val="auto"/>
        <w:outlineLvl w:val="0"/>
        <w:rPr>
          <w:rFonts w:hint="default" w:ascii="Times New Roman" w:hAnsi="Times New Roman" w:eastAsia="宋体" w:cs="Times New Roman"/>
          <w:b/>
          <w:bCs/>
          <w:kern w:val="44"/>
          <w:sz w:val="44"/>
          <w:szCs w:val="44"/>
          <w:lang w:val="en-US" w:eastAsia="zh-CN" w:bidi="ar-SA"/>
        </w:rPr>
      </w:pPr>
      <w:bookmarkStart w:id="443" w:name="_Toc7510"/>
      <w:bookmarkStart w:id="444" w:name="_Toc9069"/>
      <w:r>
        <w:rPr>
          <w:rFonts w:hint="default" w:ascii="Times New Roman" w:hAnsi="Times New Roman" w:eastAsia="宋体" w:cs="Times New Roman"/>
          <w:b/>
          <w:bCs/>
          <w:kern w:val="44"/>
          <w:sz w:val="44"/>
          <w:szCs w:val="44"/>
          <w:lang w:val="en-US" w:eastAsia="zh-CN" w:bidi="ar-SA"/>
        </w:rPr>
        <w:t>第十一章 评价结论与建议</w:t>
      </w:r>
      <w:bookmarkEnd w:id="443"/>
      <w:bookmarkEnd w:id="444"/>
    </w:p>
    <w:p>
      <w:pPr>
        <w:pStyle w:val="87"/>
        <w:spacing w:line="360" w:lineRule="auto"/>
        <w:rPr>
          <w:rFonts w:hint="default" w:ascii="Times New Roman" w:hAnsi="Times New Roman" w:eastAsia="宋体" w:cs="Times New Roman"/>
          <w:b/>
          <w:snapToGrid w:val="0"/>
          <w:kern w:val="0"/>
          <w:sz w:val="28"/>
          <w:szCs w:val="28"/>
        </w:rPr>
      </w:pPr>
      <w:bookmarkStart w:id="445" w:name="_Toc258071963"/>
      <w:bookmarkStart w:id="446" w:name="_Toc251954956"/>
      <w:bookmarkStart w:id="447" w:name="_Toc258072384"/>
      <w:bookmarkStart w:id="448" w:name="_Toc258073595"/>
      <w:bookmarkStart w:id="449" w:name="_Toc258073773"/>
      <w:bookmarkStart w:id="450" w:name="_Toc258073417"/>
      <w:bookmarkStart w:id="451" w:name="_Toc528252144"/>
      <w:bookmarkStart w:id="452" w:name="_Toc451"/>
      <w:bookmarkStart w:id="453" w:name="_Toc255920912"/>
      <w:r>
        <w:rPr>
          <w:rFonts w:hint="default" w:ascii="Times New Roman" w:hAnsi="Times New Roman" w:eastAsia="宋体" w:cs="Times New Roman"/>
          <w:b/>
          <w:snapToGrid w:val="0"/>
          <w:kern w:val="0"/>
          <w:sz w:val="28"/>
          <w:szCs w:val="28"/>
        </w:rPr>
        <w:t>11.1 环境影响评价结论</w:t>
      </w:r>
      <w:bookmarkEnd w:id="445"/>
      <w:bookmarkEnd w:id="446"/>
      <w:bookmarkEnd w:id="447"/>
      <w:bookmarkEnd w:id="448"/>
      <w:bookmarkEnd w:id="449"/>
      <w:bookmarkEnd w:id="450"/>
      <w:bookmarkEnd w:id="451"/>
      <w:bookmarkEnd w:id="452"/>
      <w:bookmarkEnd w:id="453"/>
    </w:p>
    <w:p>
      <w:pPr>
        <w:spacing w:line="360" w:lineRule="auto"/>
        <w:ind w:firstLine="482" w:firstLineChars="200"/>
        <w:outlineLvl w:val="2"/>
        <w:rPr>
          <w:rFonts w:hint="default" w:ascii="Times New Roman" w:hAnsi="Times New Roman" w:cs="Times New Roman"/>
          <w:b/>
          <w:bCs/>
          <w:sz w:val="24"/>
          <w:szCs w:val="24"/>
        </w:rPr>
      </w:pPr>
      <w:bookmarkStart w:id="454" w:name="_Toc255920913"/>
      <w:bookmarkStart w:id="455" w:name="_Toc258071964"/>
      <w:bookmarkStart w:id="456" w:name="_Toc258073418"/>
      <w:bookmarkStart w:id="457" w:name="_Toc258073596"/>
      <w:bookmarkStart w:id="458" w:name="_Toc258072385"/>
      <w:bookmarkStart w:id="459" w:name="_Toc258073774"/>
      <w:bookmarkStart w:id="460" w:name="_Toc251954957"/>
      <w:r>
        <w:rPr>
          <w:rFonts w:hint="default" w:ascii="Times New Roman" w:hAnsi="Times New Roman" w:cs="Times New Roman"/>
          <w:b/>
          <w:bCs/>
          <w:sz w:val="24"/>
          <w:szCs w:val="24"/>
        </w:rPr>
        <w:t>11.1.1建设项目概况</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夹江县旺鑫农牧科技有限公司拟建新建年出栏14000头生猪养殖场项目位于夹江县三洞镇周冲村6社，项目占地面积19650平方米，总投资为4800万元，新建育肥舍9栋，建筑面积共计</w:t>
      </w:r>
      <w:r>
        <w:rPr>
          <w:rFonts w:hint="default" w:ascii="Times New Roman" w:hAnsi="Times New Roman" w:cs="Times New Roman"/>
          <w:sz w:val="24"/>
          <w:szCs w:val="24"/>
          <w:lang w:eastAsia="zh-CN"/>
        </w:rPr>
        <w:t>9950</w:t>
      </w:r>
      <w:r>
        <w:rPr>
          <w:rFonts w:hint="default" w:ascii="Times New Roman" w:hAnsi="Times New Roman" w:cs="Times New Roman"/>
          <w:sz w:val="24"/>
          <w:szCs w:val="24"/>
        </w:rPr>
        <w:t>平方米，治疗舍1间300平方米，饲料房1间350平方米，新建办公生活用房1栋370平方米，猪粪暂存间50平方米。配套入场道路、场区围墙、排水、供电、粪污处理、绿化设施等。工程饲料来源外购，本项目不生产饲料。项目建成后年存栏量生猪7000头，年出栏量生猪14000头。</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11.1.2产业政策、规划及选址结论</w:t>
      </w:r>
    </w:p>
    <w:p>
      <w:pPr>
        <w:spacing w:line="360" w:lineRule="auto"/>
        <w:ind w:firstLine="555"/>
        <w:outlineLvl w:val="2"/>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1、产业政策</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本项目为生猪养殖项目，根据国家发改委第21号令《产业结构调整指导目录2011年本》(2013修正)的规定，本项目属于第一类，鼓励类，一、农林业中的第5条：“畜禽标准化规模养殖技术开发与应用”类别，项目符合国家相关产业政策。</w:t>
      </w:r>
    </w:p>
    <w:p>
      <w:pPr>
        <w:spacing w:line="360" w:lineRule="auto"/>
        <w:ind w:firstLine="482"/>
        <w:rPr>
          <w:rFonts w:hint="default" w:ascii="Times New Roman" w:hAnsi="Times New Roman" w:cs="Times New Roman"/>
          <w:color w:val="000000"/>
          <w:sz w:val="24"/>
          <w:szCs w:val="21"/>
        </w:rPr>
      </w:pPr>
      <w:r>
        <w:rPr>
          <w:rFonts w:hint="default" w:ascii="Times New Roman" w:hAnsi="Times New Roman" w:cs="Times New Roman"/>
          <w:color w:val="000000"/>
          <w:sz w:val="24"/>
          <w:szCs w:val="21"/>
        </w:rPr>
        <w:t>同时2018年09月04日夹江县发展和改革局同意项目备案，备案文号川投资备[2018-511126-03-03-297061]FGQB-0201号。</w:t>
      </w:r>
    </w:p>
    <w:p>
      <w:pPr>
        <w:overflowPunct w:val="0"/>
        <w:spacing w:line="360" w:lineRule="auto"/>
        <w:ind w:firstLine="360" w:firstLineChars="150"/>
        <w:rPr>
          <w:rFonts w:hint="default" w:ascii="Times New Roman" w:hAnsi="Times New Roman" w:cs="Times New Roman"/>
          <w:b/>
          <w:bCs/>
          <w:spacing w:val="10"/>
        </w:rPr>
      </w:pPr>
      <w:r>
        <w:rPr>
          <w:rFonts w:hint="default" w:ascii="Times New Roman" w:hAnsi="Times New Roman" w:cs="Times New Roman"/>
          <w:sz w:val="24"/>
          <w:szCs w:val="24"/>
        </w:rPr>
        <w:t>因此，项目符合国家和地方现行产业政策要求。</w:t>
      </w:r>
    </w:p>
    <w:p>
      <w:pPr>
        <w:spacing w:line="360" w:lineRule="auto"/>
        <w:ind w:firstLine="555"/>
        <w:outlineLvl w:val="2"/>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2、规划</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项目位于夹江县三洞镇周冲村6社，属城镇规划区范围外，为农村环境。土地为农村流转土地，占地为一般林地，不属于基本农田。夹江县农牧业局、夹江县国土资源局、夹江县三洞镇人民政府均同意项目设施农业用地备案，项目符合夹江县农业发展政策和规划。同时根据夹江县三洞镇人民政府出具的证明，本项目占用的土地符合当地规划，不属于风景名胜区、场镇规划区、基本农田保护区、饮用水源保护区等禁养或限养区域范围，经镇人民政府研究同意其选址意见。同时本项目符合三线一单的要求。</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因此，项目用地符合规划。</w:t>
      </w:r>
    </w:p>
    <w:p>
      <w:pPr>
        <w:spacing w:line="360" w:lineRule="auto"/>
        <w:ind w:firstLine="555"/>
        <w:outlineLvl w:val="2"/>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3、选址</w:t>
      </w:r>
    </w:p>
    <w:p>
      <w:pPr>
        <w:pStyle w:val="62"/>
        <w:ind w:firstLine="480" w:firstLineChars="200"/>
        <w:jc w:val="both"/>
        <w:rPr>
          <w:rFonts w:hint="default" w:ascii="Times New Roman" w:hAnsi="Times New Roman" w:cs="Times New Roman"/>
          <w:color w:val="000000"/>
        </w:rPr>
      </w:pPr>
      <w:r>
        <w:rPr>
          <w:rFonts w:hint="default" w:ascii="Times New Roman" w:hAnsi="Times New Roman" w:cs="Times New Roman"/>
          <w:color w:val="000000"/>
        </w:rPr>
        <w:t>本项目位于夹江</w:t>
      </w:r>
      <w:r>
        <w:rPr>
          <w:rFonts w:hint="default" w:ascii="Times New Roman" w:hAnsi="Times New Roman" w:cs="Times New Roman"/>
        </w:rPr>
        <w:t>县三洞镇周冲村6社，处于农村环境，占地面积约19650平方米；项目用地已与夹江县三洞镇周冲村村民委员会签订了《夹江县农村土地流转备案登记表》（见附件6）；根据三洞镇人民政府出具的证明（见附件7），项目不占用基本农田，不在夹江县三洞镇城镇规划区范围内，同意项目建设及运营；根据《夹江县畜禽养殖区域规划》（2016，见附件12）的</w:t>
      </w:r>
      <w:r>
        <w:rPr>
          <w:rFonts w:hint="default" w:ascii="Times New Roman" w:hAnsi="Times New Roman" w:cs="Times New Roman"/>
          <w:color w:val="000000"/>
        </w:rPr>
        <w:t>规定，项目位于养殖区，不涉及禁养区、限养区。</w:t>
      </w:r>
    </w:p>
    <w:p>
      <w:pPr>
        <w:pStyle w:val="62"/>
        <w:ind w:firstLine="480" w:firstLineChars="200"/>
        <w:jc w:val="both"/>
        <w:rPr>
          <w:rFonts w:hint="default" w:ascii="Times New Roman" w:hAnsi="Times New Roman" w:cs="Times New Roman"/>
          <w:szCs w:val="24"/>
        </w:rPr>
      </w:pPr>
      <w:r>
        <w:rPr>
          <w:rFonts w:hint="default" w:ascii="Times New Roman" w:hAnsi="Times New Roman" w:cs="Times New Roman"/>
          <w:szCs w:val="24"/>
        </w:rPr>
        <w:t>项目位于农村环境，不在城镇建成区，不涉及饮用水源保护区，周边500m范围内无医院、学校、风景名胜区等需要着重保护的环境敏感点，不在夹江县规定的禁养和限养区范围内，符合《畜禽养殖业污染防治技术规范》。同时项目满足《畜禽规模养殖污染防治条例》中相关要求。项目周边敏感点主要为散户农户，各类污染物经相应处理后对周边敏感点、对环境的影响较小。因此，本项目选址合理。</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11.1.3环境质量现状结论</w:t>
      </w:r>
    </w:p>
    <w:p>
      <w:pPr>
        <w:spacing w:line="360" w:lineRule="auto"/>
        <w:ind w:firstLine="555"/>
        <w:outlineLvl w:val="2"/>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1、大气环境</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根据《环境影响评价技术导则 大气环境》（HJ2.2-2018）中6.4.1.1达标区域判断的方法，本项目位于不达标区域。项目对其他污染物硫化氢、氨进行了监测，根据“锡环检字（2018）第178号”，此两个因子满足《环境影响评价技术导则  大气环境》（HJ2.2-2018）中相关标准。</w:t>
      </w:r>
    </w:p>
    <w:p>
      <w:pPr>
        <w:spacing w:line="360" w:lineRule="auto"/>
        <w:ind w:firstLine="555"/>
        <w:outlineLvl w:val="2"/>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2、水环境</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根据监测，项目金牛河评价段地表水各监测因子均能达到《地表水环境质量标准》（GB3838-2002）中Ⅲ类水域水质标准。</w:t>
      </w:r>
    </w:p>
    <w:p>
      <w:pPr>
        <w:spacing w:line="360" w:lineRule="auto"/>
        <w:ind w:firstLine="555"/>
        <w:outlineLvl w:val="2"/>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3、声环境</w:t>
      </w:r>
    </w:p>
    <w:p>
      <w:pPr>
        <w:overflowPunct w:val="0"/>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各监测点昼间、夜间噪声均满足《声环境质量标准》（GB3096-2008）中2类标准，区域声环境质量现状良好。</w:t>
      </w:r>
      <w:bookmarkEnd w:id="454"/>
      <w:bookmarkEnd w:id="455"/>
      <w:bookmarkEnd w:id="456"/>
      <w:bookmarkEnd w:id="457"/>
      <w:bookmarkEnd w:id="458"/>
      <w:bookmarkEnd w:id="459"/>
      <w:bookmarkEnd w:id="460"/>
    </w:p>
    <w:p>
      <w:pPr>
        <w:spacing w:line="360" w:lineRule="auto"/>
        <w:ind w:firstLine="555"/>
        <w:outlineLvl w:val="2"/>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4、地下水</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根据监测，各监测点位的各项监测因子均能满足</w:t>
      </w:r>
      <w:r>
        <w:rPr>
          <w:rFonts w:hint="default" w:ascii="Times New Roman" w:hAnsi="Times New Roman" w:cs="Times New Roman"/>
          <w:bCs/>
        </w:rPr>
        <w:t>《地下水质量标准》（GB/T 14848-2017）中的</w:t>
      </w:r>
      <w:r>
        <w:rPr>
          <w:rFonts w:hint="default" w:ascii="Times New Roman" w:hAnsi="Times New Roman" w:cs="Times New Roman"/>
          <w:bCs/>
        </w:rPr>
        <w:fldChar w:fldCharType="begin"/>
      </w:r>
      <w:r>
        <w:rPr>
          <w:rFonts w:hint="default" w:ascii="Times New Roman" w:hAnsi="Times New Roman" w:cs="Times New Roman"/>
          <w:bCs/>
        </w:rPr>
        <w:instrText xml:space="preserve"> = 3 \* ROMAN </w:instrText>
      </w:r>
      <w:r>
        <w:rPr>
          <w:rFonts w:hint="default" w:ascii="Times New Roman" w:hAnsi="Times New Roman" w:cs="Times New Roman"/>
          <w:bCs/>
        </w:rPr>
        <w:fldChar w:fldCharType="separate"/>
      </w:r>
      <w:r>
        <w:rPr>
          <w:rFonts w:hint="default" w:ascii="Times New Roman" w:hAnsi="Times New Roman" w:cs="Times New Roman"/>
          <w:bCs/>
        </w:rPr>
        <w:t>III</w:t>
      </w:r>
      <w:r>
        <w:rPr>
          <w:rFonts w:hint="default" w:ascii="Times New Roman" w:hAnsi="Times New Roman" w:cs="Times New Roman"/>
          <w:bCs/>
        </w:rPr>
        <w:fldChar w:fldCharType="end"/>
      </w:r>
      <w:r>
        <w:rPr>
          <w:rFonts w:hint="default" w:ascii="Times New Roman" w:hAnsi="Times New Roman" w:cs="Times New Roman"/>
          <w:bCs/>
        </w:rPr>
        <w:t>类标准</w:t>
      </w:r>
      <w:r>
        <w:rPr>
          <w:rFonts w:hint="default" w:ascii="Times New Roman" w:hAnsi="Times New Roman" w:cs="Times New Roman"/>
        </w:rPr>
        <w:t>要求。</w:t>
      </w:r>
    </w:p>
    <w:p>
      <w:pPr>
        <w:pStyle w:val="2"/>
        <w:spacing w:line="360" w:lineRule="auto"/>
        <w:ind w:firstLine="482" w:firstLineChars="200"/>
        <w:rPr>
          <w:rFonts w:hint="default" w:ascii="Times New Roman" w:hAnsi="Times New Roman" w:cs="Times New Roman"/>
          <w:b/>
        </w:rPr>
      </w:pPr>
      <w:r>
        <w:rPr>
          <w:rFonts w:hint="default" w:ascii="Times New Roman" w:hAnsi="Times New Roman" w:cs="Times New Roman"/>
          <w:b/>
        </w:rPr>
        <w:t>5、土壤环境</w:t>
      </w:r>
    </w:p>
    <w:p>
      <w:pPr>
        <w:pStyle w:val="2"/>
        <w:spacing w:line="360" w:lineRule="auto"/>
        <w:ind w:firstLine="480" w:firstLineChars="200"/>
        <w:rPr>
          <w:rFonts w:hint="default" w:ascii="Times New Roman" w:hAnsi="Times New Roman" w:cs="Times New Roman"/>
        </w:rPr>
      </w:pPr>
      <w:r>
        <w:rPr>
          <w:rFonts w:hint="default" w:ascii="Times New Roman" w:hAnsi="Times New Roman" w:cs="Times New Roman"/>
        </w:rPr>
        <w:t>根据监测报告，项目各土壤监测点为各监测因子均能满足《土壤环境质量农用地土壤污染风险管控标准》（GB15618-2018）中的要求。</w:t>
      </w:r>
    </w:p>
    <w:p>
      <w:pPr>
        <w:spacing w:line="360" w:lineRule="auto"/>
        <w:ind w:firstLine="482" w:firstLineChars="200"/>
        <w:outlineLvl w:val="2"/>
        <w:rPr>
          <w:rFonts w:hint="default" w:ascii="Times New Roman" w:hAnsi="Times New Roman" w:cs="Times New Roman"/>
          <w:b/>
          <w:bCs/>
          <w:sz w:val="24"/>
          <w:szCs w:val="24"/>
        </w:rPr>
      </w:pPr>
      <w:bookmarkStart w:id="461" w:name="_Toc258073421"/>
      <w:bookmarkStart w:id="462" w:name="_Toc258073599"/>
      <w:bookmarkStart w:id="463" w:name="_Toc255920916"/>
      <w:bookmarkStart w:id="464" w:name="_Toc258073777"/>
      <w:bookmarkStart w:id="465" w:name="_Toc258071967"/>
      <w:bookmarkStart w:id="466" w:name="_Toc258072388"/>
      <w:bookmarkStart w:id="467" w:name="_Toc251954960"/>
      <w:r>
        <w:rPr>
          <w:rFonts w:hint="default" w:ascii="Times New Roman" w:hAnsi="Times New Roman" w:cs="Times New Roman"/>
          <w:b/>
          <w:bCs/>
          <w:sz w:val="24"/>
          <w:szCs w:val="24"/>
        </w:rPr>
        <w:t>11.1.4 达标排放及污染防治措施有效性</w:t>
      </w:r>
      <w:bookmarkEnd w:id="461"/>
      <w:bookmarkEnd w:id="462"/>
      <w:bookmarkEnd w:id="463"/>
      <w:bookmarkEnd w:id="464"/>
      <w:bookmarkEnd w:id="465"/>
      <w:bookmarkEnd w:id="466"/>
      <w:bookmarkEnd w:id="467"/>
    </w:p>
    <w:p>
      <w:pPr>
        <w:pStyle w:val="2"/>
        <w:spacing w:line="360" w:lineRule="auto"/>
        <w:ind w:firstLine="600" w:firstLineChars="250"/>
        <w:rPr>
          <w:rFonts w:hint="default" w:ascii="Times New Roman" w:hAnsi="Times New Roman" w:cs="Times New Roman"/>
        </w:rPr>
      </w:pPr>
      <w:r>
        <w:rPr>
          <w:rFonts w:hint="default" w:ascii="Times New Roman" w:hAnsi="Times New Roman" w:cs="Times New Roman"/>
        </w:rPr>
        <w:t>本项目运营后，产生的餐饮废水、生活污水、养殖废水经相应的处理设施处理后，用于土地施肥，不外排；水帘降温系统废水采用循环池收集后循环利用，不外排。食堂餐饮油烟经小型抽油烟机收集处理后达《饮食业油烟排放标准》（GB18483-2001）中的标准引致屋顶排放；恶臭气体通过干清粪工艺，将粪便、尿液及时清理处理，提高饲料利用率，合理使用饲料添加剂，加强猪舍通风，定期进行消毒、定期喷洒除臭剂，定期进行杀虫灭蝇工作，加强场区绿化等进行治理，无组织排放的臭气浓度满足《畜禽养殖业污染物排放标准》（GB18596-2001）；H</w:t>
      </w:r>
      <w:r>
        <w:rPr>
          <w:rFonts w:hint="default" w:ascii="Times New Roman" w:hAnsi="Times New Roman" w:cs="Times New Roman"/>
          <w:vertAlign w:val="subscript"/>
        </w:rPr>
        <w:t>2</w:t>
      </w:r>
      <w:r>
        <w:rPr>
          <w:rFonts w:hint="default" w:ascii="Times New Roman" w:hAnsi="Times New Roman" w:cs="Times New Roman"/>
        </w:rPr>
        <w:t>S、NH</w:t>
      </w:r>
      <w:r>
        <w:rPr>
          <w:rFonts w:hint="default" w:ascii="Times New Roman" w:hAnsi="Times New Roman" w:cs="Times New Roman"/>
          <w:vertAlign w:val="subscript"/>
        </w:rPr>
        <w:t>3</w:t>
      </w:r>
      <w:r>
        <w:rPr>
          <w:rFonts w:hint="default" w:ascii="Times New Roman" w:hAnsi="Times New Roman" w:cs="Times New Roman"/>
        </w:rPr>
        <w:t>满足《恶臭污染物排放标准》（GB14554-93）二级标准。营运期噪声排放能够满足《工业企业厂界环境噪声排放标准》（GB12348-2008）中2类标准；项目内固体废弃物按照国家有关规定进行了处理，都得到了安全妥善的处理。</w:t>
      </w:r>
    </w:p>
    <w:p>
      <w:pPr>
        <w:spacing w:line="360" w:lineRule="auto"/>
        <w:outlineLvl w:val="2"/>
        <w:rPr>
          <w:rFonts w:hint="default" w:ascii="Times New Roman" w:hAnsi="Times New Roman" w:cs="Times New Roman"/>
          <w:b/>
          <w:bCs/>
          <w:spacing w:val="10"/>
          <w:sz w:val="24"/>
          <w:szCs w:val="24"/>
        </w:rPr>
      </w:pPr>
      <w:bookmarkStart w:id="468" w:name="_Toc258073422"/>
      <w:bookmarkStart w:id="469" w:name="_Toc258073600"/>
      <w:bookmarkStart w:id="470" w:name="_Toc258072389"/>
      <w:bookmarkStart w:id="471" w:name="_Toc258073778"/>
      <w:bookmarkStart w:id="472" w:name="_Toc255920917"/>
      <w:bookmarkStart w:id="473" w:name="_Toc258071968"/>
      <w:bookmarkStart w:id="474" w:name="_Toc251954961"/>
      <w:r>
        <w:rPr>
          <w:rFonts w:hint="default" w:ascii="Times New Roman" w:hAnsi="Times New Roman" w:cs="Times New Roman"/>
          <w:b/>
          <w:bCs/>
          <w:spacing w:val="10"/>
          <w:sz w:val="24"/>
          <w:szCs w:val="24"/>
        </w:rPr>
        <w:t>11.1.5</w:t>
      </w:r>
      <w:bookmarkEnd w:id="468"/>
      <w:bookmarkEnd w:id="469"/>
      <w:bookmarkEnd w:id="470"/>
      <w:bookmarkEnd w:id="471"/>
      <w:bookmarkEnd w:id="472"/>
      <w:bookmarkEnd w:id="473"/>
      <w:bookmarkEnd w:id="474"/>
      <w:r>
        <w:rPr>
          <w:rFonts w:hint="default" w:ascii="Times New Roman" w:hAnsi="Times New Roman" w:cs="Times New Roman"/>
          <w:b/>
          <w:bCs/>
          <w:spacing w:val="10"/>
          <w:sz w:val="24"/>
          <w:szCs w:val="24"/>
        </w:rPr>
        <w:t>本项目对区域环境影响</w:t>
      </w:r>
    </w:p>
    <w:p>
      <w:pPr>
        <w:autoSpaceDE w:val="0"/>
        <w:autoSpaceDN w:val="0"/>
        <w:adjustRightInd w:val="0"/>
        <w:spacing w:line="360" w:lineRule="auto"/>
        <w:ind w:firstLine="602" w:firstLineChars="250"/>
        <w:rPr>
          <w:rFonts w:hint="default" w:ascii="Times New Roman" w:hAnsi="Times New Roman" w:cs="Times New Roman"/>
          <w:b/>
          <w:kern w:val="0"/>
          <w:sz w:val="24"/>
          <w:szCs w:val="24"/>
        </w:rPr>
      </w:pPr>
      <w:r>
        <w:rPr>
          <w:rFonts w:hint="default" w:ascii="Times New Roman" w:hAnsi="Times New Roman" w:cs="Times New Roman"/>
          <w:b/>
          <w:kern w:val="0"/>
          <w:sz w:val="24"/>
          <w:szCs w:val="24"/>
        </w:rPr>
        <w:t>1、施工期</w:t>
      </w:r>
    </w:p>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color w:val="000000"/>
          <w:kern w:val="0"/>
          <w:sz w:val="24"/>
          <w:szCs w:val="24"/>
        </w:rPr>
        <w:t>地表水环境：</w:t>
      </w:r>
      <w:r>
        <w:rPr>
          <w:rFonts w:hint="default" w:ascii="Times New Roman" w:hAnsi="Times New Roman" w:cs="Times New Roman"/>
          <w:sz w:val="24"/>
          <w:szCs w:val="24"/>
        </w:rPr>
        <w:t>施工期产生的施工废水经沉淀池处理后用于洒水抑尘，不外排。施工人员生活污水经化粪池预处理后用于周边农田施肥，不外排。对附近地表水体无明显影响。</w:t>
      </w:r>
    </w:p>
    <w:p>
      <w:pPr>
        <w:spacing w:line="360" w:lineRule="auto"/>
        <w:ind w:firstLine="482"/>
        <w:rPr>
          <w:rFonts w:hint="default" w:ascii="Times New Roman" w:hAnsi="Times New Roman" w:cs="Times New Roman"/>
          <w:color w:val="000000"/>
          <w:sz w:val="24"/>
          <w:szCs w:val="24"/>
        </w:rPr>
      </w:pPr>
      <w:r>
        <w:rPr>
          <w:rFonts w:hint="default" w:ascii="Times New Roman" w:hAnsi="Times New Roman" w:cs="Times New Roman"/>
          <w:b/>
          <w:color w:val="000000"/>
          <w:kern w:val="0"/>
          <w:sz w:val="24"/>
          <w:szCs w:val="24"/>
        </w:rPr>
        <w:t>环境空气：</w:t>
      </w:r>
      <w:r>
        <w:rPr>
          <w:rFonts w:hint="default" w:ascii="Times New Roman" w:hAnsi="Times New Roman" w:cs="Times New Roman"/>
          <w:color w:val="000000"/>
          <w:kern w:val="0"/>
          <w:sz w:val="24"/>
          <w:szCs w:val="24"/>
        </w:rPr>
        <w:t>施工扬尘</w:t>
      </w:r>
      <w:r>
        <w:rPr>
          <w:rFonts w:hint="default" w:ascii="Times New Roman" w:hAnsi="Times New Roman" w:cs="Times New Roman"/>
          <w:color w:val="000000"/>
          <w:sz w:val="24"/>
          <w:szCs w:val="24"/>
        </w:rPr>
        <w:t>必须严格按国务院印发的《打赢蓝天保卫战三年行动计划的通知》（国发[2018]22号）、四川省人民政府办公厅发布的《关于加强灰霾污染防治的通知》等的有关规定和规范进行治理。施工机械废气通过加强施工设备的维护，使其能够正常的运行，提高设备原料的利用率，以减少产生的机械废气。</w:t>
      </w:r>
    </w:p>
    <w:p>
      <w:pPr>
        <w:spacing w:line="360" w:lineRule="auto"/>
        <w:ind w:firstLine="482"/>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声学环境：</w:t>
      </w:r>
      <w:r>
        <w:rPr>
          <w:rFonts w:hint="default" w:ascii="Times New Roman" w:hAnsi="Times New Roman" w:cs="Times New Roman"/>
          <w:color w:val="000000"/>
          <w:sz w:val="24"/>
          <w:szCs w:val="24"/>
        </w:rPr>
        <w:t>选用低噪声设备，合理布局，合理安排施工时间，进出车辆低速、限制鸣笛。</w:t>
      </w:r>
    </w:p>
    <w:p>
      <w:pPr>
        <w:spacing w:line="360" w:lineRule="auto"/>
        <w:ind w:firstLine="482"/>
        <w:rPr>
          <w:rFonts w:hint="default" w:ascii="Times New Roman" w:hAnsi="Times New Roman" w:cs="Times New Roman"/>
          <w:color w:val="000000"/>
          <w:sz w:val="24"/>
          <w:szCs w:val="24"/>
        </w:rPr>
      </w:pPr>
      <w:r>
        <w:rPr>
          <w:rFonts w:hint="default" w:ascii="Times New Roman" w:hAnsi="Times New Roman" w:cs="Times New Roman"/>
          <w:b/>
          <w:color w:val="000000"/>
          <w:sz w:val="24"/>
          <w:szCs w:val="24"/>
        </w:rPr>
        <w:t>固体废物：</w:t>
      </w:r>
      <w:r>
        <w:rPr>
          <w:rFonts w:hint="default" w:ascii="Times New Roman" w:hAnsi="Times New Roman" w:cs="Times New Roman"/>
          <w:color w:val="000000"/>
          <w:sz w:val="24"/>
          <w:szCs w:val="24"/>
        </w:rPr>
        <w:t>生活垃圾桶内衬塑料袋收集后送入附近生活垃圾收集点；建筑垃圾收集后送入政府指定建筑垃圾堆场进行堆放；开挖土方全部用于场地回填和场地平整，不外排。</w:t>
      </w:r>
    </w:p>
    <w:p>
      <w:pPr>
        <w:autoSpaceDE w:val="0"/>
        <w:autoSpaceDN w:val="0"/>
        <w:adjustRightInd w:val="0"/>
        <w:spacing w:line="360" w:lineRule="auto"/>
        <w:ind w:firstLine="600" w:firstLineChars="250"/>
        <w:rPr>
          <w:rFonts w:hint="default" w:ascii="Times New Roman" w:hAnsi="Times New Roman" w:cs="Times New Roman"/>
          <w:b/>
          <w:kern w:val="0"/>
          <w:sz w:val="24"/>
          <w:szCs w:val="24"/>
        </w:rPr>
      </w:pPr>
      <w:r>
        <w:rPr>
          <w:rFonts w:hint="default" w:ascii="Times New Roman" w:hAnsi="Times New Roman" w:cs="Times New Roman"/>
          <w:color w:val="000000"/>
          <w:kern w:val="0"/>
          <w:sz w:val="24"/>
          <w:szCs w:val="24"/>
        </w:rPr>
        <w:t>施工期产生的污染物随施工的结束而停止，做好相应防治措施对周边环境影响较小。</w:t>
      </w:r>
    </w:p>
    <w:p>
      <w:pPr>
        <w:autoSpaceDE w:val="0"/>
        <w:autoSpaceDN w:val="0"/>
        <w:adjustRightInd w:val="0"/>
        <w:spacing w:line="360" w:lineRule="auto"/>
        <w:ind w:firstLine="602" w:firstLineChars="250"/>
        <w:rPr>
          <w:rFonts w:hint="default" w:ascii="Times New Roman" w:hAnsi="Times New Roman" w:cs="Times New Roman"/>
          <w:kern w:val="0"/>
          <w:sz w:val="24"/>
          <w:szCs w:val="24"/>
        </w:rPr>
      </w:pPr>
      <w:r>
        <w:rPr>
          <w:rFonts w:hint="default" w:ascii="Times New Roman" w:hAnsi="Times New Roman" w:cs="Times New Roman"/>
          <w:b/>
          <w:kern w:val="0"/>
          <w:sz w:val="24"/>
          <w:szCs w:val="24"/>
        </w:rPr>
        <w:t>2、运营期</w:t>
      </w:r>
    </w:p>
    <w:p>
      <w:pPr>
        <w:autoSpaceDE w:val="0"/>
        <w:autoSpaceDN w:val="0"/>
        <w:adjustRightInd w:val="0"/>
        <w:spacing w:line="360" w:lineRule="auto"/>
        <w:ind w:firstLine="482" w:firstLineChars="200"/>
        <w:rPr>
          <w:rFonts w:hint="default" w:ascii="Times New Roman" w:hAnsi="Times New Roman" w:cs="Times New Roman"/>
          <w:b/>
          <w:color w:val="000000"/>
          <w:kern w:val="0"/>
          <w:sz w:val="24"/>
          <w:szCs w:val="24"/>
        </w:rPr>
      </w:pPr>
      <w:r>
        <w:rPr>
          <w:rFonts w:hint="default" w:ascii="Times New Roman" w:hAnsi="Times New Roman" w:cs="Times New Roman"/>
          <w:b/>
          <w:color w:val="000000"/>
          <w:kern w:val="0"/>
          <w:sz w:val="24"/>
          <w:szCs w:val="24"/>
        </w:rPr>
        <w:t>（1）大气环境影响分析</w:t>
      </w:r>
    </w:p>
    <w:p>
      <w:pPr>
        <w:autoSpaceDE w:val="0"/>
        <w:autoSpaceDN w:val="0"/>
        <w:adjustRightInd w:val="0"/>
        <w:spacing w:line="360" w:lineRule="auto"/>
        <w:ind w:firstLine="480"/>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本项目废气主要来自养殖区、粪污处理区域产生的恶臭，备用发电机烟气、餐饮油烟、厨房燃料燃烧废等。</w:t>
      </w:r>
      <w:r>
        <w:rPr>
          <w:rFonts w:hint="eastAsia" w:ascii="Times New Roman" w:hAnsi="Times New Roman" w:cs="Times New Roman"/>
          <w:color w:val="000000"/>
          <w:kern w:val="0"/>
          <w:sz w:val="24"/>
          <w:szCs w:val="24"/>
          <w:lang w:eastAsia="zh-CN"/>
        </w:rPr>
        <w:t>项目采用</w:t>
      </w:r>
      <w:r>
        <w:rPr>
          <w:rFonts w:hint="default" w:ascii="Times New Roman" w:hAnsi="Times New Roman" w:cs="Times New Roman"/>
          <w:color w:val="000000"/>
          <w:kern w:val="0"/>
          <w:sz w:val="24"/>
          <w:szCs w:val="24"/>
        </w:rPr>
        <w:t>干清粪工艺，将粪便、尿液及时清理处理</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lang w:eastAsia="zh-CN"/>
        </w:rPr>
        <w:t>污水处理站、</w:t>
      </w:r>
      <w:r>
        <w:rPr>
          <w:rFonts w:hint="eastAsia" w:ascii="Times New Roman" w:hAnsi="Times New Roman" w:cs="Times New Roman"/>
          <w:color w:val="000000"/>
          <w:kern w:val="0"/>
          <w:sz w:val="24"/>
          <w:szCs w:val="24"/>
          <w:lang w:eastAsia="zh-CN"/>
        </w:rPr>
        <w:t>猪粪暂存间</w:t>
      </w:r>
      <w:r>
        <w:rPr>
          <w:rFonts w:hint="default" w:ascii="Times New Roman" w:hAnsi="Times New Roman" w:cs="Times New Roman"/>
          <w:color w:val="000000"/>
          <w:kern w:val="0"/>
          <w:sz w:val="24"/>
          <w:szCs w:val="24"/>
        </w:rPr>
        <w:t>设置恶臭加盖收集系统或抽风收集系统，臭气经收集后</w:t>
      </w:r>
      <w:r>
        <w:rPr>
          <w:rFonts w:hint="default" w:ascii="Times New Roman" w:hAnsi="Times New Roman" w:cs="Times New Roman"/>
          <w:color w:val="000000"/>
          <w:kern w:val="0"/>
          <w:sz w:val="24"/>
          <w:szCs w:val="24"/>
          <w:lang w:eastAsia="zh-CN"/>
        </w:rPr>
        <w:t>通过生物除臭系统处理后</w:t>
      </w:r>
      <w:r>
        <w:rPr>
          <w:rFonts w:hint="default" w:ascii="Times New Roman" w:hAnsi="Times New Roman" w:cs="Times New Roman"/>
          <w:color w:val="000000"/>
          <w:kern w:val="0"/>
          <w:sz w:val="24"/>
          <w:szCs w:val="24"/>
        </w:rPr>
        <w:t>经15m高排气筒排放；将猪粪便及时清运，科学设计日粮，提高饲料利用率，合理使用饲料添加剂，加强猪舍通风，定期对排尿沟等处设专人消毒，定期进行杀虫灭蝇工作，加强场区绿化、设置卫生防护距离</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备用发电机带净化器，采用清洁能源，废气产生频次低，产生量小，无组织间歇定排放对环境影响较小；餐饮油烟通过抽油烟机1台+引致屋顶排气筒进行处理；厨房燃料为清洁能源，产生量较小，间歇定无组织排放对环境影响较小。</w:t>
      </w:r>
    </w:p>
    <w:p>
      <w:pPr>
        <w:autoSpaceDE w:val="0"/>
        <w:autoSpaceDN w:val="0"/>
        <w:adjustRightInd w:val="0"/>
        <w:spacing w:line="360" w:lineRule="auto"/>
        <w:ind w:firstLine="480"/>
        <w:rPr>
          <w:rFonts w:hint="default" w:ascii="Times New Roman" w:hAnsi="Times New Roman" w:cs="Times New Roman"/>
          <w:b/>
          <w:color w:val="000000"/>
          <w:kern w:val="0"/>
          <w:sz w:val="24"/>
          <w:szCs w:val="24"/>
        </w:rPr>
      </w:pPr>
      <w:r>
        <w:rPr>
          <w:rFonts w:hint="default" w:ascii="Times New Roman" w:hAnsi="Times New Roman" w:cs="Times New Roman"/>
          <w:b/>
          <w:color w:val="000000"/>
          <w:kern w:val="0"/>
          <w:sz w:val="24"/>
          <w:szCs w:val="24"/>
        </w:rPr>
        <w:t>（2）地表水影响分析</w:t>
      </w:r>
    </w:p>
    <w:p>
      <w:pPr>
        <w:autoSpaceDE w:val="0"/>
        <w:autoSpaceDN w:val="0"/>
        <w:adjustRightInd w:val="0"/>
        <w:spacing w:line="360" w:lineRule="auto"/>
        <w:ind w:firstLine="480"/>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项目采用雨污分流。餐饮废水经隔油池预处理后同生活污水、养殖废水一起排入污水处理设施处理达</w:t>
      </w:r>
      <w:r>
        <w:rPr>
          <w:rFonts w:hint="default" w:ascii="Times New Roman" w:hAnsi="Times New Roman" w:cs="Times New Roman"/>
          <w:sz w:val="24"/>
          <w:szCs w:val="24"/>
        </w:rPr>
        <w:t>《农田灌溉水质标准》（GB5084-2005）旱作标准后用于土地施肥使用</w:t>
      </w:r>
      <w:r>
        <w:rPr>
          <w:rFonts w:hint="default" w:ascii="Times New Roman" w:hAnsi="Times New Roman" w:cs="Times New Roman"/>
          <w:color w:val="000000"/>
          <w:kern w:val="0"/>
          <w:sz w:val="24"/>
          <w:szCs w:val="24"/>
        </w:rPr>
        <w:t>；水帘降温系统冷却水通过循环池收集后循环使用，不外排。项目运营期产生的各类废水经相应处理后，综合利用，不外排，对地表水环境影响较小。</w:t>
      </w:r>
    </w:p>
    <w:p>
      <w:pPr>
        <w:autoSpaceDE w:val="0"/>
        <w:autoSpaceDN w:val="0"/>
        <w:adjustRightInd w:val="0"/>
        <w:spacing w:line="360" w:lineRule="auto"/>
        <w:ind w:firstLine="480"/>
        <w:rPr>
          <w:rFonts w:hint="default" w:ascii="Times New Roman" w:hAnsi="Times New Roman" w:cs="Times New Roman"/>
          <w:b/>
          <w:color w:val="000000"/>
          <w:kern w:val="0"/>
          <w:sz w:val="24"/>
          <w:szCs w:val="24"/>
        </w:rPr>
      </w:pPr>
      <w:r>
        <w:rPr>
          <w:rFonts w:hint="default" w:ascii="Times New Roman" w:hAnsi="Times New Roman" w:cs="Times New Roman"/>
          <w:b/>
          <w:color w:val="000000"/>
          <w:kern w:val="0"/>
          <w:sz w:val="24"/>
          <w:szCs w:val="24"/>
        </w:rPr>
        <w:t>（3）声环境影响分析</w:t>
      </w:r>
    </w:p>
    <w:p>
      <w:pPr>
        <w:autoSpaceDE w:val="0"/>
        <w:autoSpaceDN w:val="0"/>
        <w:adjustRightInd w:val="0"/>
        <w:spacing w:line="360" w:lineRule="auto"/>
        <w:ind w:firstLine="480"/>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项目运营期噪声主要来源于设备噪声以及猪只叫声。设备噪声通过</w:t>
      </w:r>
      <w:r>
        <w:rPr>
          <w:rFonts w:hint="default" w:ascii="Times New Roman" w:hAnsi="Times New Roman" w:cs="Times New Roman"/>
          <w:color w:val="000000"/>
          <w:sz w:val="24"/>
          <w:szCs w:val="24"/>
        </w:rPr>
        <w:t>加强管理，合理布局，采用低噪声设备，采取相应降噪、减震措施进行处理。猪只叫声通过加强管理，按时喂食，建筑物隔声进行处理。</w:t>
      </w:r>
      <w:r>
        <w:rPr>
          <w:rFonts w:hint="default" w:ascii="Times New Roman" w:hAnsi="Times New Roman" w:cs="Times New Roman"/>
          <w:kern w:val="0"/>
          <w:sz w:val="24"/>
          <w:szCs w:val="24"/>
        </w:rPr>
        <w:t>根据预测</w:t>
      </w:r>
      <w:r>
        <w:rPr>
          <w:rFonts w:hint="default" w:ascii="Times New Roman" w:hAnsi="Times New Roman" w:cs="Times New Roman"/>
          <w:color w:val="000000"/>
          <w:kern w:val="0"/>
          <w:sz w:val="24"/>
          <w:szCs w:val="24"/>
        </w:rPr>
        <w:t>噪声排放可以达到</w:t>
      </w:r>
      <w:r>
        <w:rPr>
          <w:rFonts w:hint="default" w:ascii="Times New Roman" w:hAnsi="Times New Roman" w:cs="Times New Roman"/>
          <w:color w:val="000000"/>
          <w:sz w:val="24"/>
          <w:szCs w:val="24"/>
        </w:rPr>
        <w:t>《工业企业厂界环境噪声排放标准》（GB12348-2008）</w:t>
      </w:r>
      <w:r>
        <w:rPr>
          <w:rFonts w:hint="default" w:ascii="Times New Roman" w:hAnsi="Times New Roman" w:cs="Times New Roman"/>
          <w:color w:val="000000"/>
          <w:kern w:val="0"/>
          <w:sz w:val="24"/>
          <w:szCs w:val="24"/>
        </w:rPr>
        <w:t>2类标准。</w:t>
      </w:r>
    </w:p>
    <w:p>
      <w:pPr>
        <w:autoSpaceDE w:val="0"/>
        <w:autoSpaceDN w:val="0"/>
        <w:adjustRightInd w:val="0"/>
        <w:spacing w:line="360" w:lineRule="auto"/>
        <w:ind w:firstLine="480"/>
        <w:rPr>
          <w:rFonts w:hint="default" w:ascii="Times New Roman" w:hAnsi="Times New Roman" w:cs="Times New Roman"/>
          <w:b/>
          <w:color w:val="000000"/>
          <w:kern w:val="0"/>
          <w:sz w:val="24"/>
          <w:szCs w:val="24"/>
        </w:rPr>
      </w:pPr>
      <w:r>
        <w:rPr>
          <w:rFonts w:hint="default" w:ascii="Times New Roman" w:hAnsi="Times New Roman" w:cs="Times New Roman"/>
          <w:b/>
          <w:color w:val="000000"/>
          <w:kern w:val="0"/>
          <w:sz w:val="24"/>
          <w:szCs w:val="24"/>
        </w:rPr>
        <w:t>（4）固体废弃物的影响分析</w:t>
      </w:r>
    </w:p>
    <w:p>
      <w:pPr>
        <w:spacing w:line="360" w:lineRule="auto"/>
        <w:ind w:firstLine="480" w:firstLineChars="200"/>
        <w:rPr>
          <w:rFonts w:hint="default" w:ascii="Times New Roman" w:hAnsi="Times New Roman" w:cs="Times New Roman"/>
          <w:b/>
          <w:bCs/>
          <w:sz w:val="24"/>
          <w:szCs w:val="24"/>
        </w:rPr>
      </w:pPr>
      <w:r>
        <w:rPr>
          <w:rFonts w:hint="default" w:ascii="Times New Roman" w:hAnsi="Times New Roman" w:cs="Times New Roman"/>
          <w:color w:val="000000"/>
          <w:kern w:val="0"/>
          <w:sz w:val="24"/>
          <w:szCs w:val="24"/>
        </w:rPr>
        <w:t>猪粪及污水处理设施栅渣和污泥全部外售给夹江县果香四季家庭农场用于制作有机肥</w:t>
      </w:r>
      <w:r>
        <w:rPr>
          <w:rFonts w:hint="default" w:ascii="Times New Roman" w:hAnsi="Times New Roman" w:cs="Times New Roman"/>
          <w:color w:val="000000"/>
          <w:sz w:val="24"/>
          <w:szCs w:val="24"/>
        </w:rPr>
        <w:t>；病死猪委托成都科农动物无害化处置有限公司统一收集处理；生活垃圾采用垃圾桶收集，送至</w:t>
      </w:r>
      <w:r>
        <w:rPr>
          <w:rFonts w:hint="default" w:ascii="Times New Roman" w:hAnsi="Times New Roman" w:cs="Times New Roman"/>
          <w:color w:val="000000"/>
          <w:kern w:val="0"/>
          <w:sz w:val="24"/>
          <w:szCs w:val="24"/>
        </w:rPr>
        <w:t>乡镇垃圾收集点，交由当地环卫部门统一清运处理；废饲料袋</w:t>
      </w:r>
      <w:r>
        <w:rPr>
          <w:rFonts w:hint="default" w:ascii="Times New Roman" w:hAnsi="Times New Roman" w:cs="Times New Roman"/>
          <w:color w:val="000000"/>
          <w:sz w:val="24"/>
          <w:szCs w:val="24"/>
        </w:rPr>
        <w:t>用于盛装粪污；医疗废物单独收集，设置危废暂存间1间5m</w:t>
      </w:r>
      <w:r>
        <w:rPr>
          <w:rFonts w:hint="default" w:ascii="Times New Roman" w:hAnsi="Times New Roman" w:cs="Times New Roman"/>
          <w:color w:val="000000"/>
          <w:sz w:val="24"/>
          <w:szCs w:val="24"/>
          <w:vertAlign w:val="superscript"/>
        </w:rPr>
        <w:t>2</w:t>
      </w:r>
      <w:r>
        <w:rPr>
          <w:rFonts w:hint="default" w:ascii="Times New Roman" w:hAnsi="Times New Roman" w:cs="Times New Roman"/>
          <w:color w:val="000000"/>
          <w:sz w:val="24"/>
          <w:szCs w:val="24"/>
        </w:rPr>
        <w:t>，收集暂存医疗废物定期交资质单位处理，签订协议并设立台账；</w:t>
      </w:r>
      <w:r>
        <w:rPr>
          <w:rFonts w:hint="default" w:ascii="Times New Roman" w:hAnsi="Times New Roman" w:cs="Times New Roman"/>
          <w:sz w:val="24"/>
          <w:szCs w:val="24"/>
        </w:rPr>
        <w:t>沼气脱硫装置中失去活性的废脱硫剂由生产厂家统一回收处置。</w:t>
      </w:r>
    </w:p>
    <w:p>
      <w:pPr>
        <w:autoSpaceDE w:val="0"/>
        <w:autoSpaceDN w:val="0"/>
        <w:adjustRightInd w:val="0"/>
        <w:spacing w:line="360" w:lineRule="auto"/>
        <w:ind w:firstLine="480"/>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在采取上述预防措施和办法后，各类固废可得到合理有效的处理和处置，其产生的固体废弃物不会对周围环境造成二次污染。</w:t>
      </w:r>
    </w:p>
    <w:p>
      <w:pPr>
        <w:autoSpaceDE w:val="0"/>
        <w:autoSpaceDN w:val="0"/>
        <w:adjustRightInd w:val="0"/>
        <w:spacing w:line="360" w:lineRule="auto"/>
        <w:ind w:firstLine="480"/>
        <w:rPr>
          <w:rFonts w:hint="default" w:ascii="Times New Roman" w:hAnsi="Times New Roman" w:cs="Times New Roman"/>
          <w:b/>
          <w:color w:val="000000"/>
          <w:kern w:val="0"/>
          <w:sz w:val="24"/>
          <w:szCs w:val="24"/>
        </w:rPr>
      </w:pPr>
      <w:r>
        <w:rPr>
          <w:rFonts w:hint="default" w:ascii="Times New Roman" w:hAnsi="Times New Roman" w:cs="Times New Roman"/>
          <w:b/>
          <w:color w:val="000000"/>
          <w:kern w:val="0"/>
          <w:sz w:val="24"/>
          <w:szCs w:val="24"/>
        </w:rPr>
        <w:t>（5）地下水</w:t>
      </w:r>
    </w:p>
    <w:p>
      <w:pPr>
        <w:autoSpaceDE w:val="0"/>
        <w:autoSpaceDN w:val="0"/>
        <w:adjustRightInd w:val="0"/>
        <w:spacing w:line="360" w:lineRule="auto"/>
        <w:ind w:firstLine="480"/>
        <w:rPr>
          <w:rFonts w:hint="default" w:ascii="Times New Roman" w:hAnsi="Times New Roman" w:cs="Times New Roman"/>
          <w:b/>
          <w:sz w:val="24"/>
          <w:szCs w:val="24"/>
        </w:rPr>
      </w:pPr>
      <w:r>
        <w:rPr>
          <w:rFonts w:hint="default" w:ascii="Times New Roman" w:hAnsi="Times New Roman" w:cs="Times New Roman"/>
          <w:sz w:val="24"/>
          <w:szCs w:val="24"/>
        </w:rPr>
        <w:t xml:space="preserve"> </w:t>
      </w:r>
      <w:r>
        <w:rPr>
          <w:rFonts w:hint="default" w:ascii="Times New Roman" w:hAnsi="Times New Roman" w:cs="Times New Roman"/>
          <w:color w:val="000000"/>
          <w:kern w:val="0"/>
          <w:sz w:val="24"/>
          <w:szCs w:val="24"/>
        </w:rPr>
        <w:t>对场区进行分区防渗。重点防渗区：备用柴油发电机储油间和医疗废物暂存间；一般防渗区：猪舍、污水处理工艺各池体、各粪污管网；简单防渗：办公及仓储（水泥硬化）；非防渗区：绿化或未利用土地。采取上述措施，可降低地下水污染事故。</w:t>
      </w:r>
    </w:p>
    <w:p>
      <w:pPr>
        <w:spacing w:line="360" w:lineRule="auto"/>
        <w:ind w:firstLine="482" w:firstLineChars="200"/>
        <w:outlineLvl w:val="2"/>
        <w:rPr>
          <w:rFonts w:hint="default" w:ascii="Times New Roman" w:hAnsi="Times New Roman" w:cs="Times New Roman"/>
          <w:b/>
          <w:bCs/>
          <w:sz w:val="24"/>
          <w:szCs w:val="24"/>
        </w:rPr>
      </w:pPr>
      <w:bookmarkStart w:id="475" w:name="_Toc255920918"/>
      <w:bookmarkStart w:id="476" w:name="_Toc251954962"/>
      <w:bookmarkStart w:id="477" w:name="_Toc258073779"/>
      <w:bookmarkStart w:id="478" w:name="_Toc258073423"/>
      <w:bookmarkStart w:id="479" w:name="_Toc258072390"/>
      <w:bookmarkStart w:id="480" w:name="_Toc258073601"/>
      <w:bookmarkStart w:id="481" w:name="_Toc258071969"/>
      <w:r>
        <w:rPr>
          <w:rFonts w:hint="default" w:ascii="Times New Roman" w:hAnsi="Times New Roman" w:cs="Times New Roman"/>
          <w:b/>
          <w:bCs/>
          <w:sz w:val="24"/>
          <w:szCs w:val="24"/>
        </w:rPr>
        <w:t>11.1.6环境影响经济损益分析</w:t>
      </w:r>
    </w:p>
    <w:p>
      <w:pPr>
        <w:spacing w:line="360" w:lineRule="auto"/>
        <w:rPr>
          <w:rFonts w:hint="default" w:ascii="Times New Roman" w:hAnsi="Times New Roman" w:cs="Times New Roman"/>
          <w:b/>
          <w:bCs/>
          <w:color w:val="000000"/>
          <w:spacing w:val="10"/>
          <w:sz w:val="24"/>
          <w:szCs w:val="24"/>
        </w:rPr>
      </w:pPr>
      <w:r>
        <w:rPr>
          <w:rFonts w:hint="default" w:ascii="Times New Roman" w:hAnsi="Times New Roman" w:cs="Times New Roman"/>
          <w:b/>
          <w:bCs/>
          <w:spacing w:val="10"/>
          <w:sz w:val="24"/>
          <w:szCs w:val="24"/>
        </w:rPr>
        <w:t xml:space="preserve"> </w:t>
      </w:r>
      <w:r>
        <w:rPr>
          <w:rFonts w:hint="default" w:ascii="Times New Roman" w:hAnsi="Times New Roman" w:cs="Times New Roman"/>
          <w:b/>
          <w:bCs/>
          <w:color w:val="FF0000"/>
          <w:spacing w:val="10"/>
          <w:sz w:val="24"/>
          <w:szCs w:val="24"/>
        </w:rPr>
        <w:t xml:space="preserve"> </w:t>
      </w:r>
      <w:r>
        <w:rPr>
          <w:rFonts w:hint="default" w:ascii="Times New Roman" w:hAnsi="Times New Roman" w:cs="Times New Roman"/>
          <w:b/>
          <w:bCs/>
          <w:color w:val="000000"/>
          <w:spacing w:val="10"/>
          <w:sz w:val="24"/>
          <w:szCs w:val="24"/>
        </w:rPr>
        <w:t xml:space="preserve">  </w:t>
      </w:r>
      <w:r>
        <w:rPr>
          <w:rFonts w:hint="default" w:ascii="Times New Roman" w:hAnsi="Times New Roman" w:cs="Times New Roman"/>
          <w:color w:val="000000"/>
          <w:kern w:val="0"/>
          <w:sz w:val="24"/>
          <w:szCs w:val="24"/>
        </w:rPr>
        <w:t>本项目环保投资总计为168.5万元，占项目总投资4800万元的3.51%。环保措施技术经济分析结果表明：工程的废水处理方案合理、技术可靠、经济可行、处理效率高；废气、噪声、固废治理方案都是一些通用、成熟的方法。所选的环保治理方案切实可行。</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11.1.7环境管理与监测计划</w:t>
      </w:r>
    </w:p>
    <w:p>
      <w:pPr>
        <w:spacing w:line="360" w:lineRule="auto"/>
        <w:ind w:firstLine="57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运营后，必须贯彻执行国家有关方针、政策、法律和法规，必须有人专管环保工作，特别注意养殖废水、猪粪、病死猪、医疗废物的监督管理，保证合理处置和达标处理，满足环保要求。营运期对重点污染源应进行监测，可委托当地有资质的环境监</w:t>
      </w:r>
      <w:bookmarkStart w:id="482" w:name="bookmark56"/>
      <w:bookmarkEnd w:id="482"/>
      <w:r>
        <w:rPr>
          <w:rFonts w:hint="default" w:ascii="Times New Roman" w:hAnsi="Times New Roman" w:cs="Times New Roman"/>
          <w:color w:val="000000"/>
          <w:sz w:val="24"/>
          <w:szCs w:val="24"/>
        </w:rPr>
        <w:t>测站进行。在拟建工程建成后进行环境保护竣工验收。</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11.1.8环境风险结论</w:t>
      </w:r>
    </w:p>
    <w:p>
      <w:pPr>
        <w:spacing w:line="360" w:lineRule="auto"/>
        <w:rPr>
          <w:rFonts w:hint="default" w:ascii="Times New Roman" w:hAnsi="Times New Roman" w:cs="Times New Roman"/>
          <w:b/>
          <w:bCs/>
          <w:spacing w:val="10"/>
          <w:sz w:val="24"/>
          <w:szCs w:val="24"/>
        </w:rPr>
      </w:pPr>
      <w:r>
        <w:rPr>
          <w:rFonts w:hint="default" w:ascii="Times New Roman" w:hAnsi="Times New Roman" w:cs="Times New Roman"/>
          <w:b/>
          <w:bCs/>
          <w:spacing w:val="10"/>
          <w:sz w:val="24"/>
          <w:szCs w:val="24"/>
        </w:rPr>
        <w:t xml:space="preserve">    </w:t>
      </w:r>
      <w:r>
        <w:rPr>
          <w:rFonts w:hint="default" w:ascii="Times New Roman" w:hAnsi="Times New Roman" w:cs="Times New Roman"/>
          <w:bCs/>
          <w:spacing w:val="10"/>
          <w:sz w:val="24"/>
          <w:szCs w:val="24"/>
        </w:rPr>
        <w:t>项目产生危险废物包含储存柴油、沼气、污水事故性排放风险等。通过分区防渗、加强管理、及时消毒、设置应急设施等方式可降低环境风险事故的概率。项目应加强危险废物风险防范，专人管理，定期检查危险废物分类收集和暂存情况以及记录台账等，切实防范危险废物处理处置造成的环境风险。</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11.1.9 清洁生产</w:t>
      </w:r>
      <w:bookmarkEnd w:id="475"/>
      <w:bookmarkEnd w:id="476"/>
      <w:bookmarkEnd w:id="477"/>
      <w:bookmarkEnd w:id="478"/>
      <w:bookmarkEnd w:id="479"/>
      <w:bookmarkEnd w:id="480"/>
      <w:bookmarkEnd w:id="481"/>
    </w:p>
    <w:p>
      <w:pPr>
        <w:autoSpaceDE w:val="0"/>
        <w:autoSpaceDN w:val="0"/>
        <w:adjustRightInd w:val="0"/>
        <w:spacing w:line="360" w:lineRule="auto"/>
        <w:ind w:firstLine="480"/>
        <w:rPr>
          <w:rFonts w:hint="default" w:ascii="Times New Roman" w:hAnsi="Times New Roman" w:cs="Times New Roman"/>
          <w:kern w:val="0"/>
          <w:sz w:val="24"/>
          <w:szCs w:val="24"/>
        </w:rPr>
      </w:pPr>
      <w:r>
        <w:rPr>
          <w:rFonts w:hint="default" w:ascii="Times New Roman" w:hAnsi="Times New Roman" w:cs="Times New Roman"/>
          <w:kern w:val="0"/>
          <w:sz w:val="24"/>
          <w:szCs w:val="24"/>
        </w:rPr>
        <w:t>本项目运行期间产生的污染物均得到了合理有效的处理和处置，实现了达标排放，水、电能源利用率高，采用的各种设备及污水处理工艺、设备先进。随运营期产生的污染物均采取了有效的控制和治理。</w:t>
      </w:r>
    </w:p>
    <w:p>
      <w:pPr>
        <w:spacing w:line="360" w:lineRule="auto"/>
        <w:ind w:firstLine="480" w:firstLineChars="200"/>
        <w:rPr>
          <w:rFonts w:hint="default" w:ascii="Times New Roman" w:hAnsi="Times New Roman" w:cs="Times New Roman"/>
          <w:b/>
          <w:bCs/>
          <w:spacing w:val="10"/>
          <w:sz w:val="24"/>
          <w:szCs w:val="24"/>
        </w:rPr>
      </w:pPr>
      <w:r>
        <w:rPr>
          <w:rFonts w:hint="default" w:ascii="Times New Roman" w:hAnsi="Times New Roman" w:cs="Times New Roman"/>
          <w:kern w:val="0"/>
          <w:sz w:val="24"/>
          <w:szCs w:val="24"/>
        </w:rPr>
        <w:t>评价认为，本项目贯彻了清洁生产的原则。</w:t>
      </w:r>
    </w:p>
    <w:p>
      <w:pPr>
        <w:spacing w:line="360" w:lineRule="auto"/>
        <w:ind w:firstLine="482" w:firstLineChars="200"/>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11.1.10总量控制</w:t>
      </w:r>
    </w:p>
    <w:p>
      <w:pPr>
        <w:pStyle w:val="12"/>
        <w:spacing w:after="0" w:line="360" w:lineRule="auto"/>
        <w:ind w:firstLine="480"/>
        <w:jc w:val="left"/>
        <w:rPr>
          <w:rFonts w:hint="default" w:ascii="Times New Roman" w:hAnsi="Times New Roman" w:cs="Times New Roman"/>
          <w:sz w:val="24"/>
          <w:szCs w:val="24"/>
        </w:rPr>
      </w:pPr>
      <w:bookmarkStart w:id="483" w:name="_Toc255920922"/>
      <w:bookmarkStart w:id="484" w:name="_Toc258072394"/>
      <w:bookmarkStart w:id="485" w:name="_Toc251954966"/>
      <w:bookmarkStart w:id="486" w:name="_Toc258073427"/>
      <w:bookmarkStart w:id="487" w:name="_Toc528252145"/>
      <w:bookmarkStart w:id="488" w:name="_Toc258071973"/>
      <w:bookmarkStart w:id="489" w:name="_Toc258073605"/>
      <w:bookmarkStart w:id="490" w:name="_Toc258073783"/>
      <w:r>
        <w:rPr>
          <w:rFonts w:hint="default" w:ascii="Times New Roman" w:hAnsi="Times New Roman" w:cs="Times New Roman"/>
          <w:sz w:val="24"/>
        </w:rPr>
        <w:t>本项目为养殖类项目，营运期间场内不涉及饲料加工，不涉及国控大气污染总量控制指标SO</w:t>
      </w:r>
      <w:r>
        <w:rPr>
          <w:rFonts w:hint="default" w:ascii="Times New Roman" w:hAnsi="Times New Roman" w:cs="Times New Roman"/>
          <w:sz w:val="24"/>
          <w:vertAlign w:val="subscript"/>
        </w:rPr>
        <w:t>2</w:t>
      </w:r>
      <w:r>
        <w:rPr>
          <w:rFonts w:hint="default" w:ascii="Times New Roman" w:hAnsi="Times New Roman" w:cs="Times New Roman"/>
          <w:sz w:val="24"/>
        </w:rPr>
        <w:t>、NO</w:t>
      </w:r>
      <w:r>
        <w:rPr>
          <w:rFonts w:hint="default" w:ascii="Times New Roman" w:hAnsi="Times New Roman" w:cs="Times New Roman"/>
          <w:sz w:val="24"/>
          <w:vertAlign w:val="subscript"/>
        </w:rPr>
        <w:t>x</w:t>
      </w:r>
      <w:r>
        <w:rPr>
          <w:rFonts w:hint="default" w:ascii="Times New Roman" w:hAnsi="Times New Roman" w:cs="Times New Roman"/>
          <w:sz w:val="24"/>
        </w:rPr>
        <w:t>的排放；项目营运期员工生活污水、养殖粪污及废水等经收集后经污水处理设施处理达《农田灌溉水质标准》（GB5084-2005）旱作标准后用于耕地灌溉，因此本项目废水可以做到综合利用不外排。不涉及国控水污染总量控制指标COD、NH</w:t>
      </w:r>
      <w:r>
        <w:rPr>
          <w:rFonts w:hint="default" w:ascii="Times New Roman" w:hAnsi="Times New Roman" w:cs="Times New Roman"/>
          <w:sz w:val="24"/>
          <w:vertAlign w:val="subscript"/>
        </w:rPr>
        <w:t>3</w:t>
      </w:r>
      <w:r>
        <w:rPr>
          <w:rFonts w:hint="default" w:ascii="Times New Roman" w:hAnsi="Times New Roman" w:cs="Times New Roman"/>
          <w:sz w:val="24"/>
        </w:rPr>
        <w:t>-N的排放</w:t>
      </w:r>
      <w:r>
        <w:rPr>
          <w:rFonts w:hint="default" w:ascii="Times New Roman" w:hAnsi="Times New Roman" w:cs="Times New Roman"/>
          <w:sz w:val="24"/>
          <w:szCs w:val="24"/>
        </w:rPr>
        <w:t>。</w:t>
      </w:r>
    </w:p>
    <w:p>
      <w:pPr>
        <w:pStyle w:val="12"/>
        <w:spacing w:after="0" w:line="360" w:lineRule="auto"/>
        <w:jc w:val="left"/>
        <w:outlineLvl w:val="1"/>
        <w:rPr>
          <w:rFonts w:hint="default" w:ascii="Times New Roman" w:hAnsi="Times New Roman" w:cs="Times New Roman"/>
          <w:b/>
          <w:snapToGrid w:val="0"/>
          <w:kern w:val="0"/>
          <w:sz w:val="28"/>
          <w:szCs w:val="28"/>
        </w:rPr>
      </w:pPr>
      <w:bookmarkStart w:id="491" w:name="_Toc538"/>
      <w:r>
        <w:rPr>
          <w:rFonts w:hint="default" w:ascii="Times New Roman" w:hAnsi="Times New Roman" w:cs="Times New Roman"/>
          <w:b/>
          <w:snapToGrid w:val="0"/>
          <w:kern w:val="0"/>
          <w:sz w:val="28"/>
          <w:szCs w:val="28"/>
        </w:rPr>
        <w:t>11.2 环境影响评价结论</w:t>
      </w:r>
      <w:bookmarkEnd w:id="483"/>
      <w:bookmarkEnd w:id="484"/>
      <w:bookmarkEnd w:id="485"/>
      <w:bookmarkEnd w:id="486"/>
      <w:bookmarkEnd w:id="487"/>
      <w:bookmarkEnd w:id="488"/>
      <w:bookmarkEnd w:id="489"/>
      <w:bookmarkEnd w:id="490"/>
      <w:bookmarkEnd w:id="491"/>
    </w:p>
    <w:p>
      <w:pPr>
        <w:autoSpaceDE w:val="0"/>
        <w:autoSpaceDN w:val="0"/>
        <w:adjustRightInd w:val="0"/>
        <w:spacing w:line="360" w:lineRule="auto"/>
        <w:ind w:firstLine="482"/>
        <w:jc w:val="left"/>
        <w:rPr>
          <w:rFonts w:hint="default" w:ascii="Times New Roman" w:hAnsi="Times New Roman" w:cs="Times New Roman"/>
          <w:kern w:val="0"/>
          <w:sz w:val="24"/>
          <w:szCs w:val="24"/>
        </w:rPr>
      </w:pPr>
      <w:r>
        <w:rPr>
          <w:rFonts w:hint="default" w:ascii="Times New Roman" w:hAnsi="Times New Roman" w:cs="Times New Roman"/>
          <w:iCs/>
          <w:kern w:val="0"/>
          <w:sz w:val="24"/>
          <w:szCs w:val="24"/>
        </w:rPr>
        <w:t>综上所述，</w:t>
      </w:r>
      <w:r>
        <w:rPr>
          <w:rFonts w:hint="default" w:ascii="Times New Roman" w:hAnsi="Times New Roman" w:cs="Times New Roman"/>
          <w:sz w:val="24"/>
          <w:szCs w:val="24"/>
        </w:rPr>
        <w:t>夹江县旺鑫农牧科技有限公司“新建年出栏14000头生猪养殖场”建设项目</w:t>
      </w:r>
      <w:r>
        <w:rPr>
          <w:rFonts w:hint="default" w:ascii="Times New Roman" w:hAnsi="Times New Roman" w:cs="Times New Roman"/>
          <w:iCs/>
          <w:kern w:val="0"/>
          <w:sz w:val="24"/>
          <w:szCs w:val="24"/>
        </w:rPr>
        <w:t>环境影响报告书</w:t>
      </w:r>
      <w:r>
        <w:rPr>
          <w:rFonts w:hint="default" w:ascii="Times New Roman" w:hAnsi="Times New Roman" w:cs="Times New Roman"/>
          <w:kern w:val="0"/>
          <w:sz w:val="24"/>
          <w:szCs w:val="24"/>
        </w:rPr>
        <w:t>符合国家产业政策和清洁生产要求，项目选址可行，通过认真落实评价所提各项环保治理措施，工程排放的各类污染物对周围环境影响可以接受，可以实现其经济效益、社会效益和环境效益的协调发展。项目方要加强生产过程和设备的管理，确保污染物稳定达标排放，保证环境保护措施的有效运行，从环保角度而言，</w:t>
      </w:r>
      <w:r>
        <w:rPr>
          <w:rFonts w:hint="default" w:ascii="Times New Roman" w:hAnsi="Times New Roman" w:cs="Times New Roman"/>
          <w:sz w:val="24"/>
          <w:szCs w:val="24"/>
        </w:rPr>
        <w:t>夹江县旺鑫农牧科技有限公司</w:t>
      </w:r>
      <w:r>
        <w:rPr>
          <w:rFonts w:hint="default" w:ascii="Times New Roman" w:hAnsi="Times New Roman" w:cs="Times New Roman"/>
          <w:bCs/>
          <w:sz w:val="24"/>
          <w:szCs w:val="24"/>
        </w:rPr>
        <w:t>的“</w:t>
      </w:r>
      <w:r>
        <w:rPr>
          <w:rFonts w:hint="default" w:ascii="Times New Roman" w:hAnsi="Times New Roman" w:cs="Times New Roman"/>
          <w:sz w:val="24"/>
          <w:szCs w:val="24"/>
        </w:rPr>
        <w:t>新建年出栏14000头生猪养殖场”项目</w:t>
      </w:r>
      <w:r>
        <w:rPr>
          <w:rFonts w:hint="default" w:ascii="Times New Roman" w:hAnsi="Times New Roman" w:cs="Times New Roman"/>
          <w:bCs/>
          <w:sz w:val="24"/>
          <w:szCs w:val="24"/>
        </w:rPr>
        <w:t>的建设是可行的。</w:t>
      </w:r>
    </w:p>
    <w:p>
      <w:pPr>
        <w:pStyle w:val="87"/>
        <w:spacing w:line="360" w:lineRule="auto"/>
        <w:rPr>
          <w:rFonts w:hint="default" w:ascii="Times New Roman" w:hAnsi="Times New Roman" w:eastAsia="宋体" w:cs="Times New Roman"/>
          <w:b/>
          <w:snapToGrid w:val="0"/>
          <w:kern w:val="0"/>
          <w:sz w:val="28"/>
          <w:szCs w:val="28"/>
        </w:rPr>
      </w:pPr>
      <w:bookmarkStart w:id="492" w:name="_Toc258073606"/>
      <w:bookmarkStart w:id="493" w:name="_Toc251954967"/>
      <w:bookmarkStart w:id="494" w:name="_Toc258071974"/>
      <w:bookmarkStart w:id="495" w:name="_Toc258072395"/>
      <w:bookmarkStart w:id="496" w:name="_Toc258073784"/>
      <w:bookmarkStart w:id="497" w:name="_Toc255920923"/>
      <w:bookmarkStart w:id="498" w:name="_Toc258073428"/>
      <w:bookmarkStart w:id="499" w:name="_Toc528252146"/>
      <w:bookmarkStart w:id="500" w:name="_Toc19372"/>
      <w:r>
        <w:rPr>
          <w:rFonts w:hint="default" w:ascii="Times New Roman" w:hAnsi="Times New Roman" w:eastAsia="宋体" w:cs="Times New Roman"/>
          <w:b/>
          <w:snapToGrid w:val="0"/>
          <w:kern w:val="0"/>
          <w:sz w:val="28"/>
          <w:szCs w:val="28"/>
        </w:rPr>
        <w:t xml:space="preserve">11.3 </w:t>
      </w:r>
      <w:bookmarkEnd w:id="492"/>
      <w:bookmarkEnd w:id="493"/>
      <w:bookmarkEnd w:id="494"/>
      <w:bookmarkEnd w:id="495"/>
      <w:bookmarkEnd w:id="496"/>
      <w:bookmarkEnd w:id="497"/>
      <w:bookmarkEnd w:id="498"/>
      <w:r>
        <w:rPr>
          <w:rFonts w:hint="default" w:ascii="Times New Roman" w:hAnsi="Times New Roman" w:eastAsia="宋体" w:cs="Times New Roman"/>
          <w:b/>
          <w:snapToGrid w:val="0"/>
          <w:kern w:val="0"/>
          <w:sz w:val="28"/>
          <w:szCs w:val="28"/>
        </w:rPr>
        <w:t>环评建议</w:t>
      </w:r>
      <w:bookmarkEnd w:id="499"/>
      <w:bookmarkEnd w:id="500"/>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1、企业应加强环保设施的日常管理、维护，建立健全环保设施的运行管理制度、定期检查制度、设备维护和检修制度。</w:t>
      </w:r>
    </w:p>
    <w:p>
      <w:pPr>
        <w:pStyle w:val="62"/>
        <w:ind w:firstLine="425"/>
        <w:jc w:val="both"/>
        <w:rPr>
          <w:rFonts w:hint="default" w:ascii="Times New Roman" w:hAnsi="Times New Roman" w:cs="Times New Roman"/>
          <w:color w:val="000000"/>
          <w:szCs w:val="24"/>
        </w:rPr>
      </w:pPr>
      <w:r>
        <w:rPr>
          <w:rFonts w:hint="default" w:ascii="Times New Roman" w:hAnsi="Times New Roman" w:cs="Times New Roman"/>
          <w:color w:val="000000"/>
          <w:szCs w:val="24"/>
        </w:rPr>
        <w:t>2、加强养殖场环保设施的日常管理工作，强化环保设施的维修、保养，保证废水处理环保设施正常运转，并加强沼液输送管道及运输车辆的管理，防治沼液泄漏，污染环境。</w:t>
      </w:r>
    </w:p>
    <w:p>
      <w:pPr>
        <w:pStyle w:val="62"/>
        <w:ind w:firstLine="425"/>
        <w:jc w:val="both"/>
        <w:rPr>
          <w:rFonts w:hint="default" w:ascii="Times New Roman" w:hAnsi="Times New Roman" w:cs="Times New Roman"/>
          <w:color w:val="000000"/>
          <w:szCs w:val="24"/>
        </w:rPr>
      </w:pPr>
      <w:r>
        <w:rPr>
          <w:rFonts w:hint="default" w:ascii="Times New Roman" w:hAnsi="Times New Roman" w:cs="Times New Roman"/>
          <w:color w:val="000000"/>
          <w:szCs w:val="24"/>
        </w:rPr>
        <w:t>3、加强场区绿化工作，绿化有利于猪场的防火防疫。种植不小于20米隔离林带，互不交叉，可防止人畜任意往来而引起的疫病传播。</w:t>
      </w:r>
    </w:p>
    <w:p>
      <w:pPr>
        <w:pStyle w:val="62"/>
        <w:ind w:firstLine="425"/>
        <w:jc w:val="both"/>
        <w:rPr>
          <w:rFonts w:hint="default" w:ascii="Times New Roman" w:hAnsi="Times New Roman" w:cs="Times New Roman"/>
          <w:color w:val="000000"/>
          <w:szCs w:val="24"/>
        </w:rPr>
      </w:pPr>
      <w:r>
        <w:rPr>
          <w:rFonts w:hint="default" w:ascii="Times New Roman" w:hAnsi="Times New Roman" w:cs="Times New Roman"/>
          <w:color w:val="000000"/>
          <w:szCs w:val="24"/>
        </w:rPr>
        <w:t>4、项目投产后，在卫生防护距离以内的区域不得修建房屋、学校、医院等敏感点。</w:t>
      </w:r>
    </w:p>
    <w:p>
      <w:pPr>
        <w:pStyle w:val="62"/>
        <w:ind w:firstLine="425"/>
        <w:jc w:val="both"/>
        <w:rPr>
          <w:rFonts w:hint="default" w:ascii="Times New Roman" w:hAnsi="Times New Roman" w:cs="Times New Roman"/>
          <w:color w:val="000000"/>
          <w:szCs w:val="24"/>
        </w:rPr>
      </w:pPr>
      <w:r>
        <w:rPr>
          <w:rFonts w:hint="default" w:ascii="Times New Roman" w:hAnsi="Times New Roman" w:cs="Times New Roman"/>
          <w:color w:val="000000"/>
          <w:szCs w:val="24"/>
        </w:rPr>
        <w:t>5、尽可能多的接收厂区周围农民为本项目工作人员，并对其进行技术培训，提高当地居民的收入。</w:t>
      </w:r>
    </w:p>
    <w:sectPr>
      <w:headerReference r:id="rId16" w:type="default"/>
      <w:footerReference r:id="rId17" w:type="default"/>
      <w:pgSz w:w="11906" w:h="16838"/>
      <w:pgMar w:top="1276" w:right="1134" w:bottom="901" w:left="1276"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default" w:ascii="Times New Roman" w:hAnsi="Times New Roman" w:eastAsia="宋体"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5782"/>
        <w:tab w:val="clear" w:pos="4153"/>
        <w:tab w:val="clear" w:pos="8306"/>
      </w:tabs>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insoku w:val="0"/>
      <w:overflowPunct w:val="0"/>
      <w:spacing w:line="14" w:lineRule="auto"/>
      <w:rPr>
        <w:rFonts w:ascii="Times New Roman"/>
        <w:sz w:val="20"/>
        <w:szCs w:val="20"/>
      </w:rPr>
    </w:pPr>
    <w:r>
      <w:rPr>
        <w:sz w:val="20"/>
      </w:rP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III</w:t>
                </w:r>
                <w:r>
                  <w:rPr>
                    <w:rFonts w:hint="eastAsia"/>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insoku w:val="0"/>
      <w:overflowPunct w:val="0"/>
      <w:spacing w:line="14" w:lineRule="auto"/>
      <w:rPr>
        <w:rFonts w:ascii="Times New Roman"/>
        <w:sz w:val="20"/>
        <w:szCs w:val="20"/>
      </w:rPr>
    </w:pPr>
    <w:r>
      <w:rPr>
        <w:sz w:val="20"/>
      </w:rPr>
      <w:pict>
        <v:shape id="_x0000_s3075" o:spid="_x0000_s307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IV</w:t>
                </w:r>
                <w:r>
                  <w:rPr>
                    <w:rFonts w:hint="eastAsia"/>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imes New Roman" w:hAnsi="Times New Roman"/>
      </w:rPr>
    </w:pPr>
    <w:r>
      <w:rPr>
        <w:sz w:val="18"/>
      </w:rPr>
      <w:pict>
        <v:shape id="_x0000_s3076" o:spid="_x0000_s3076"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8"/>
                  <w:jc w:val="cente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79</w:t>
                </w:r>
                <w:r>
                  <w:rPr>
                    <w:rFonts w:ascii="Times New Roman" w:hAnsi="Times New Roman"/>
                    <w:sz w:val="21"/>
                    <w:szCs w:val="21"/>
                  </w:rPr>
                  <w:fldChar w:fldCharType="end"/>
                </w:r>
              </w:p>
            </w:txbxContent>
          </v:textbox>
        </v:shape>
      </w:pict>
    </w:r>
  </w:p>
  <w:p>
    <w:pPr>
      <w:pStyle w:val="12"/>
      <w:kinsoku w:val="0"/>
      <w:overflowPunct w:val="0"/>
      <w:spacing w:line="14" w:lineRule="auto"/>
      <w:rPr>
        <w:rFonts w:ascii="Times New Roman"/>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文本框 3081" o:spid="_x0000_s3081"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127</w:t>
                </w:r>
                <w:r>
                  <w:rPr>
                    <w:rFonts w:hint="eastAsia"/>
                    <w:sz w:val="18"/>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文本框 3084" o:spid="_x0000_s307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138</w:t>
                </w:r>
                <w:r>
                  <w:rPr>
                    <w:rFonts w:hint="eastAsia"/>
                    <w:sz w:val="18"/>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5782"/>
        <w:tab w:val="clear" w:pos="4153"/>
        <w:tab w:val="clear" w:pos="8306"/>
      </w:tabs>
    </w:pPr>
    <w:r>
      <w:pict>
        <v:shape id="文本框 2052" o:spid="_x0000_s3082" o:spt="202" type="#_x0000_t202" style="position:absolute;left:0pt;margin-top:0pt;height:144pt;width:144pt;mso-position-horizontal:center;mso-position-horizontal-relative:margin;mso-wrap-style:none;z-index:251657216;mso-width-relative:page;mso-height-relative:page;" filled="f" stroked="f" coordsize="21600,21600">
          <v:path/>
          <v:fill on="f" focussize="0,0"/>
          <v:stroke on="f" joinstyle="miter"/>
          <v:imagedata o:title=""/>
          <o:lock v:ext="edit"/>
          <v:textbox inset="0mm,0mm,0mm,0mm" style="mso-fit-shape-to-text:t;">
            <w:txbxContent>
              <w:p>
                <w:pPr>
                  <w:pStyle w:val="18"/>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143</w:t>
                </w:r>
                <w:r>
                  <w:rPr>
                    <w:rFonts w:ascii="Times New Roman" w:hAnsi="Times New Roma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both"/>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double" w:color="auto" w:sz="8" w:space="1"/>
      </w:pBdr>
      <w:jc w:val="both"/>
    </w:pPr>
    <w:r>
      <w:rPr>
        <w:rFonts w:hint="eastAsia"/>
      </w:rPr>
      <w:t>新建年出栏14000头生猪养殖场环境影响报告书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double" w:color="auto" w:sz="8" w:space="1"/>
      </w:pBdr>
      <w:jc w:val="both"/>
      <w:rPr>
        <w:rFonts w:ascii="Times New Roman" w:hAnsi="Times New Roman"/>
        <w:sz w:val="21"/>
        <w:szCs w:val="21"/>
      </w:rPr>
    </w:pPr>
    <w:r>
      <w:rPr>
        <w:rFonts w:ascii="Times New Roman" w:hAnsi="Times New Roman"/>
        <w:sz w:val="21"/>
        <w:szCs w:val="21"/>
      </w:rPr>
      <w:t>新建年出栏14000头生猪养殖场环境影响评价报告书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double" w:color="auto" w:sz="8" w:space="1"/>
      </w:pBdr>
      <w:jc w:val="left"/>
      <w:rPr>
        <w:rFonts w:hint="eastAsia" w:ascii="Cambria" w:hAnsi="Cambria"/>
        <w:sz w:val="32"/>
        <w:szCs w:val="32"/>
      </w:rPr>
    </w:pPr>
    <w:r>
      <w:rPr>
        <w:rFonts w:ascii="Times New Roman" w:hAnsi="Times New Roman"/>
        <w:sz w:val="21"/>
        <w:szCs w:val="21"/>
      </w:rPr>
      <w:t>新建年出栏14000头生猪养殖场环境影响评价报告书</w:t>
    </w:r>
    <w:r>
      <w:rPr>
        <w:rFonts w:hint="eastAsia" w:hAnsi="宋体"/>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double" w:color="auto" w:sz="8" w:space="1"/>
      </w:pBdr>
      <w:jc w:val="left"/>
      <w:rPr>
        <w:rFonts w:hint="eastAsia" w:ascii="Cambria" w:hAnsi="Cambria"/>
        <w:sz w:val="32"/>
        <w:szCs w:val="32"/>
      </w:rPr>
    </w:pPr>
    <w:r>
      <w:rPr>
        <w:rFonts w:ascii="Times New Roman" w:hAnsi="Times New Roman"/>
        <w:sz w:val="21"/>
        <w:szCs w:val="21"/>
      </w:rPr>
      <w:t>新建年出栏14000头生猪养殖场环境影响评价报告书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double" w:color="auto" w:sz="8" w:space="1"/>
      </w:pBdr>
      <w:jc w:val="left"/>
      <w:rPr>
        <w:rFonts w:ascii="Times New Roman" w:hAnsi="Times New Roman"/>
        <w:sz w:val="21"/>
        <w:szCs w:val="21"/>
      </w:rPr>
    </w:pPr>
    <w:r>
      <w:rPr>
        <w:rFonts w:ascii="Times New Roman" w:hAnsi="Times New Roman"/>
        <w:sz w:val="21"/>
        <w:szCs w:val="21"/>
      </w:rPr>
      <w:t>新建年出栏14000头生猪养殖场环境影响评价报告书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7E86E2"/>
    <w:multiLevelType w:val="singleLevel"/>
    <w:tmpl w:val="E67E86E2"/>
    <w:lvl w:ilvl="0" w:tentative="0">
      <w:start w:val="2"/>
      <w:numFmt w:val="decimal"/>
      <w:suff w:val="nothing"/>
      <w:lvlText w:val="（%1）"/>
      <w:lvlJc w:val="left"/>
    </w:lvl>
  </w:abstractNum>
  <w:abstractNum w:abstractNumId="1">
    <w:nsid w:val="F058AFBE"/>
    <w:multiLevelType w:val="singleLevel"/>
    <w:tmpl w:val="F058AFBE"/>
    <w:lvl w:ilvl="0" w:tentative="0">
      <w:start w:val="1"/>
      <w:numFmt w:val="decimal"/>
      <w:suff w:val="nothing"/>
      <w:lvlText w:val="（%1）"/>
      <w:lvlJc w:val="left"/>
    </w:lvl>
  </w:abstractNum>
  <w:abstractNum w:abstractNumId="2">
    <w:nsid w:val="0B6389DE"/>
    <w:multiLevelType w:val="singleLevel"/>
    <w:tmpl w:val="0B6389DE"/>
    <w:lvl w:ilvl="0" w:tentative="0">
      <w:start w:val="1"/>
      <w:numFmt w:val="decimal"/>
      <w:suff w:val="nothing"/>
      <w:lvlText w:val="（%1）"/>
      <w:lvlJc w:val="left"/>
    </w:lvl>
  </w:abstractNum>
  <w:abstractNum w:abstractNumId="3">
    <w:nsid w:val="2C4E6146"/>
    <w:multiLevelType w:val="singleLevel"/>
    <w:tmpl w:val="2C4E6146"/>
    <w:lvl w:ilvl="0" w:tentative="0">
      <w:start w:val="1"/>
      <w:numFmt w:val="decimal"/>
      <w:suff w:val="nothing"/>
      <w:lvlText w:val="（%1）"/>
      <w:lvlJc w:val="left"/>
    </w:lvl>
  </w:abstractNum>
  <w:abstractNum w:abstractNumId="4">
    <w:nsid w:val="3BAF7758"/>
    <w:multiLevelType w:val="singleLevel"/>
    <w:tmpl w:val="3BAF7758"/>
    <w:lvl w:ilvl="0" w:tentative="0">
      <w:start w:val="1"/>
      <w:numFmt w:val="upperLetter"/>
      <w:suff w:val="nothing"/>
      <w:lvlText w:val="%1、"/>
      <w:lvlJc w:val="left"/>
    </w:lvl>
  </w:abstractNum>
  <w:abstractNum w:abstractNumId="5">
    <w:nsid w:val="67674B19"/>
    <w:multiLevelType w:val="singleLevel"/>
    <w:tmpl w:val="67674B19"/>
    <w:lvl w:ilvl="0" w:tentative="0">
      <w:start w:val="1"/>
      <w:numFmt w:val="decimal"/>
      <w:suff w:val="nothing"/>
      <w:lvlText w:val="（%1）"/>
      <w:lvlJc w:val="left"/>
    </w:lvl>
  </w:abstractNum>
  <w:num w:numId="1">
    <w:abstractNumId w:val="0"/>
  </w:num>
  <w:num w:numId="2">
    <w:abstractNumId w:val="5"/>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A15600"/>
    <w:rsid w:val="00006D62"/>
    <w:rsid w:val="00007A81"/>
    <w:rsid w:val="00014AC1"/>
    <w:rsid w:val="00016E4F"/>
    <w:rsid w:val="0002026B"/>
    <w:rsid w:val="00031909"/>
    <w:rsid w:val="00041DD5"/>
    <w:rsid w:val="00042752"/>
    <w:rsid w:val="000464CD"/>
    <w:rsid w:val="000600A8"/>
    <w:rsid w:val="000608E7"/>
    <w:rsid w:val="00063027"/>
    <w:rsid w:val="00064D49"/>
    <w:rsid w:val="00070C4B"/>
    <w:rsid w:val="00072CAD"/>
    <w:rsid w:val="00076FA9"/>
    <w:rsid w:val="00077995"/>
    <w:rsid w:val="00085667"/>
    <w:rsid w:val="00085A57"/>
    <w:rsid w:val="00085C78"/>
    <w:rsid w:val="00085DFE"/>
    <w:rsid w:val="00093029"/>
    <w:rsid w:val="00093BDB"/>
    <w:rsid w:val="000970EE"/>
    <w:rsid w:val="00097C44"/>
    <w:rsid w:val="000A06DA"/>
    <w:rsid w:val="000A3F65"/>
    <w:rsid w:val="000A46FC"/>
    <w:rsid w:val="000A54D0"/>
    <w:rsid w:val="000A6484"/>
    <w:rsid w:val="000B0BAC"/>
    <w:rsid w:val="000B295B"/>
    <w:rsid w:val="000B3B45"/>
    <w:rsid w:val="000C0975"/>
    <w:rsid w:val="000C3667"/>
    <w:rsid w:val="000C6394"/>
    <w:rsid w:val="000D0DD1"/>
    <w:rsid w:val="000D1F84"/>
    <w:rsid w:val="000D4E35"/>
    <w:rsid w:val="000D711A"/>
    <w:rsid w:val="000E09B6"/>
    <w:rsid w:val="000E3717"/>
    <w:rsid w:val="000E4ABC"/>
    <w:rsid w:val="000E74DA"/>
    <w:rsid w:val="00102C23"/>
    <w:rsid w:val="00105117"/>
    <w:rsid w:val="00105B3B"/>
    <w:rsid w:val="00106DF0"/>
    <w:rsid w:val="001100B7"/>
    <w:rsid w:val="00112A85"/>
    <w:rsid w:val="00113CB8"/>
    <w:rsid w:val="00113D51"/>
    <w:rsid w:val="00117275"/>
    <w:rsid w:val="0011730F"/>
    <w:rsid w:val="0013204E"/>
    <w:rsid w:val="00132E30"/>
    <w:rsid w:val="00133B8C"/>
    <w:rsid w:val="00134CCB"/>
    <w:rsid w:val="001362EC"/>
    <w:rsid w:val="001414EE"/>
    <w:rsid w:val="00142242"/>
    <w:rsid w:val="00142F38"/>
    <w:rsid w:val="001436B0"/>
    <w:rsid w:val="00146B3D"/>
    <w:rsid w:val="001513B4"/>
    <w:rsid w:val="00155E9B"/>
    <w:rsid w:val="00160249"/>
    <w:rsid w:val="00160BCB"/>
    <w:rsid w:val="0016257D"/>
    <w:rsid w:val="00162BCA"/>
    <w:rsid w:val="00163455"/>
    <w:rsid w:val="001636ED"/>
    <w:rsid w:val="00163BBC"/>
    <w:rsid w:val="001649DC"/>
    <w:rsid w:val="00171DD6"/>
    <w:rsid w:val="00171E64"/>
    <w:rsid w:val="00174774"/>
    <w:rsid w:val="0017745F"/>
    <w:rsid w:val="0018101C"/>
    <w:rsid w:val="0018189B"/>
    <w:rsid w:val="00182BE4"/>
    <w:rsid w:val="00185B01"/>
    <w:rsid w:val="00190670"/>
    <w:rsid w:val="001909AB"/>
    <w:rsid w:val="00190C65"/>
    <w:rsid w:val="001938B1"/>
    <w:rsid w:val="00194CEB"/>
    <w:rsid w:val="0019629F"/>
    <w:rsid w:val="001A08F8"/>
    <w:rsid w:val="001A2FD7"/>
    <w:rsid w:val="001A4041"/>
    <w:rsid w:val="001A5E6F"/>
    <w:rsid w:val="001A6BE2"/>
    <w:rsid w:val="001B1359"/>
    <w:rsid w:val="001B1C76"/>
    <w:rsid w:val="001B2787"/>
    <w:rsid w:val="001B51D0"/>
    <w:rsid w:val="001B64D0"/>
    <w:rsid w:val="001C1C3B"/>
    <w:rsid w:val="001C5AC2"/>
    <w:rsid w:val="001C6837"/>
    <w:rsid w:val="001C6BB4"/>
    <w:rsid w:val="001C799A"/>
    <w:rsid w:val="001D350D"/>
    <w:rsid w:val="001D5ECF"/>
    <w:rsid w:val="001D7F79"/>
    <w:rsid w:val="001E14C0"/>
    <w:rsid w:val="001E6110"/>
    <w:rsid w:val="001E6431"/>
    <w:rsid w:val="001E67D2"/>
    <w:rsid w:val="001E6B9E"/>
    <w:rsid w:val="001E7B54"/>
    <w:rsid w:val="001F00E5"/>
    <w:rsid w:val="001F588E"/>
    <w:rsid w:val="0020345E"/>
    <w:rsid w:val="002037FC"/>
    <w:rsid w:val="00203A69"/>
    <w:rsid w:val="00204F33"/>
    <w:rsid w:val="0020763B"/>
    <w:rsid w:val="00211864"/>
    <w:rsid w:val="002125E0"/>
    <w:rsid w:val="00216EDF"/>
    <w:rsid w:val="00216FF7"/>
    <w:rsid w:val="00220A97"/>
    <w:rsid w:val="00221428"/>
    <w:rsid w:val="00222634"/>
    <w:rsid w:val="002255B6"/>
    <w:rsid w:val="00227622"/>
    <w:rsid w:val="00231CE5"/>
    <w:rsid w:val="00237B1A"/>
    <w:rsid w:val="002443EC"/>
    <w:rsid w:val="00244BF1"/>
    <w:rsid w:val="00244C85"/>
    <w:rsid w:val="00246FC6"/>
    <w:rsid w:val="00250F73"/>
    <w:rsid w:val="00251BD7"/>
    <w:rsid w:val="00252CF0"/>
    <w:rsid w:val="00255073"/>
    <w:rsid w:val="00263168"/>
    <w:rsid w:val="00270054"/>
    <w:rsid w:val="00274A32"/>
    <w:rsid w:val="00283BA0"/>
    <w:rsid w:val="0028745B"/>
    <w:rsid w:val="002917BC"/>
    <w:rsid w:val="00293BA3"/>
    <w:rsid w:val="0029514C"/>
    <w:rsid w:val="0029544D"/>
    <w:rsid w:val="00296480"/>
    <w:rsid w:val="002971C4"/>
    <w:rsid w:val="00297CD1"/>
    <w:rsid w:val="00297E0B"/>
    <w:rsid w:val="002A04C3"/>
    <w:rsid w:val="002A655D"/>
    <w:rsid w:val="002A72E5"/>
    <w:rsid w:val="002B19C5"/>
    <w:rsid w:val="002C4826"/>
    <w:rsid w:val="002C4B13"/>
    <w:rsid w:val="002D0DCA"/>
    <w:rsid w:val="002D2077"/>
    <w:rsid w:val="002E0398"/>
    <w:rsid w:val="002E0EB5"/>
    <w:rsid w:val="002E2E04"/>
    <w:rsid w:val="002E7CBE"/>
    <w:rsid w:val="002F5338"/>
    <w:rsid w:val="002F7BF2"/>
    <w:rsid w:val="0030248C"/>
    <w:rsid w:val="00305027"/>
    <w:rsid w:val="003060E7"/>
    <w:rsid w:val="0030633F"/>
    <w:rsid w:val="003068AB"/>
    <w:rsid w:val="0031191D"/>
    <w:rsid w:val="00311C9B"/>
    <w:rsid w:val="0031284E"/>
    <w:rsid w:val="00317BDB"/>
    <w:rsid w:val="00317E8D"/>
    <w:rsid w:val="0032108F"/>
    <w:rsid w:val="00321D8A"/>
    <w:rsid w:val="003222CE"/>
    <w:rsid w:val="00322D5C"/>
    <w:rsid w:val="00322F11"/>
    <w:rsid w:val="003339D4"/>
    <w:rsid w:val="00333D84"/>
    <w:rsid w:val="00336D52"/>
    <w:rsid w:val="00337002"/>
    <w:rsid w:val="00337772"/>
    <w:rsid w:val="003377A4"/>
    <w:rsid w:val="00337E4E"/>
    <w:rsid w:val="0034469D"/>
    <w:rsid w:val="00344AA8"/>
    <w:rsid w:val="00347ECF"/>
    <w:rsid w:val="00351632"/>
    <w:rsid w:val="00352AA4"/>
    <w:rsid w:val="0035499D"/>
    <w:rsid w:val="0035682D"/>
    <w:rsid w:val="003605A6"/>
    <w:rsid w:val="00361336"/>
    <w:rsid w:val="003703C7"/>
    <w:rsid w:val="003720B2"/>
    <w:rsid w:val="00376829"/>
    <w:rsid w:val="003905C3"/>
    <w:rsid w:val="00391A6D"/>
    <w:rsid w:val="00392874"/>
    <w:rsid w:val="00392C90"/>
    <w:rsid w:val="00395179"/>
    <w:rsid w:val="003A4D13"/>
    <w:rsid w:val="003A4DB3"/>
    <w:rsid w:val="003A6F63"/>
    <w:rsid w:val="003B1029"/>
    <w:rsid w:val="003B1206"/>
    <w:rsid w:val="003B12F8"/>
    <w:rsid w:val="003B6F19"/>
    <w:rsid w:val="003C09FF"/>
    <w:rsid w:val="003C4BD2"/>
    <w:rsid w:val="003C5593"/>
    <w:rsid w:val="003C6250"/>
    <w:rsid w:val="003D0280"/>
    <w:rsid w:val="003D3AAE"/>
    <w:rsid w:val="003D7158"/>
    <w:rsid w:val="003E4733"/>
    <w:rsid w:val="003E6B8E"/>
    <w:rsid w:val="003F516E"/>
    <w:rsid w:val="004040DB"/>
    <w:rsid w:val="004056E0"/>
    <w:rsid w:val="004058A8"/>
    <w:rsid w:val="00406A8E"/>
    <w:rsid w:val="00407E77"/>
    <w:rsid w:val="004155F5"/>
    <w:rsid w:val="00415FD7"/>
    <w:rsid w:val="00420A7D"/>
    <w:rsid w:val="004218B2"/>
    <w:rsid w:val="00424497"/>
    <w:rsid w:val="004311C4"/>
    <w:rsid w:val="004355E3"/>
    <w:rsid w:val="00440CAE"/>
    <w:rsid w:val="004423BA"/>
    <w:rsid w:val="00444234"/>
    <w:rsid w:val="00444F7B"/>
    <w:rsid w:val="004453DA"/>
    <w:rsid w:val="00445FA5"/>
    <w:rsid w:val="0045332C"/>
    <w:rsid w:val="0045407B"/>
    <w:rsid w:val="00460E2E"/>
    <w:rsid w:val="004648BB"/>
    <w:rsid w:val="00466157"/>
    <w:rsid w:val="00466F3C"/>
    <w:rsid w:val="00477727"/>
    <w:rsid w:val="00480435"/>
    <w:rsid w:val="004864FF"/>
    <w:rsid w:val="00486624"/>
    <w:rsid w:val="00491CEA"/>
    <w:rsid w:val="00493B1A"/>
    <w:rsid w:val="004977CC"/>
    <w:rsid w:val="004A3695"/>
    <w:rsid w:val="004A5A92"/>
    <w:rsid w:val="004B15AF"/>
    <w:rsid w:val="004B31CB"/>
    <w:rsid w:val="004C0CE2"/>
    <w:rsid w:val="004C55ED"/>
    <w:rsid w:val="004C57B5"/>
    <w:rsid w:val="004D0FE7"/>
    <w:rsid w:val="004D148D"/>
    <w:rsid w:val="004D77BA"/>
    <w:rsid w:val="004E0DEE"/>
    <w:rsid w:val="004E26FA"/>
    <w:rsid w:val="004E27D2"/>
    <w:rsid w:val="004E6867"/>
    <w:rsid w:val="004F2F03"/>
    <w:rsid w:val="005026F0"/>
    <w:rsid w:val="00503F5D"/>
    <w:rsid w:val="00504D50"/>
    <w:rsid w:val="00510896"/>
    <w:rsid w:val="0051310C"/>
    <w:rsid w:val="00513745"/>
    <w:rsid w:val="005159D4"/>
    <w:rsid w:val="00517D6D"/>
    <w:rsid w:val="0052045B"/>
    <w:rsid w:val="00523449"/>
    <w:rsid w:val="00530A52"/>
    <w:rsid w:val="00532038"/>
    <w:rsid w:val="00537841"/>
    <w:rsid w:val="00540D92"/>
    <w:rsid w:val="00541562"/>
    <w:rsid w:val="00543A66"/>
    <w:rsid w:val="00543EEE"/>
    <w:rsid w:val="00551625"/>
    <w:rsid w:val="00552C24"/>
    <w:rsid w:val="00556B28"/>
    <w:rsid w:val="00562306"/>
    <w:rsid w:val="005664C0"/>
    <w:rsid w:val="005671D1"/>
    <w:rsid w:val="00574073"/>
    <w:rsid w:val="00574E3D"/>
    <w:rsid w:val="00575847"/>
    <w:rsid w:val="00576C13"/>
    <w:rsid w:val="00580F50"/>
    <w:rsid w:val="005825C8"/>
    <w:rsid w:val="00585F92"/>
    <w:rsid w:val="00586F8F"/>
    <w:rsid w:val="0058731D"/>
    <w:rsid w:val="00587CDE"/>
    <w:rsid w:val="00587E49"/>
    <w:rsid w:val="005920CE"/>
    <w:rsid w:val="005926A1"/>
    <w:rsid w:val="005948AF"/>
    <w:rsid w:val="005A398F"/>
    <w:rsid w:val="005A4B17"/>
    <w:rsid w:val="005A5251"/>
    <w:rsid w:val="005A78FE"/>
    <w:rsid w:val="005B0336"/>
    <w:rsid w:val="005B11DB"/>
    <w:rsid w:val="005B2A43"/>
    <w:rsid w:val="005B6C75"/>
    <w:rsid w:val="005C122F"/>
    <w:rsid w:val="005C3AFA"/>
    <w:rsid w:val="005C6439"/>
    <w:rsid w:val="005D1E6C"/>
    <w:rsid w:val="005E2B3D"/>
    <w:rsid w:val="005F0EB4"/>
    <w:rsid w:val="005F1ACD"/>
    <w:rsid w:val="005F3532"/>
    <w:rsid w:val="005F3736"/>
    <w:rsid w:val="005F6D6A"/>
    <w:rsid w:val="005F7369"/>
    <w:rsid w:val="00601031"/>
    <w:rsid w:val="0060517C"/>
    <w:rsid w:val="00610237"/>
    <w:rsid w:val="00613630"/>
    <w:rsid w:val="00616DF6"/>
    <w:rsid w:val="006201F2"/>
    <w:rsid w:val="00624DC4"/>
    <w:rsid w:val="00634F85"/>
    <w:rsid w:val="00635171"/>
    <w:rsid w:val="0064352F"/>
    <w:rsid w:val="0064576E"/>
    <w:rsid w:val="0065321E"/>
    <w:rsid w:val="00654458"/>
    <w:rsid w:val="006569AB"/>
    <w:rsid w:val="0065796E"/>
    <w:rsid w:val="00662EDA"/>
    <w:rsid w:val="0066501F"/>
    <w:rsid w:val="00666525"/>
    <w:rsid w:val="00677B25"/>
    <w:rsid w:val="00681467"/>
    <w:rsid w:val="006836DB"/>
    <w:rsid w:val="00683F24"/>
    <w:rsid w:val="006846FB"/>
    <w:rsid w:val="00686369"/>
    <w:rsid w:val="00686C13"/>
    <w:rsid w:val="0068716F"/>
    <w:rsid w:val="00691D66"/>
    <w:rsid w:val="006A3CF5"/>
    <w:rsid w:val="006B088C"/>
    <w:rsid w:val="006B2182"/>
    <w:rsid w:val="006B3B2A"/>
    <w:rsid w:val="006B7A40"/>
    <w:rsid w:val="006C5B4C"/>
    <w:rsid w:val="006C602C"/>
    <w:rsid w:val="006D054D"/>
    <w:rsid w:val="006D0602"/>
    <w:rsid w:val="006D0ADB"/>
    <w:rsid w:val="006D2B0F"/>
    <w:rsid w:val="006D2E85"/>
    <w:rsid w:val="006D383D"/>
    <w:rsid w:val="006D4C98"/>
    <w:rsid w:val="006D6C2F"/>
    <w:rsid w:val="006E1669"/>
    <w:rsid w:val="006E5B26"/>
    <w:rsid w:val="006E5E15"/>
    <w:rsid w:val="006F1156"/>
    <w:rsid w:val="006F233F"/>
    <w:rsid w:val="006F774E"/>
    <w:rsid w:val="007021F8"/>
    <w:rsid w:val="007047F3"/>
    <w:rsid w:val="00713563"/>
    <w:rsid w:val="00713A55"/>
    <w:rsid w:val="00713DCC"/>
    <w:rsid w:val="007177BA"/>
    <w:rsid w:val="00721F90"/>
    <w:rsid w:val="00724EA9"/>
    <w:rsid w:val="00724FC2"/>
    <w:rsid w:val="00727487"/>
    <w:rsid w:val="00733B0C"/>
    <w:rsid w:val="0073749D"/>
    <w:rsid w:val="00740F74"/>
    <w:rsid w:val="0074187E"/>
    <w:rsid w:val="00743BBE"/>
    <w:rsid w:val="00743F78"/>
    <w:rsid w:val="0074465C"/>
    <w:rsid w:val="00751795"/>
    <w:rsid w:val="00753F97"/>
    <w:rsid w:val="00756749"/>
    <w:rsid w:val="007606FB"/>
    <w:rsid w:val="007614D3"/>
    <w:rsid w:val="00761BC8"/>
    <w:rsid w:val="00762FE0"/>
    <w:rsid w:val="0076419E"/>
    <w:rsid w:val="007659A0"/>
    <w:rsid w:val="007659D9"/>
    <w:rsid w:val="00765A13"/>
    <w:rsid w:val="00766DF7"/>
    <w:rsid w:val="0077731F"/>
    <w:rsid w:val="00782C97"/>
    <w:rsid w:val="007841C3"/>
    <w:rsid w:val="0078503F"/>
    <w:rsid w:val="007875B9"/>
    <w:rsid w:val="00791856"/>
    <w:rsid w:val="00792747"/>
    <w:rsid w:val="00795B3A"/>
    <w:rsid w:val="00797B44"/>
    <w:rsid w:val="007A08CE"/>
    <w:rsid w:val="007A1556"/>
    <w:rsid w:val="007A35DA"/>
    <w:rsid w:val="007A456F"/>
    <w:rsid w:val="007A6551"/>
    <w:rsid w:val="007B246D"/>
    <w:rsid w:val="007B42D9"/>
    <w:rsid w:val="007C208B"/>
    <w:rsid w:val="007C21E1"/>
    <w:rsid w:val="007C555B"/>
    <w:rsid w:val="007C7960"/>
    <w:rsid w:val="007D2BEC"/>
    <w:rsid w:val="007D3977"/>
    <w:rsid w:val="007E25AD"/>
    <w:rsid w:val="007E294A"/>
    <w:rsid w:val="007E2968"/>
    <w:rsid w:val="007E4926"/>
    <w:rsid w:val="007F0888"/>
    <w:rsid w:val="0080172F"/>
    <w:rsid w:val="008036E9"/>
    <w:rsid w:val="008065A2"/>
    <w:rsid w:val="00812161"/>
    <w:rsid w:val="0082001D"/>
    <w:rsid w:val="00822B7D"/>
    <w:rsid w:val="00826B38"/>
    <w:rsid w:val="00826F6A"/>
    <w:rsid w:val="008276F4"/>
    <w:rsid w:val="0083056E"/>
    <w:rsid w:val="00831A7E"/>
    <w:rsid w:val="00836118"/>
    <w:rsid w:val="00837C98"/>
    <w:rsid w:val="00841E0E"/>
    <w:rsid w:val="00857B57"/>
    <w:rsid w:val="00860E4C"/>
    <w:rsid w:val="00861773"/>
    <w:rsid w:val="008629BA"/>
    <w:rsid w:val="00864DF5"/>
    <w:rsid w:val="00870810"/>
    <w:rsid w:val="00873302"/>
    <w:rsid w:val="00876144"/>
    <w:rsid w:val="00880663"/>
    <w:rsid w:val="008807D9"/>
    <w:rsid w:val="00880E6C"/>
    <w:rsid w:val="00881719"/>
    <w:rsid w:val="0088248A"/>
    <w:rsid w:val="0088602A"/>
    <w:rsid w:val="0088734E"/>
    <w:rsid w:val="00892B27"/>
    <w:rsid w:val="00895C09"/>
    <w:rsid w:val="008974E9"/>
    <w:rsid w:val="008A0379"/>
    <w:rsid w:val="008A5828"/>
    <w:rsid w:val="008B3B89"/>
    <w:rsid w:val="008C1CEB"/>
    <w:rsid w:val="008C4C0D"/>
    <w:rsid w:val="008C75D1"/>
    <w:rsid w:val="008D125B"/>
    <w:rsid w:val="008D20A8"/>
    <w:rsid w:val="008D30D1"/>
    <w:rsid w:val="008D3A4C"/>
    <w:rsid w:val="008D3E34"/>
    <w:rsid w:val="008D781C"/>
    <w:rsid w:val="008E29FF"/>
    <w:rsid w:val="008E32C6"/>
    <w:rsid w:val="008F0715"/>
    <w:rsid w:val="008F2801"/>
    <w:rsid w:val="008F537F"/>
    <w:rsid w:val="00901CFE"/>
    <w:rsid w:val="0090388D"/>
    <w:rsid w:val="009121D9"/>
    <w:rsid w:val="00915E8B"/>
    <w:rsid w:val="0092282A"/>
    <w:rsid w:val="00925C8F"/>
    <w:rsid w:val="00925F00"/>
    <w:rsid w:val="00926AE7"/>
    <w:rsid w:val="00930AD6"/>
    <w:rsid w:val="00930E6D"/>
    <w:rsid w:val="00931834"/>
    <w:rsid w:val="00932148"/>
    <w:rsid w:val="009322C3"/>
    <w:rsid w:val="00932881"/>
    <w:rsid w:val="00941A49"/>
    <w:rsid w:val="00942344"/>
    <w:rsid w:val="00945993"/>
    <w:rsid w:val="0095013D"/>
    <w:rsid w:val="009518C8"/>
    <w:rsid w:val="00951B5B"/>
    <w:rsid w:val="009535B5"/>
    <w:rsid w:val="009553DD"/>
    <w:rsid w:val="00957E59"/>
    <w:rsid w:val="00963A82"/>
    <w:rsid w:val="00963FA7"/>
    <w:rsid w:val="009659FD"/>
    <w:rsid w:val="00970268"/>
    <w:rsid w:val="00973CF8"/>
    <w:rsid w:val="009755EE"/>
    <w:rsid w:val="00975EFC"/>
    <w:rsid w:val="00976E45"/>
    <w:rsid w:val="009800D2"/>
    <w:rsid w:val="009841B3"/>
    <w:rsid w:val="00984B23"/>
    <w:rsid w:val="009866BB"/>
    <w:rsid w:val="00987DAE"/>
    <w:rsid w:val="0099079B"/>
    <w:rsid w:val="009908A1"/>
    <w:rsid w:val="00996998"/>
    <w:rsid w:val="009A2C58"/>
    <w:rsid w:val="009A4D0F"/>
    <w:rsid w:val="009A58A0"/>
    <w:rsid w:val="009B1909"/>
    <w:rsid w:val="009B4BD8"/>
    <w:rsid w:val="009B5580"/>
    <w:rsid w:val="009C0D36"/>
    <w:rsid w:val="009C7190"/>
    <w:rsid w:val="009C7A7E"/>
    <w:rsid w:val="009C7CE7"/>
    <w:rsid w:val="009D1E49"/>
    <w:rsid w:val="009D6B6E"/>
    <w:rsid w:val="009D7FEA"/>
    <w:rsid w:val="009E2E4A"/>
    <w:rsid w:val="009E4857"/>
    <w:rsid w:val="009F1121"/>
    <w:rsid w:val="009F1A48"/>
    <w:rsid w:val="00A00A70"/>
    <w:rsid w:val="00A0221C"/>
    <w:rsid w:val="00A12201"/>
    <w:rsid w:val="00A140B9"/>
    <w:rsid w:val="00A14FFF"/>
    <w:rsid w:val="00A15600"/>
    <w:rsid w:val="00A1736F"/>
    <w:rsid w:val="00A254B9"/>
    <w:rsid w:val="00A32CA4"/>
    <w:rsid w:val="00A33E09"/>
    <w:rsid w:val="00A411A2"/>
    <w:rsid w:val="00A41CAA"/>
    <w:rsid w:val="00A428BF"/>
    <w:rsid w:val="00A4438F"/>
    <w:rsid w:val="00A47ED5"/>
    <w:rsid w:val="00A52FA1"/>
    <w:rsid w:val="00A545E1"/>
    <w:rsid w:val="00A64555"/>
    <w:rsid w:val="00A72B48"/>
    <w:rsid w:val="00A7347F"/>
    <w:rsid w:val="00A806AA"/>
    <w:rsid w:val="00A810C1"/>
    <w:rsid w:val="00A8198E"/>
    <w:rsid w:val="00A87A31"/>
    <w:rsid w:val="00A91D6F"/>
    <w:rsid w:val="00A92E8F"/>
    <w:rsid w:val="00A96584"/>
    <w:rsid w:val="00AB2F91"/>
    <w:rsid w:val="00AB3C1E"/>
    <w:rsid w:val="00AB4808"/>
    <w:rsid w:val="00AC440D"/>
    <w:rsid w:val="00AC4C48"/>
    <w:rsid w:val="00AC629E"/>
    <w:rsid w:val="00AD500D"/>
    <w:rsid w:val="00AD5FC8"/>
    <w:rsid w:val="00AE0D97"/>
    <w:rsid w:val="00AE448C"/>
    <w:rsid w:val="00AE4F59"/>
    <w:rsid w:val="00AE5D48"/>
    <w:rsid w:val="00AF437A"/>
    <w:rsid w:val="00AF62AF"/>
    <w:rsid w:val="00AF682E"/>
    <w:rsid w:val="00B02042"/>
    <w:rsid w:val="00B04571"/>
    <w:rsid w:val="00B06C7E"/>
    <w:rsid w:val="00B127C2"/>
    <w:rsid w:val="00B13991"/>
    <w:rsid w:val="00B13AC7"/>
    <w:rsid w:val="00B15976"/>
    <w:rsid w:val="00B15D86"/>
    <w:rsid w:val="00B16159"/>
    <w:rsid w:val="00B20453"/>
    <w:rsid w:val="00B2274C"/>
    <w:rsid w:val="00B248F5"/>
    <w:rsid w:val="00B25338"/>
    <w:rsid w:val="00B273AF"/>
    <w:rsid w:val="00B27F3A"/>
    <w:rsid w:val="00B3107C"/>
    <w:rsid w:val="00B35C31"/>
    <w:rsid w:val="00B3749C"/>
    <w:rsid w:val="00B40887"/>
    <w:rsid w:val="00B4429E"/>
    <w:rsid w:val="00B472EE"/>
    <w:rsid w:val="00B47915"/>
    <w:rsid w:val="00B50831"/>
    <w:rsid w:val="00B56ED1"/>
    <w:rsid w:val="00B57CB6"/>
    <w:rsid w:val="00B6439B"/>
    <w:rsid w:val="00B6667A"/>
    <w:rsid w:val="00B70186"/>
    <w:rsid w:val="00B76117"/>
    <w:rsid w:val="00B771A8"/>
    <w:rsid w:val="00B81488"/>
    <w:rsid w:val="00B90C75"/>
    <w:rsid w:val="00B90FDC"/>
    <w:rsid w:val="00B9102A"/>
    <w:rsid w:val="00B9173D"/>
    <w:rsid w:val="00B960A4"/>
    <w:rsid w:val="00B97764"/>
    <w:rsid w:val="00BA6A23"/>
    <w:rsid w:val="00BA76DF"/>
    <w:rsid w:val="00BB2E74"/>
    <w:rsid w:val="00BB7A76"/>
    <w:rsid w:val="00BC0171"/>
    <w:rsid w:val="00BC16F7"/>
    <w:rsid w:val="00BC194A"/>
    <w:rsid w:val="00BC2463"/>
    <w:rsid w:val="00BC6A0F"/>
    <w:rsid w:val="00BD25AC"/>
    <w:rsid w:val="00BD3047"/>
    <w:rsid w:val="00BD64ED"/>
    <w:rsid w:val="00BE0857"/>
    <w:rsid w:val="00BE50A2"/>
    <w:rsid w:val="00BF0D59"/>
    <w:rsid w:val="00BF1A57"/>
    <w:rsid w:val="00BF2D9F"/>
    <w:rsid w:val="00BF58E6"/>
    <w:rsid w:val="00BF6BA9"/>
    <w:rsid w:val="00BF7946"/>
    <w:rsid w:val="00BF7E6C"/>
    <w:rsid w:val="00C04A25"/>
    <w:rsid w:val="00C10C35"/>
    <w:rsid w:val="00C11DD1"/>
    <w:rsid w:val="00C12D1D"/>
    <w:rsid w:val="00C15E08"/>
    <w:rsid w:val="00C1769E"/>
    <w:rsid w:val="00C25AE9"/>
    <w:rsid w:val="00C31143"/>
    <w:rsid w:val="00C34BC6"/>
    <w:rsid w:val="00C37F0A"/>
    <w:rsid w:val="00C37F6D"/>
    <w:rsid w:val="00C41881"/>
    <w:rsid w:val="00C4592B"/>
    <w:rsid w:val="00C50884"/>
    <w:rsid w:val="00C50B42"/>
    <w:rsid w:val="00C531B9"/>
    <w:rsid w:val="00C569FF"/>
    <w:rsid w:val="00C57A6D"/>
    <w:rsid w:val="00C62238"/>
    <w:rsid w:val="00C632B4"/>
    <w:rsid w:val="00C64982"/>
    <w:rsid w:val="00C721CB"/>
    <w:rsid w:val="00C746C9"/>
    <w:rsid w:val="00C77695"/>
    <w:rsid w:val="00C82EA7"/>
    <w:rsid w:val="00C83644"/>
    <w:rsid w:val="00C90C3A"/>
    <w:rsid w:val="00C96D41"/>
    <w:rsid w:val="00CA1089"/>
    <w:rsid w:val="00CA414A"/>
    <w:rsid w:val="00CB097F"/>
    <w:rsid w:val="00CB0BD3"/>
    <w:rsid w:val="00CD0873"/>
    <w:rsid w:val="00CD2097"/>
    <w:rsid w:val="00CD3C89"/>
    <w:rsid w:val="00CD588B"/>
    <w:rsid w:val="00CD5C61"/>
    <w:rsid w:val="00CD6F83"/>
    <w:rsid w:val="00CE0F3F"/>
    <w:rsid w:val="00CE2822"/>
    <w:rsid w:val="00CE5B73"/>
    <w:rsid w:val="00CE705D"/>
    <w:rsid w:val="00CF1E3C"/>
    <w:rsid w:val="00CF6531"/>
    <w:rsid w:val="00D019E3"/>
    <w:rsid w:val="00D11EF0"/>
    <w:rsid w:val="00D13788"/>
    <w:rsid w:val="00D137BA"/>
    <w:rsid w:val="00D150F7"/>
    <w:rsid w:val="00D15ED5"/>
    <w:rsid w:val="00D16F08"/>
    <w:rsid w:val="00D17006"/>
    <w:rsid w:val="00D20141"/>
    <w:rsid w:val="00D207F8"/>
    <w:rsid w:val="00D20F98"/>
    <w:rsid w:val="00D36279"/>
    <w:rsid w:val="00D366BD"/>
    <w:rsid w:val="00D37BFB"/>
    <w:rsid w:val="00D421A4"/>
    <w:rsid w:val="00D43815"/>
    <w:rsid w:val="00D45027"/>
    <w:rsid w:val="00D46905"/>
    <w:rsid w:val="00D4701E"/>
    <w:rsid w:val="00D5717F"/>
    <w:rsid w:val="00D605D1"/>
    <w:rsid w:val="00D62E89"/>
    <w:rsid w:val="00D647BE"/>
    <w:rsid w:val="00D67FAD"/>
    <w:rsid w:val="00D70AB8"/>
    <w:rsid w:val="00D7291E"/>
    <w:rsid w:val="00D80017"/>
    <w:rsid w:val="00D86CDF"/>
    <w:rsid w:val="00D93A2A"/>
    <w:rsid w:val="00D963D4"/>
    <w:rsid w:val="00D9695E"/>
    <w:rsid w:val="00D97069"/>
    <w:rsid w:val="00D97AAC"/>
    <w:rsid w:val="00DA19D4"/>
    <w:rsid w:val="00DA63D0"/>
    <w:rsid w:val="00DB7DA3"/>
    <w:rsid w:val="00DC499B"/>
    <w:rsid w:val="00DC50B5"/>
    <w:rsid w:val="00DC7E84"/>
    <w:rsid w:val="00DD110A"/>
    <w:rsid w:val="00DD6064"/>
    <w:rsid w:val="00DD68DA"/>
    <w:rsid w:val="00DD7A37"/>
    <w:rsid w:val="00DE5A1F"/>
    <w:rsid w:val="00DF0120"/>
    <w:rsid w:val="00DF4999"/>
    <w:rsid w:val="00DF5FA5"/>
    <w:rsid w:val="00DF6D58"/>
    <w:rsid w:val="00DF75C5"/>
    <w:rsid w:val="00E01D2C"/>
    <w:rsid w:val="00E072FC"/>
    <w:rsid w:val="00E1300B"/>
    <w:rsid w:val="00E13EEB"/>
    <w:rsid w:val="00E2107E"/>
    <w:rsid w:val="00E22898"/>
    <w:rsid w:val="00E22E77"/>
    <w:rsid w:val="00E250B9"/>
    <w:rsid w:val="00E30FDA"/>
    <w:rsid w:val="00E31073"/>
    <w:rsid w:val="00E34296"/>
    <w:rsid w:val="00E4012C"/>
    <w:rsid w:val="00E4179F"/>
    <w:rsid w:val="00E4246C"/>
    <w:rsid w:val="00E42ED0"/>
    <w:rsid w:val="00E43143"/>
    <w:rsid w:val="00E469E7"/>
    <w:rsid w:val="00E46C9D"/>
    <w:rsid w:val="00E47FD0"/>
    <w:rsid w:val="00E52371"/>
    <w:rsid w:val="00E560B0"/>
    <w:rsid w:val="00E60182"/>
    <w:rsid w:val="00E605F4"/>
    <w:rsid w:val="00E60715"/>
    <w:rsid w:val="00E609A9"/>
    <w:rsid w:val="00E66FED"/>
    <w:rsid w:val="00E67340"/>
    <w:rsid w:val="00E70429"/>
    <w:rsid w:val="00E71B04"/>
    <w:rsid w:val="00E72052"/>
    <w:rsid w:val="00E73971"/>
    <w:rsid w:val="00E74BC8"/>
    <w:rsid w:val="00E75B64"/>
    <w:rsid w:val="00E76232"/>
    <w:rsid w:val="00E771D8"/>
    <w:rsid w:val="00E82A15"/>
    <w:rsid w:val="00E84A74"/>
    <w:rsid w:val="00E86218"/>
    <w:rsid w:val="00E87416"/>
    <w:rsid w:val="00E915AB"/>
    <w:rsid w:val="00E94278"/>
    <w:rsid w:val="00EB016A"/>
    <w:rsid w:val="00EB10A8"/>
    <w:rsid w:val="00EB44FD"/>
    <w:rsid w:val="00EB7811"/>
    <w:rsid w:val="00EC20C6"/>
    <w:rsid w:val="00EC2E80"/>
    <w:rsid w:val="00EC57D0"/>
    <w:rsid w:val="00EC7223"/>
    <w:rsid w:val="00EC784C"/>
    <w:rsid w:val="00ED1B2D"/>
    <w:rsid w:val="00ED2EA8"/>
    <w:rsid w:val="00ED59D6"/>
    <w:rsid w:val="00EE0D3B"/>
    <w:rsid w:val="00EE1828"/>
    <w:rsid w:val="00EE1E25"/>
    <w:rsid w:val="00EE4DAE"/>
    <w:rsid w:val="00EF32D0"/>
    <w:rsid w:val="00EF387D"/>
    <w:rsid w:val="00EF40F5"/>
    <w:rsid w:val="00F07CF4"/>
    <w:rsid w:val="00F12CFC"/>
    <w:rsid w:val="00F219BB"/>
    <w:rsid w:val="00F25C89"/>
    <w:rsid w:val="00F26D5C"/>
    <w:rsid w:val="00F27A21"/>
    <w:rsid w:val="00F31C37"/>
    <w:rsid w:val="00F31E06"/>
    <w:rsid w:val="00F33247"/>
    <w:rsid w:val="00F44D5E"/>
    <w:rsid w:val="00F47E43"/>
    <w:rsid w:val="00F52D90"/>
    <w:rsid w:val="00F53E82"/>
    <w:rsid w:val="00F542F3"/>
    <w:rsid w:val="00F55666"/>
    <w:rsid w:val="00F6192E"/>
    <w:rsid w:val="00F62863"/>
    <w:rsid w:val="00F63E3E"/>
    <w:rsid w:val="00F63EC4"/>
    <w:rsid w:val="00F646C3"/>
    <w:rsid w:val="00F65FD8"/>
    <w:rsid w:val="00F66511"/>
    <w:rsid w:val="00F7593E"/>
    <w:rsid w:val="00F77075"/>
    <w:rsid w:val="00F77E84"/>
    <w:rsid w:val="00F82AC1"/>
    <w:rsid w:val="00F878B8"/>
    <w:rsid w:val="00F91F74"/>
    <w:rsid w:val="00F92240"/>
    <w:rsid w:val="00F9257D"/>
    <w:rsid w:val="00F9357D"/>
    <w:rsid w:val="00F959C1"/>
    <w:rsid w:val="00F95B03"/>
    <w:rsid w:val="00FA4A5A"/>
    <w:rsid w:val="00FA4A5D"/>
    <w:rsid w:val="00FA5518"/>
    <w:rsid w:val="00FB2BC5"/>
    <w:rsid w:val="00FB2FD1"/>
    <w:rsid w:val="00FB47DA"/>
    <w:rsid w:val="00FB563C"/>
    <w:rsid w:val="00FB5A36"/>
    <w:rsid w:val="00FC141C"/>
    <w:rsid w:val="00FC450C"/>
    <w:rsid w:val="00FC5055"/>
    <w:rsid w:val="00FD1DAB"/>
    <w:rsid w:val="00FE098F"/>
    <w:rsid w:val="00FE216E"/>
    <w:rsid w:val="00FE581D"/>
    <w:rsid w:val="00FE5863"/>
    <w:rsid w:val="00FE5B41"/>
    <w:rsid w:val="00FE66D9"/>
    <w:rsid w:val="00FF5AF0"/>
    <w:rsid w:val="00FF6651"/>
    <w:rsid w:val="00FF7D3B"/>
    <w:rsid w:val="025D7BD7"/>
    <w:rsid w:val="0269775A"/>
    <w:rsid w:val="02C25BBA"/>
    <w:rsid w:val="02DE442C"/>
    <w:rsid w:val="082F05D4"/>
    <w:rsid w:val="0B183C29"/>
    <w:rsid w:val="0B1E24E0"/>
    <w:rsid w:val="0B5A65C0"/>
    <w:rsid w:val="0CF875C7"/>
    <w:rsid w:val="11210CC2"/>
    <w:rsid w:val="116264CE"/>
    <w:rsid w:val="11BB22E4"/>
    <w:rsid w:val="14E17DB7"/>
    <w:rsid w:val="17CD0A29"/>
    <w:rsid w:val="1B494A52"/>
    <w:rsid w:val="1C171F02"/>
    <w:rsid w:val="1E560A60"/>
    <w:rsid w:val="228F5F0E"/>
    <w:rsid w:val="229301BF"/>
    <w:rsid w:val="238C4714"/>
    <w:rsid w:val="264A1CCB"/>
    <w:rsid w:val="2A4C0FCB"/>
    <w:rsid w:val="2E6F7A4E"/>
    <w:rsid w:val="2F734E5C"/>
    <w:rsid w:val="31DD527D"/>
    <w:rsid w:val="33791699"/>
    <w:rsid w:val="34E314EC"/>
    <w:rsid w:val="36FC6473"/>
    <w:rsid w:val="39257DDA"/>
    <w:rsid w:val="3A0467BD"/>
    <w:rsid w:val="3C691AF5"/>
    <w:rsid w:val="3CB2375D"/>
    <w:rsid w:val="3DA13C94"/>
    <w:rsid w:val="40DF0343"/>
    <w:rsid w:val="41715BE0"/>
    <w:rsid w:val="42164D42"/>
    <w:rsid w:val="429E431E"/>
    <w:rsid w:val="439D3FF2"/>
    <w:rsid w:val="44C244DF"/>
    <w:rsid w:val="471C2891"/>
    <w:rsid w:val="4A740EE0"/>
    <w:rsid w:val="4E9728F5"/>
    <w:rsid w:val="4EE67768"/>
    <w:rsid w:val="51293DA9"/>
    <w:rsid w:val="514637DC"/>
    <w:rsid w:val="54B10076"/>
    <w:rsid w:val="5681223D"/>
    <w:rsid w:val="570D5ACD"/>
    <w:rsid w:val="58876E3F"/>
    <w:rsid w:val="5A1131B6"/>
    <w:rsid w:val="5C336335"/>
    <w:rsid w:val="5C38160B"/>
    <w:rsid w:val="5C755255"/>
    <w:rsid w:val="615B0C4B"/>
    <w:rsid w:val="62F12936"/>
    <w:rsid w:val="64B434AD"/>
    <w:rsid w:val="651223E0"/>
    <w:rsid w:val="66FA709F"/>
    <w:rsid w:val="696E2EB9"/>
    <w:rsid w:val="69D414EB"/>
    <w:rsid w:val="69E10F26"/>
    <w:rsid w:val="6A475032"/>
    <w:rsid w:val="6A51208C"/>
    <w:rsid w:val="6B7B2A36"/>
    <w:rsid w:val="6BEB0E6B"/>
    <w:rsid w:val="729B048D"/>
    <w:rsid w:val="73A759C8"/>
    <w:rsid w:val="7519181C"/>
    <w:rsid w:val="75D605CB"/>
    <w:rsid w:val="7BC1457E"/>
    <w:rsid w:val="7DC12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自选图形 579"/>
        <o:r id="V:Rule2" type="connector" idref="#_x0000_s2055"/>
        <o:r id="V:Rule3" type="connector" idref="#_x0000_s2059"/>
        <o:r id="V:Rule4" type="connector" idref="#自选图形 1155"/>
        <o:r id="V:Rule5" type="connector" idref="#_x0000_s2099"/>
        <o:r id="V:Rule6" type="connector" idref="#_x0000_s2108"/>
        <o:r id="V:Rule7" type="connector" idref="#_x0000_s2109"/>
        <o:r id="V:Rule8" type="connector" idref="#_x0000_s2110"/>
        <o:r id="V:Rule9" type="connector" idref="#_x0000_s2111"/>
        <o:r id="V:Rule10" type="connector" idref="#_x0000_s2112"/>
        <o:r id="V:Rule11" type="connector" idref="#_x0000_s2113"/>
        <o:r id="V:Rule12" type="connector" idref="#_x0000_s2114"/>
        <o:r id="V:Rule13" type="connector" idref="#_x0000_s2115"/>
        <o:r id="V:Rule14" type="connector" idref="#_x0000_s2116"/>
        <o:r id="V:Rule15" type="connector" idref="#_x0000_s2117"/>
        <o:r id="V:Rule16" type="connector" idref="#_x0000_s2118"/>
        <o:r id="V:Rule17" type="connector" idref="#_x0000_s2119"/>
        <o:r id="V:Rule18" type="connector" idref="#_x0000_s2120"/>
        <o:r id="V:Rule19" type="connector" idref="#_x0000_s2121"/>
        <o:r id="V:Rule20" type="connector" idref="#_x0000_s2130"/>
        <o:r id="V:Rule21" type="connector" idref="#_x0000_s2131"/>
        <o:r id="V:Rule22" type="connector" idref="#_x0000_s2133"/>
        <o:r id="V:Rule23" type="connector" idref="#_x0000_s2134"/>
        <o:r id="V:Rule24" type="connector" idref="#_x0000_s2135"/>
        <o:r id="V:Rule25" type="connector" idref="#_x0000_s2136"/>
        <o:r id="V:Rule26" type="connector" idref="#_x0000_s2137"/>
        <o:r id="V:Rule27" type="connector" idref="#_x0000_s2139"/>
        <o:r id="V:Rule28" type="connector" idref="#_x0000_s2141"/>
        <o:r id="V:Rule29" type="connector" idref="#_x0000_s2144"/>
        <o:r id="V:Rule30" type="connector" idref="#_x0000_s2145"/>
        <o:r id="V:Rule31" type="connector" idref="#_x0000_s2148"/>
        <o:r id="V:Rule32" type="connector" idref="#_x0000_s2150"/>
        <o:r id="V:Rule33" type="connector" idref="#自选图形 755"/>
        <o:r id="V:Rule34" type="connector" idref="#自选图形 756"/>
        <o:r id="V:Rule35" type="connector" idref="#自选图形 759"/>
        <o:r id="V:Rule36" type="connector" idref="#自选图形 760"/>
        <o:r id="V:Rule37" type="connector" idref="#自选图形 764"/>
        <o:r id="V:Rule38" type="connector" idref="#自选图形 760"/>
        <o:r id="V:Rule39" type="connector" idref="#自选图形 759"/>
        <o:r id="V:Rule40" type="connector" idref="#自选图形 76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8"/>
    <w:qFormat/>
    <w:uiPriority w:val="9"/>
    <w:pPr>
      <w:keepNext/>
      <w:keepLines/>
      <w:spacing w:before="260" w:after="260" w:line="416" w:lineRule="auto"/>
      <w:outlineLvl w:val="1"/>
    </w:pPr>
    <w:rPr>
      <w:rFonts w:ascii="Calibri Light" w:hAnsi="Calibri Light"/>
      <w:b/>
      <w:bCs/>
      <w:sz w:val="32"/>
      <w:szCs w:val="32"/>
    </w:rPr>
  </w:style>
  <w:style w:type="paragraph" w:styleId="5">
    <w:name w:val="heading 3"/>
    <w:basedOn w:val="1"/>
    <w:next w:val="1"/>
    <w:link w:val="37"/>
    <w:qFormat/>
    <w:uiPriority w:val="9"/>
    <w:pPr>
      <w:keepNext/>
      <w:keepLines/>
      <w:spacing w:before="260" w:after="260" w:line="416" w:lineRule="auto"/>
      <w:outlineLvl w:val="2"/>
    </w:pPr>
    <w:rPr>
      <w:b/>
      <w:bCs/>
      <w:sz w:val="32"/>
      <w:szCs w:val="32"/>
    </w:rPr>
  </w:style>
  <w:style w:type="paragraph" w:styleId="6">
    <w:name w:val="heading 4"/>
    <w:basedOn w:val="1"/>
    <w:next w:val="1"/>
    <w:link w:val="47"/>
    <w:qFormat/>
    <w:uiPriority w:val="9"/>
    <w:pPr>
      <w:keepNext/>
      <w:keepLines/>
      <w:spacing w:before="280" w:after="290" w:line="376" w:lineRule="auto"/>
      <w:outlineLvl w:val="3"/>
    </w:pPr>
    <w:rPr>
      <w:rFonts w:ascii="Calibri Light" w:hAnsi="Calibri Light"/>
      <w:b/>
      <w:bCs/>
      <w:sz w:val="28"/>
      <w:szCs w:val="28"/>
    </w:rPr>
  </w:style>
  <w:style w:type="character" w:default="1" w:styleId="28">
    <w:name w:val="Default Paragraph Font"/>
    <w:unhideWhenUsed/>
    <w:qFormat/>
    <w:uiPriority w:val="1"/>
  </w:style>
  <w:style w:type="table" w:default="1" w:styleId="33">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annotation subject"/>
    <w:basedOn w:val="8"/>
    <w:next w:val="8"/>
    <w:link w:val="52"/>
    <w:unhideWhenUsed/>
    <w:qFormat/>
    <w:uiPriority w:val="99"/>
    <w:rPr>
      <w:b/>
      <w:bCs/>
    </w:rPr>
  </w:style>
  <w:style w:type="paragraph" w:styleId="8">
    <w:name w:val="annotation text"/>
    <w:basedOn w:val="1"/>
    <w:link w:val="41"/>
    <w:unhideWhenUsed/>
    <w:qFormat/>
    <w:uiPriority w:val="99"/>
    <w:pPr>
      <w:jc w:val="left"/>
    </w:pPr>
  </w:style>
  <w:style w:type="paragraph" w:styleId="9">
    <w:name w:val="Normal Indent"/>
    <w:basedOn w:val="1"/>
    <w:link w:val="40"/>
    <w:qFormat/>
    <w:uiPriority w:val="0"/>
    <w:pPr>
      <w:spacing w:line="360" w:lineRule="auto"/>
      <w:ind w:firstLine="560" w:firstLineChars="200"/>
    </w:pPr>
    <w:rPr>
      <w:rFonts w:ascii="Times New Roman" w:hAnsi="Times New Roman"/>
      <w:kern w:val="0"/>
      <w:sz w:val="24"/>
      <w:szCs w:val="20"/>
    </w:rPr>
  </w:style>
  <w:style w:type="paragraph" w:styleId="10">
    <w:name w:val="caption"/>
    <w:basedOn w:val="1"/>
    <w:next w:val="1"/>
    <w:qFormat/>
    <w:uiPriority w:val="35"/>
    <w:pPr>
      <w:widowControl/>
      <w:spacing w:line="360" w:lineRule="auto"/>
      <w:ind w:right="-675" w:rightChars="-675"/>
      <w:jc w:val="left"/>
    </w:pPr>
    <w:rPr>
      <w:rFonts w:ascii="Cambria" w:hAnsi="Cambria" w:eastAsia="黑体"/>
      <w:sz w:val="20"/>
      <w:szCs w:val="20"/>
    </w:rPr>
  </w:style>
  <w:style w:type="paragraph" w:styleId="11">
    <w:name w:val="Document Map"/>
    <w:basedOn w:val="1"/>
    <w:link w:val="51"/>
    <w:unhideWhenUsed/>
    <w:qFormat/>
    <w:uiPriority w:val="99"/>
    <w:rPr>
      <w:rFonts w:ascii="宋体"/>
      <w:sz w:val="18"/>
      <w:szCs w:val="18"/>
    </w:rPr>
  </w:style>
  <w:style w:type="paragraph" w:styleId="12">
    <w:name w:val="Body Text"/>
    <w:basedOn w:val="1"/>
    <w:link w:val="43"/>
    <w:unhideWhenUsed/>
    <w:qFormat/>
    <w:uiPriority w:val="99"/>
    <w:pPr>
      <w:spacing w:after="120"/>
    </w:pPr>
  </w:style>
  <w:style w:type="paragraph" w:styleId="13">
    <w:name w:val="Body Text Indent"/>
    <w:basedOn w:val="1"/>
    <w:next w:val="1"/>
    <w:qFormat/>
    <w:uiPriority w:val="99"/>
    <w:pPr>
      <w:spacing w:line="360" w:lineRule="auto"/>
      <w:ind w:firstLine="480" w:firstLineChars="200"/>
    </w:pPr>
    <w:rPr>
      <w:kern w:val="0"/>
    </w:rPr>
  </w:style>
  <w:style w:type="paragraph" w:styleId="14">
    <w:name w:val="Plain Text"/>
    <w:basedOn w:val="1"/>
    <w:qFormat/>
    <w:uiPriority w:val="0"/>
    <w:rPr>
      <w:rFonts w:ascii="宋体" w:hAnsi="Courier New"/>
      <w:kern w:val="0"/>
      <w:sz w:val="20"/>
      <w:szCs w:val="20"/>
    </w:rPr>
  </w:style>
  <w:style w:type="paragraph" w:styleId="15">
    <w:name w:val="Date"/>
    <w:basedOn w:val="1"/>
    <w:next w:val="1"/>
    <w:link w:val="56"/>
    <w:unhideWhenUsed/>
    <w:qFormat/>
    <w:uiPriority w:val="99"/>
    <w:pPr>
      <w:ind w:left="100" w:leftChars="2500"/>
    </w:pPr>
  </w:style>
  <w:style w:type="paragraph" w:styleId="16">
    <w:name w:val="Body Text Indent 2"/>
    <w:basedOn w:val="1"/>
    <w:qFormat/>
    <w:uiPriority w:val="0"/>
    <w:pPr>
      <w:spacing w:line="540" w:lineRule="exact"/>
      <w:ind w:firstLine="490" w:firstLineChars="177"/>
    </w:pPr>
    <w:rPr>
      <w:rFonts w:eastAsia="仿宋_GB2312"/>
      <w:kern w:val="0"/>
      <w:sz w:val="28"/>
    </w:rPr>
  </w:style>
  <w:style w:type="paragraph" w:styleId="17">
    <w:name w:val="Balloon Text"/>
    <w:basedOn w:val="1"/>
    <w:link w:val="42"/>
    <w:unhideWhenUsed/>
    <w:qFormat/>
    <w:uiPriority w:val="99"/>
    <w:rPr>
      <w:sz w:val="18"/>
      <w:szCs w:val="18"/>
    </w:rPr>
  </w:style>
  <w:style w:type="paragraph" w:styleId="18">
    <w:name w:val="footer"/>
    <w:basedOn w:val="1"/>
    <w:link w:val="53"/>
    <w:unhideWhenUsed/>
    <w:qFormat/>
    <w:uiPriority w:val="99"/>
    <w:pPr>
      <w:tabs>
        <w:tab w:val="center" w:pos="4153"/>
        <w:tab w:val="right" w:pos="8306"/>
      </w:tabs>
      <w:snapToGrid w:val="0"/>
      <w:jc w:val="left"/>
    </w:pPr>
    <w:rPr>
      <w:sz w:val="18"/>
      <w:szCs w:val="18"/>
    </w:rPr>
  </w:style>
  <w:style w:type="paragraph" w:styleId="19">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style>
  <w:style w:type="paragraph" w:styleId="21">
    <w:name w:val="Subtitle"/>
    <w:basedOn w:val="1"/>
    <w:qFormat/>
    <w:uiPriority w:val="0"/>
    <w:pPr>
      <w:spacing w:before="240" w:after="60" w:line="312" w:lineRule="auto"/>
      <w:jc w:val="center"/>
      <w:outlineLvl w:val="1"/>
    </w:pPr>
    <w:rPr>
      <w:rFonts w:ascii="Arial" w:hAnsi="Arial"/>
      <w:b/>
      <w:bCs/>
      <w:kern w:val="28"/>
      <w:sz w:val="32"/>
      <w:szCs w:val="32"/>
    </w:rPr>
  </w:style>
  <w:style w:type="paragraph" w:styleId="22">
    <w:name w:val="List"/>
    <w:basedOn w:val="1"/>
    <w:next w:val="1"/>
    <w:qFormat/>
    <w:uiPriority w:val="0"/>
    <w:pPr>
      <w:adjustRightInd w:val="0"/>
      <w:snapToGrid w:val="0"/>
      <w:jc w:val="center"/>
    </w:pPr>
    <w:rPr>
      <w:rFonts w:ascii="Times New Roman" w:hAnsi="Times New Roman"/>
      <w:kern w:val="0"/>
      <w:szCs w:val="20"/>
    </w:rPr>
  </w:style>
  <w:style w:type="paragraph" w:styleId="23">
    <w:name w:val="Body Text Indent 3"/>
    <w:basedOn w:val="1"/>
    <w:link w:val="46"/>
    <w:unhideWhenUsed/>
    <w:qFormat/>
    <w:uiPriority w:val="99"/>
    <w:pPr>
      <w:spacing w:after="120"/>
      <w:ind w:left="420" w:leftChars="200"/>
    </w:pPr>
    <w:rPr>
      <w:sz w:val="16"/>
      <w:szCs w:val="16"/>
    </w:rPr>
  </w:style>
  <w:style w:type="paragraph" w:styleId="24">
    <w:name w:val="toc 2"/>
    <w:basedOn w:val="1"/>
    <w:next w:val="1"/>
    <w:unhideWhenUsed/>
    <w:qFormat/>
    <w:uiPriority w:val="39"/>
    <w:pPr>
      <w:ind w:left="420" w:leftChars="200"/>
    </w:pPr>
  </w:style>
  <w:style w:type="paragraph" w:styleId="25">
    <w:name w:val="Body Text 2"/>
    <w:basedOn w:val="1"/>
    <w:qFormat/>
    <w:uiPriority w:val="0"/>
    <w:pPr>
      <w:spacing w:line="360" w:lineRule="auto"/>
    </w:pPr>
    <w:rPr>
      <w:color w:val="000000"/>
      <w:kern w:val="0"/>
    </w:rPr>
  </w:style>
  <w:style w:type="paragraph" w:styleId="26">
    <w:name w:val="HTML Preformatted"/>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27">
    <w:name w:val="Normal (Web)"/>
    <w:basedOn w:val="1"/>
    <w:qFormat/>
    <w:uiPriority w:val="0"/>
    <w:pPr>
      <w:widowControl/>
      <w:spacing w:before="100" w:beforeAutospacing="1" w:after="100" w:afterAutospacing="1"/>
      <w:jc w:val="left"/>
    </w:pPr>
    <w:rPr>
      <w:rFonts w:ascii="宋体" w:hAnsi="宋体" w:cs="宋体"/>
      <w:kern w:val="0"/>
    </w:rPr>
  </w:style>
  <w:style w:type="character" w:styleId="29">
    <w:name w:val="page number"/>
    <w:basedOn w:val="28"/>
    <w:qFormat/>
    <w:uiPriority w:val="0"/>
  </w:style>
  <w:style w:type="character" w:styleId="30">
    <w:name w:val="Emphasis"/>
    <w:basedOn w:val="28"/>
    <w:qFormat/>
    <w:uiPriority w:val="20"/>
    <w:rPr>
      <w:i/>
    </w:rPr>
  </w:style>
  <w:style w:type="character" w:styleId="31">
    <w:name w:val="Hyperlink"/>
    <w:basedOn w:val="28"/>
    <w:unhideWhenUsed/>
    <w:qFormat/>
    <w:uiPriority w:val="99"/>
    <w:rPr>
      <w:color w:val="0563C1"/>
      <w:u w:val="single"/>
    </w:rPr>
  </w:style>
  <w:style w:type="character" w:styleId="32">
    <w:name w:val="annotation reference"/>
    <w:basedOn w:val="28"/>
    <w:unhideWhenUsed/>
    <w:qFormat/>
    <w:uiPriority w:val="99"/>
    <w:rPr>
      <w:sz w:val="21"/>
      <w:szCs w:val="21"/>
    </w:rPr>
  </w:style>
  <w:style w:type="table" w:styleId="34">
    <w:name w:val="Table Grid"/>
    <w:basedOn w:val="3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5">
    <w:name w:val="【表中文字】 Char"/>
    <w:link w:val="36"/>
    <w:qFormat/>
    <w:uiPriority w:val="0"/>
    <w:rPr>
      <w:rFonts w:ascii="Times New Roman" w:hAnsi="Times New Roman" w:eastAsia="宋体" w:cs="Times New Roman"/>
      <w:szCs w:val="20"/>
    </w:rPr>
  </w:style>
  <w:style w:type="paragraph" w:customStyle="1" w:styleId="36">
    <w:name w:val="【表中文字】"/>
    <w:basedOn w:val="1"/>
    <w:link w:val="35"/>
    <w:qFormat/>
    <w:uiPriority w:val="0"/>
    <w:pPr>
      <w:adjustRightInd w:val="0"/>
      <w:snapToGrid w:val="0"/>
      <w:jc w:val="center"/>
    </w:pPr>
    <w:rPr>
      <w:rFonts w:ascii="Times New Roman" w:hAnsi="Times New Roman"/>
      <w:kern w:val="0"/>
      <w:sz w:val="20"/>
      <w:szCs w:val="20"/>
    </w:rPr>
  </w:style>
  <w:style w:type="character" w:customStyle="1" w:styleId="37">
    <w:name w:val="标题 3 Char"/>
    <w:basedOn w:val="28"/>
    <w:link w:val="5"/>
    <w:semiHidden/>
    <w:qFormat/>
    <w:uiPriority w:val="9"/>
    <w:rPr>
      <w:b/>
      <w:bCs/>
      <w:sz w:val="32"/>
      <w:szCs w:val="32"/>
    </w:rPr>
  </w:style>
  <w:style w:type="character" w:customStyle="1" w:styleId="38">
    <w:name w:val="表 头 Char"/>
    <w:link w:val="39"/>
    <w:qFormat/>
    <w:uiPriority w:val="0"/>
    <w:rPr>
      <w:rFonts w:eastAsia="黑体"/>
      <w:spacing w:val="10"/>
      <w:sz w:val="24"/>
    </w:rPr>
  </w:style>
  <w:style w:type="paragraph" w:customStyle="1" w:styleId="39">
    <w:name w:val="表 头"/>
    <w:basedOn w:val="1"/>
    <w:link w:val="38"/>
    <w:qFormat/>
    <w:uiPriority w:val="0"/>
    <w:pPr>
      <w:adjustRightInd w:val="0"/>
      <w:spacing w:before="120" w:after="120" w:line="360" w:lineRule="atLeast"/>
      <w:jc w:val="center"/>
    </w:pPr>
    <w:rPr>
      <w:rFonts w:ascii="Times New Roman" w:hAnsi="Times New Roman" w:eastAsia="黑体"/>
      <w:spacing w:val="10"/>
      <w:kern w:val="0"/>
      <w:sz w:val="24"/>
      <w:szCs w:val="20"/>
    </w:rPr>
  </w:style>
  <w:style w:type="character" w:customStyle="1" w:styleId="40">
    <w:name w:val="正文缩进 Char"/>
    <w:link w:val="9"/>
    <w:qFormat/>
    <w:uiPriority w:val="0"/>
    <w:rPr>
      <w:rFonts w:eastAsia="宋体"/>
      <w:sz w:val="24"/>
    </w:rPr>
  </w:style>
  <w:style w:type="character" w:customStyle="1" w:styleId="41">
    <w:name w:val="批注文字 Char"/>
    <w:basedOn w:val="28"/>
    <w:link w:val="8"/>
    <w:semiHidden/>
    <w:qFormat/>
    <w:uiPriority w:val="99"/>
  </w:style>
  <w:style w:type="character" w:customStyle="1" w:styleId="42">
    <w:name w:val="批注框文本 Char"/>
    <w:basedOn w:val="28"/>
    <w:link w:val="17"/>
    <w:semiHidden/>
    <w:qFormat/>
    <w:uiPriority w:val="99"/>
    <w:rPr>
      <w:sz w:val="18"/>
      <w:szCs w:val="18"/>
    </w:rPr>
  </w:style>
  <w:style w:type="character" w:customStyle="1" w:styleId="43">
    <w:name w:val="正文文本 Char"/>
    <w:basedOn w:val="28"/>
    <w:link w:val="12"/>
    <w:qFormat/>
    <w:uiPriority w:val="99"/>
  </w:style>
  <w:style w:type="character" w:customStyle="1" w:styleId="44">
    <w:name w:val="无间隔 Char"/>
    <w:basedOn w:val="28"/>
    <w:link w:val="45"/>
    <w:qFormat/>
    <w:uiPriority w:val="1"/>
    <w:rPr>
      <w:rFonts w:ascii="Calibri" w:hAnsi="Calibri"/>
      <w:sz w:val="22"/>
      <w:szCs w:val="22"/>
      <w:lang w:val="en-US" w:eastAsia="zh-CN" w:bidi="ar-SA"/>
    </w:rPr>
  </w:style>
  <w:style w:type="paragraph" w:styleId="45">
    <w:name w:val="No Spacing"/>
    <w:link w:val="44"/>
    <w:qFormat/>
    <w:uiPriority w:val="1"/>
    <w:rPr>
      <w:rFonts w:ascii="Calibri" w:hAnsi="Calibri" w:eastAsia="宋体" w:cs="Times New Roman"/>
      <w:sz w:val="22"/>
      <w:szCs w:val="22"/>
      <w:lang w:val="en-US" w:eastAsia="zh-CN" w:bidi="ar-SA"/>
    </w:rPr>
  </w:style>
  <w:style w:type="character" w:customStyle="1" w:styleId="46">
    <w:name w:val="正文文本缩进 3 Char"/>
    <w:basedOn w:val="28"/>
    <w:link w:val="23"/>
    <w:semiHidden/>
    <w:qFormat/>
    <w:uiPriority w:val="99"/>
    <w:rPr>
      <w:sz w:val="16"/>
      <w:szCs w:val="16"/>
    </w:rPr>
  </w:style>
  <w:style w:type="character" w:customStyle="1" w:styleId="47">
    <w:name w:val="标题 4 Char"/>
    <w:basedOn w:val="28"/>
    <w:link w:val="6"/>
    <w:qFormat/>
    <w:uiPriority w:val="9"/>
    <w:rPr>
      <w:rFonts w:ascii="Calibri Light" w:hAnsi="Calibri Light" w:eastAsia="宋体" w:cs="Times New Roman"/>
      <w:b/>
      <w:bCs/>
      <w:sz w:val="28"/>
      <w:szCs w:val="28"/>
    </w:rPr>
  </w:style>
  <w:style w:type="character" w:customStyle="1" w:styleId="48">
    <w:name w:val="标题 2 Char"/>
    <w:basedOn w:val="28"/>
    <w:link w:val="4"/>
    <w:qFormat/>
    <w:uiPriority w:val="9"/>
    <w:rPr>
      <w:rFonts w:ascii="Calibri Light" w:hAnsi="Calibri Light" w:eastAsia="宋体" w:cs="Times New Roman"/>
      <w:b/>
      <w:bCs/>
      <w:sz w:val="32"/>
      <w:szCs w:val="32"/>
    </w:rPr>
  </w:style>
  <w:style w:type="character" w:customStyle="1" w:styleId="49">
    <w:name w:val="页眉 Char"/>
    <w:basedOn w:val="28"/>
    <w:link w:val="19"/>
    <w:qFormat/>
    <w:uiPriority w:val="99"/>
    <w:rPr>
      <w:sz w:val="18"/>
      <w:szCs w:val="18"/>
    </w:rPr>
  </w:style>
  <w:style w:type="character" w:customStyle="1" w:styleId="50">
    <w:name w:val="标题 1 Char"/>
    <w:basedOn w:val="28"/>
    <w:link w:val="3"/>
    <w:qFormat/>
    <w:uiPriority w:val="9"/>
    <w:rPr>
      <w:b/>
      <w:bCs/>
      <w:kern w:val="44"/>
      <w:sz w:val="44"/>
      <w:szCs w:val="44"/>
    </w:rPr>
  </w:style>
  <w:style w:type="character" w:customStyle="1" w:styleId="51">
    <w:name w:val="文档结构图 Char"/>
    <w:basedOn w:val="28"/>
    <w:link w:val="11"/>
    <w:semiHidden/>
    <w:qFormat/>
    <w:uiPriority w:val="99"/>
    <w:rPr>
      <w:rFonts w:ascii="宋体" w:eastAsia="宋体"/>
      <w:sz w:val="18"/>
      <w:szCs w:val="18"/>
    </w:rPr>
  </w:style>
  <w:style w:type="character" w:customStyle="1" w:styleId="52">
    <w:name w:val="批注主题 Char"/>
    <w:basedOn w:val="41"/>
    <w:link w:val="7"/>
    <w:semiHidden/>
    <w:qFormat/>
    <w:uiPriority w:val="99"/>
    <w:rPr>
      <w:b/>
      <w:bCs/>
    </w:rPr>
  </w:style>
  <w:style w:type="character" w:customStyle="1" w:styleId="53">
    <w:name w:val="页脚 Char"/>
    <w:basedOn w:val="28"/>
    <w:link w:val="18"/>
    <w:qFormat/>
    <w:uiPriority w:val="99"/>
    <w:rPr>
      <w:sz w:val="18"/>
      <w:szCs w:val="18"/>
    </w:rPr>
  </w:style>
  <w:style w:type="character" w:customStyle="1" w:styleId="54">
    <w:name w:val="0表格/图头 Char"/>
    <w:link w:val="55"/>
    <w:qFormat/>
    <w:uiPriority w:val="0"/>
    <w:rPr>
      <w:b/>
      <w:szCs w:val="24"/>
    </w:rPr>
  </w:style>
  <w:style w:type="paragraph" w:customStyle="1" w:styleId="55">
    <w:name w:val="0表格/图头"/>
    <w:basedOn w:val="1"/>
    <w:link w:val="54"/>
    <w:qFormat/>
    <w:uiPriority w:val="0"/>
    <w:pPr>
      <w:spacing w:line="360" w:lineRule="auto"/>
      <w:ind w:firstLine="34" w:firstLineChars="16"/>
      <w:jc w:val="center"/>
    </w:pPr>
    <w:rPr>
      <w:rFonts w:ascii="Times New Roman" w:hAnsi="Times New Roman"/>
      <w:b/>
      <w:kern w:val="0"/>
      <w:sz w:val="20"/>
      <w:szCs w:val="24"/>
    </w:rPr>
  </w:style>
  <w:style w:type="character" w:customStyle="1" w:styleId="56">
    <w:name w:val="日期 Char"/>
    <w:basedOn w:val="28"/>
    <w:link w:val="15"/>
    <w:semiHidden/>
    <w:qFormat/>
    <w:uiPriority w:val="99"/>
  </w:style>
  <w:style w:type="paragraph" w:customStyle="1" w:styleId="57">
    <w:name w:val="正文文本缩进 21"/>
    <w:basedOn w:val="1"/>
    <w:qFormat/>
    <w:uiPriority w:val="0"/>
    <w:pPr>
      <w:spacing w:line="440" w:lineRule="exact"/>
      <w:ind w:firstLine="435"/>
    </w:pPr>
    <w:rPr>
      <w:rFonts w:ascii="Times New Roman" w:hAnsi="Times New Roman"/>
      <w:sz w:val="24"/>
      <w:szCs w:val="20"/>
    </w:rPr>
  </w:style>
  <w:style w:type="paragraph" w:styleId="58">
    <w:name w:val="List Paragraph"/>
    <w:basedOn w:val="1"/>
    <w:qFormat/>
    <w:uiPriority w:val="34"/>
    <w:pPr>
      <w:ind w:firstLine="420" w:firstLineChars="200"/>
    </w:pPr>
  </w:style>
  <w:style w:type="paragraph" w:customStyle="1" w:styleId="59">
    <w:name w:val="正文-蓝色"/>
    <w:basedOn w:val="60"/>
    <w:qFormat/>
    <w:uiPriority w:val="0"/>
    <w:pPr>
      <w:ind w:firstLine="480"/>
    </w:pPr>
    <w:rPr>
      <w:color w:val="0000FF"/>
    </w:rPr>
  </w:style>
  <w:style w:type="paragraph" w:customStyle="1" w:styleId="60">
    <w:name w:val="正文-欣欣"/>
    <w:basedOn w:val="1"/>
    <w:qFormat/>
    <w:uiPriority w:val="0"/>
    <w:pPr>
      <w:adjustRightInd w:val="0"/>
      <w:spacing w:line="360" w:lineRule="auto"/>
      <w:ind w:firstLine="200" w:firstLineChars="200"/>
    </w:pPr>
    <w:rPr>
      <w:rFonts w:cs="Courier New"/>
      <w:sz w:val="24"/>
      <w:szCs w:val="21"/>
    </w:rPr>
  </w:style>
  <w:style w:type="paragraph" w:customStyle="1" w:styleId="61">
    <w:name w:val="表格首行"/>
    <w:basedOn w:val="1"/>
    <w:next w:val="1"/>
    <w:qFormat/>
    <w:uiPriority w:val="0"/>
    <w:pPr>
      <w:adjustRightInd w:val="0"/>
      <w:jc w:val="center"/>
    </w:pPr>
    <w:rPr>
      <w:rFonts w:cs="宋体"/>
      <w:b/>
      <w:szCs w:val="20"/>
    </w:rPr>
  </w:style>
  <w:style w:type="paragraph" w:customStyle="1" w:styleId="62">
    <w:name w:val="文本正文3"/>
    <w:qFormat/>
    <w:uiPriority w:val="0"/>
    <w:pPr>
      <w:spacing w:line="360" w:lineRule="auto"/>
      <w:ind w:firstLine="177" w:firstLineChars="177"/>
    </w:pPr>
    <w:rPr>
      <w:rFonts w:ascii="Times New Roman" w:hAnsi="Times New Roman" w:eastAsia="宋体" w:cs="Times New Roman"/>
      <w:kern w:val="2"/>
      <w:sz w:val="24"/>
      <w:szCs w:val="21"/>
      <w:lang w:val="en-US" w:eastAsia="zh-CN" w:bidi="ar-SA"/>
    </w:rPr>
  </w:style>
  <w:style w:type="paragraph" w:customStyle="1" w:styleId="63">
    <w:name w:val="TOC 标题1"/>
    <w:basedOn w:val="3"/>
    <w:next w:val="1"/>
    <w:unhideWhenUsed/>
    <w:qFormat/>
    <w:uiPriority w:val="39"/>
    <w:pPr>
      <w:widowControl/>
      <w:spacing w:before="240" w:after="0" w:line="259" w:lineRule="auto"/>
      <w:jc w:val="left"/>
      <w:outlineLvl w:val="9"/>
    </w:pPr>
    <w:rPr>
      <w:rFonts w:ascii="Calibri Light" w:hAnsi="Calibri Light"/>
      <w:b w:val="0"/>
      <w:bCs w:val="0"/>
      <w:color w:val="2E75B5"/>
      <w:kern w:val="0"/>
      <w:sz w:val="32"/>
      <w:szCs w:val="32"/>
    </w:rPr>
  </w:style>
  <w:style w:type="paragraph" w:customStyle="1" w:styleId="64">
    <w:name w:val="报告表格"/>
    <w:basedOn w:val="1"/>
    <w:qFormat/>
    <w:uiPriority w:val="0"/>
    <w:pPr>
      <w:autoSpaceDE w:val="0"/>
      <w:autoSpaceDN w:val="0"/>
      <w:spacing w:before="40" w:after="40"/>
      <w:ind w:firstLine="1040" w:firstLineChars="200"/>
      <w:jc w:val="center"/>
      <w:textAlignment w:val="bottom"/>
    </w:pPr>
    <w:rPr>
      <w:rFonts w:ascii="Times New Roman" w:hAnsi="Times New Roman"/>
      <w:sz w:val="24"/>
      <w:szCs w:val="24"/>
    </w:rPr>
  </w:style>
  <w:style w:type="paragraph" w:customStyle="1" w:styleId="65">
    <w:name w:val="Table Paragraph"/>
    <w:basedOn w:val="1"/>
    <w:qFormat/>
    <w:uiPriority w:val="1"/>
    <w:pPr>
      <w:autoSpaceDE w:val="0"/>
      <w:autoSpaceDN w:val="0"/>
      <w:adjustRightInd w:val="0"/>
      <w:jc w:val="left"/>
    </w:pPr>
    <w:rPr>
      <w:rFonts w:ascii="Times New Roman" w:hAnsi="Times New Roman"/>
      <w:kern w:val="0"/>
      <w:sz w:val="24"/>
      <w:szCs w:val="24"/>
    </w:rPr>
  </w:style>
  <w:style w:type="paragraph" w:customStyle="1" w:styleId="66">
    <w:name w:val="Heading 3"/>
    <w:basedOn w:val="1"/>
    <w:qFormat/>
    <w:uiPriority w:val="1"/>
    <w:pPr>
      <w:spacing w:before="92"/>
      <w:ind w:left="128"/>
      <w:outlineLvl w:val="2"/>
    </w:pPr>
    <w:rPr>
      <w:b/>
      <w:bCs/>
      <w:sz w:val="28"/>
      <w:szCs w:val="28"/>
    </w:rPr>
  </w:style>
  <w:style w:type="paragraph" w:customStyle="1" w:styleId="67">
    <w:name w:val="表格文字"/>
    <w:qFormat/>
    <w:uiPriority w:val="99"/>
    <w:pPr>
      <w:widowControl w:val="0"/>
      <w:autoSpaceDE w:val="0"/>
      <w:autoSpaceDN w:val="0"/>
      <w:adjustRightInd w:val="0"/>
      <w:spacing w:line="320" w:lineRule="exact"/>
      <w:jc w:val="center"/>
      <w:textAlignment w:val="baseline"/>
    </w:pPr>
    <w:rPr>
      <w:rFonts w:ascii="宋体" w:hAnsi="Times New Roman" w:eastAsia="宋体" w:cs="Times New Roman"/>
      <w:color w:val="000000"/>
      <w:sz w:val="24"/>
      <w:lang w:val="en-US" w:eastAsia="zh-CN" w:bidi="ar-SA"/>
    </w:rPr>
  </w:style>
  <w:style w:type="paragraph" w:customStyle="1" w:styleId="68">
    <w:name w:val="Heading 1"/>
    <w:basedOn w:val="1"/>
    <w:qFormat/>
    <w:uiPriority w:val="1"/>
    <w:pPr>
      <w:outlineLvl w:val="0"/>
    </w:pPr>
    <w:rPr>
      <w:rFonts w:ascii="黑体" w:eastAsia="黑体" w:cs="黑体"/>
      <w:b/>
      <w:bCs/>
      <w:sz w:val="36"/>
      <w:szCs w:val="36"/>
    </w:rPr>
  </w:style>
  <w:style w:type="paragraph" w:customStyle="1" w:styleId="69">
    <w:name w:val="0正文"/>
    <w:basedOn w:val="13"/>
    <w:unhideWhenUsed/>
    <w:qFormat/>
    <w:uiPriority w:val="0"/>
    <w:pPr>
      <w:ind w:firstLine="720"/>
    </w:pPr>
    <w:rPr>
      <w:sz w:val="24"/>
    </w:rPr>
  </w:style>
  <w:style w:type="paragraph" w:customStyle="1" w:styleId="70">
    <w:name w:val="表格标题"/>
    <w:basedOn w:val="1"/>
    <w:qFormat/>
    <w:uiPriority w:val="0"/>
    <w:pPr>
      <w:spacing w:before="120"/>
      <w:jc w:val="center"/>
    </w:pPr>
    <w:rPr>
      <w:rFonts w:eastAsia="仿宋_GB2312"/>
      <w:szCs w:val="20"/>
    </w:rPr>
  </w:style>
  <w:style w:type="paragraph" w:customStyle="1" w:styleId="71">
    <w:name w:val="正文（标准）"/>
    <w:basedOn w:val="1"/>
    <w:qFormat/>
    <w:uiPriority w:val="0"/>
    <w:pPr>
      <w:adjustRightInd w:val="0"/>
      <w:spacing w:line="360" w:lineRule="auto"/>
      <w:ind w:firstLine="200" w:firstLineChars="200"/>
    </w:pPr>
    <w:rPr>
      <w:rFonts w:ascii="Times New Roman" w:hAnsi="Times New Roman"/>
      <w:sz w:val="24"/>
      <w:szCs w:val="30"/>
    </w:rPr>
  </w:style>
  <w:style w:type="paragraph" w:customStyle="1" w:styleId="72">
    <w:name w:val="标题 11"/>
    <w:basedOn w:val="1"/>
    <w:qFormat/>
    <w:uiPriority w:val="1"/>
    <w:pPr>
      <w:outlineLvl w:val="0"/>
    </w:pPr>
    <w:rPr>
      <w:rFonts w:ascii="黑体" w:eastAsia="黑体" w:cs="黑体"/>
      <w:b/>
      <w:bCs/>
      <w:sz w:val="36"/>
      <w:szCs w:val="36"/>
    </w:rPr>
  </w:style>
  <w:style w:type="paragraph" w:customStyle="1" w:styleId="73">
    <w:name w:val="表格式"/>
    <w:basedOn w:val="22"/>
    <w:qFormat/>
    <w:uiPriority w:val="0"/>
    <w:pPr>
      <w:spacing w:beforeLines="50" w:afterLines="50" w:line="200" w:lineRule="exact"/>
    </w:pPr>
  </w:style>
  <w:style w:type="paragraph" w:customStyle="1" w:styleId="74">
    <w:name w:val="Revision"/>
    <w:semiHidden/>
    <w:qFormat/>
    <w:uiPriority w:val="99"/>
    <w:rPr>
      <w:rFonts w:ascii="Calibri" w:hAnsi="Calibri" w:eastAsia="宋体" w:cs="Times New Roman"/>
      <w:kern w:val="2"/>
      <w:sz w:val="21"/>
      <w:szCs w:val="22"/>
      <w:lang w:val="en-US" w:eastAsia="zh-CN" w:bidi="ar-SA"/>
    </w:rPr>
  </w:style>
  <w:style w:type="paragraph" w:customStyle="1" w:styleId="75">
    <w:name w:val="_Style 12"/>
    <w:qFormat/>
    <w:uiPriority w:val="1"/>
    <w:pPr>
      <w:widowControl w:val="0"/>
      <w:spacing w:line="360" w:lineRule="auto"/>
      <w:ind w:right="-675" w:rightChars="-675"/>
      <w:jc w:val="both"/>
    </w:pPr>
    <w:rPr>
      <w:rFonts w:ascii="Times New Roman" w:hAnsi="Times New Roman" w:eastAsia="宋体" w:cs="Times New Roman"/>
      <w:kern w:val="2"/>
      <w:sz w:val="24"/>
      <w:szCs w:val="24"/>
      <w:lang w:val="en-US" w:eastAsia="zh-CN" w:bidi="ar-SA"/>
    </w:rPr>
  </w:style>
  <w:style w:type="paragraph" w:customStyle="1" w:styleId="76">
    <w:name w:val="正文2"/>
    <w:qFormat/>
    <w:uiPriority w:val="0"/>
    <w:pPr>
      <w:widowControl w:val="0"/>
      <w:adjustRightInd w:val="0"/>
      <w:spacing w:line="360" w:lineRule="atLeast"/>
      <w:textAlignment w:val="baseline"/>
    </w:pPr>
    <w:rPr>
      <w:rFonts w:ascii="宋体" w:hAnsi="Times New Roman" w:eastAsia="宋体" w:cs="Times New Roman"/>
      <w:sz w:val="24"/>
      <w:szCs w:val="22"/>
      <w:lang w:val="en-US" w:eastAsia="zh-CN" w:bidi="ar-SA"/>
    </w:rPr>
  </w:style>
  <w:style w:type="paragraph" w:customStyle="1" w:styleId="77">
    <w:name w:val="表格样式"/>
    <w:basedOn w:val="78"/>
    <w:qFormat/>
    <w:uiPriority w:val="0"/>
    <w:rPr>
      <w:b/>
    </w:rPr>
  </w:style>
  <w:style w:type="paragraph" w:customStyle="1" w:styleId="78">
    <w:name w:val="样式17"/>
    <w:basedOn w:val="1"/>
    <w:qFormat/>
    <w:uiPriority w:val="0"/>
    <w:pPr>
      <w:jc w:val="center"/>
    </w:pPr>
    <w:rPr>
      <w:szCs w:val="21"/>
    </w:rPr>
  </w:style>
  <w:style w:type="paragraph" w:customStyle="1" w:styleId="79">
    <w:name w:val="表格内容"/>
    <w:basedOn w:val="1"/>
    <w:next w:val="1"/>
    <w:qFormat/>
    <w:uiPriority w:val="0"/>
    <w:pPr>
      <w:spacing w:line="360" w:lineRule="auto"/>
      <w:jc w:val="center"/>
    </w:pPr>
    <w:rPr>
      <w:color w:val="000000"/>
    </w:rPr>
  </w:style>
  <w:style w:type="paragraph" w:customStyle="1" w:styleId="80">
    <w:name w:val="表头样式"/>
    <w:basedOn w:val="1"/>
    <w:qFormat/>
    <w:uiPriority w:val="0"/>
    <w:pPr>
      <w:spacing w:beforeLines="50" w:afterLines="50"/>
      <w:jc w:val="center"/>
    </w:pPr>
    <w:rPr>
      <w:b/>
      <w:szCs w:val="21"/>
    </w:rPr>
  </w:style>
  <w:style w:type="paragraph" w:customStyle="1" w:styleId="81">
    <w:name w:val="图表标题"/>
    <w:next w:val="1"/>
    <w:qFormat/>
    <w:uiPriority w:val="0"/>
    <w:pPr>
      <w:adjustRightInd w:val="0"/>
      <w:snapToGrid w:val="0"/>
      <w:jc w:val="center"/>
    </w:pPr>
    <w:rPr>
      <w:rFonts w:ascii="Times New Roman" w:hAnsi="Times New Roman" w:eastAsia="宋体" w:cs="Times New Roman"/>
      <w:b/>
      <w:kern w:val="2"/>
      <w:sz w:val="21"/>
      <w:szCs w:val="24"/>
      <w:lang w:val="en-US" w:eastAsia="zh-CN" w:bidi="ar-SA"/>
    </w:rPr>
  </w:style>
  <w:style w:type="paragraph" w:customStyle="1" w:styleId="82">
    <w:name w:val="表格文字2"/>
    <w:basedOn w:val="1"/>
    <w:qFormat/>
    <w:uiPriority w:val="99"/>
    <w:pPr>
      <w:adjustRightInd w:val="0"/>
      <w:spacing w:before="60" w:line="320" w:lineRule="exact"/>
      <w:jc w:val="center"/>
      <w:textAlignment w:val="baseline"/>
    </w:pPr>
    <w:rPr>
      <w:rFonts w:ascii="宋体" w:hAnsi="Times New Roman"/>
      <w:kern w:val="0"/>
      <w:sz w:val="24"/>
      <w:szCs w:val="20"/>
    </w:rPr>
  </w:style>
  <w:style w:type="paragraph" w:customStyle="1" w:styleId="83">
    <w:name w:val="【正文】"/>
    <w:basedOn w:val="1"/>
    <w:qFormat/>
    <w:uiPriority w:val="0"/>
    <w:pPr>
      <w:spacing w:line="440" w:lineRule="exact"/>
      <w:ind w:firstLine="544" w:firstLineChars="200"/>
    </w:pPr>
    <w:rPr>
      <w:spacing w:val="4"/>
    </w:rPr>
  </w:style>
  <w:style w:type="paragraph" w:customStyle="1" w:styleId="84">
    <w:name w:val="样式标题5"/>
    <w:basedOn w:val="1"/>
    <w:next w:val="85"/>
    <w:qFormat/>
    <w:uiPriority w:val="0"/>
    <w:pPr>
      <w:spacing w:line="520" w:lineRule="exact"/>
      <w:ind w:firstLine="400"/>
    </w:pPr>
  </w:style>
  <w:style w:type="paragraph" w:customStyle="1" w:styleId="85">
    <w:name w:val="报告书正文"/>
    <w:basedOn w:val="1"/>
    <w:next w:val="1"/>
    <w:qFormat/>
    <w:uiPriority w:val="0"/>
    <w:pPr>
      <w:spacing w:line="360" w:lineRule="auto"/>
      <w:ind w:firstLine="200" w:firstLineChars="200"/>
    </w:pPr>
  </w:style>
  <w:style w:type="paragraph" w:customStyle="1" w:styleId="86">
    <w:name w:val="正文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87">
    <w:name w:val="二级标题"/>
    <w:basedOn w:val="1"/>
    <w:qFormat/>
    <w:uiPriority w:val="99"/>
    <w:pPr>
      <w:outlineLvl w:val="1"/>
    </w:pPr>
    <w:rPr>
      <w:rFonts w:eastAsia="黑体"/>
      <w:sz w:val="30"/>
    </w:rPr>
  </w:style>
  <w:style w:type="paragraph" w:customStyle="1" w:styleId="88">
    <w:name w:val="p0"/>
    <w:basedOn w:val="1"/>
    <w:qFormat/>
    <w:uiPriority w:val="0"/>
    <w:pPr>
      <w:widowControl/>
    </w:pPr>
    <w:rPr>
      <w:kern w:val="0"/>
      <w:szCs w:val="21"/>
    </w:rPr>
  </w:style>
  <w:style w:type="paragraph" w:customStyle="1" w:styleId="89">
    <w:name w:val="标题 31"/>
    <w:basedOn w:val="1"/>
    <w:qFormat/>
    <w:uiPriority w:val="1"/>
    <w:pPr>
      <w:spacing w:before="92"/>
      <w:ind w:left="128"/>
      <w:outlineLvl w:val="2"/>
    </w:pPr>
    <w:rPr>
      <w:b/>
      <w:bCs/>
      <w:sz w:val="28"/>
      <w:szCs w:val="28"/>
    </w:rPr>
  </w:style>
  <w:style w:type="paragraph" w:customStyle="1" w:styleId="90">
    <w:name w:val="纯文本1"/>
    <w:basedOn w:val="1"/>
    <w:next w:val="1"/>
    <w:qFormat/>
    <w:uiPriority w:val="0"/>
    <w:pPr>
      <w:adjustRightInd w:val="0"/>
      <w:snapToGrid w:val="0"/>
      <w:spacing w:line="240" w:lineRule="atLeast"/>
      <w:ind w:left="-105" w:leftChars="-50" w:right="-105" w:rightChars="-50"/>
      <w:jc w:val="center"/>
    </w:pPr>
    <w:rPr>
      <w:szCs w:val="21"/>
    </w:rPr>
  </w:style>
  <w:style w:type="paragraph" w:customStyle="1" w:styleId="91">
    <w:name w:val="_Style 3"/>
    <w:next w:val="1"/>
    <w:qFormat/>
    <w:uiPriority w:val="0"/>
    <w:pPr>
      <w:widowControl w:val="0"/>
      <w:spacing w:line="340" w:lineRule="exact"/>
      <w:jc w:val="center"/>
    </w:pPr>
    <w:rPr>
      <w:rFonts w:ascii="Times New Roman" w:hAnsi="Times New Roman" w:eastAsia="宋体" w:cs="Times New Roman"/>
      <w:kern w:val="2"/>
      <w:sz w:val="21"/>
      <w:szCs w:val="24"/>
      <w:lang w:val="en-US" w:eastAsia="zh-CN" w:bidi="ar-SA"/>
    </w:rPr>
  </w:style>
  <w:style w:type="table" w:customStyle="1" w:styleId="92">
    <w:name w:val="网格型1"/>
    <w:basedOn w:val="33"/>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30.wmf"/><Relationship Id="rId61" Type="http://schemas.openxmlformats.org/officeDocument/2006/relationships/oleObject" Target="embeddings/oleObject14.bin"/><Relationship Id="rId60" Type="http://schemas.openxmlformats.org/officeDocument/2006/relationships/image" Target="media/image29.wmf"/><Relationship Id="rId6" Type="http://schemas.openxmlformats.org/officeDocument/2006/relationships/footer" Target="footer2.xml"/><Relationship Id="rId59" Type="http://schemas.openxmlformats.org/officeDocument/2006/relationships/oleObject" Target="embeddings/oleObject13.bin"/><Relationship Id="rId58" Type="http://schemas.openxmlformats.org/officeDocument/2006/relationships/image" Target="media/image28.png"/><Relationship Id="rId57" Type="http://schemas.openxmlformats.org/officeDocument/2006/relationships/oleObject" Target="embeddings/oleObject12.bin"/><Relationship Id="rId56" Type="http://schemas.openxmlformats.org/officeDocument/2006/relationships/image" Target="media/image27.png"/><Relationship Id="rId55" Type="http://schemas.openxmlformats.org/officeDocument/2006/relationships/image" Target="media/image26.wmf"/><Relationship Id="rId54" Type="http://schemas.openxmlformats.org/officeDocument/2006/relationships/oleObject" Target="embeddings/oleObject11.bin"/><Relationship Id="rId53" Type="http://schemas.openxmlformats.org/officeDocument/2006/relationships/image" Target="media/image25.wmf"/><Relationship Id="rId52" Type="http://schemas.openxmlformats.org/officeDocument/2006/relationships/oleObject" Target="embeddings/oleObject10.bin"/><Relationship Id="rId51" Type="http://schemas.openxmlformats.org/officeDocument/2006/relationships/image" Target="media/image24.jpeg"/><Relationship Id="rId50" Type="http://schemas.openxmlformats.org/officeDocument/2006/relationships/image" Target="media/image23.png"/><Relationship Id="rId5" Type="http://schemas.openxmlformats.org/officeDocument/2006/relationships/header" Target="header2.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wmf"/><Relationship Id="rId46" Type="http://schemas.openxmlformats.org/officeDocument/2006/relationships/image" Target="media/image19.jpeg"/><Relationship Id="rId45" Type="http://schemas.openxmlformats.org/officeDocument/2006/relationships/image" Target="media/image18.emf"/><Relationship Id="rId44" Type="http://schemas.openxmlformats.org/officeDocument/2006/relationships/oleObject" Target="embeddings/oleObject9.bin"/><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footer" Target="footer1.xml"/><Relationship Id="rId39" Type="http://schemas.openxmlformats.org/officeDocument/2006/relationships/image" Target="media/image13.png"/><Relationship Id="rId38" Type="http://schemas.openxmlformats.org/officeDocument/2006/relationships/image" Target="media/image12.jpeg"/><Relationship Id="rId37" Type="http://schemas.openxmlformats.org/officeDocument/2006/relationships/image" Target="media/image11.jpeg"/><Relationship Id="rId36" Type="http://schemas.openxmlformats.org/officeDocument/2006/relationships/image" Target="media/image10.emf"/><Relationship Id="rId35" Type="http://schemas.openxmlformats.org/officeDocument/2006/relationships/oleObject" Target="embeddings/oleObject8.bin"/><Relationship Id="rId34" Type="http://schemas.openxmlformats.org/officeDocument/2006/relationships/image" Target="media/image9.emf"/><Relationship Id="rId33" Type="http://schemas.openxmlformats.org/officeDocument/2006/relationships/oleObject" Target="embeddings/oleObject7.bin"/><Relationship Id="rId32" Type="http://schemas.openxmlformats.org/officeDocument/2006/relationships/image" Target="media/image8.emf"/><Relationship Id="rId31" Type="http://schemas.openxmlformats.org/officeDocument/2006/relationships/oleObject" Target="embeddings/oleObject6.bin"/><Relationship Id="rId30" Type="http://schemas.openxmlformats.org/officeDocument/2006/relationships/image" Target="media/image7.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6.wmf"/><Relationship Id="rId27" Type="http://schemas.openxmlformats.org/officeDocument/2006/relationships/oleObject" Target="embeddings/oleObject4.bin"/><Relationship Id="rId26" Type="http://schemas.openxmlformats.org/officeDocument/2006/relationships/image" Target="media/image5.wmf"/><Relationship Id="rId25" Type="http://schemas.openxmlformats.org/officeDocument/2006/relationships/oleObject" Target="embeddings/oleObject3.bin"/><Relationship Id="rId24" Type="http://schemas.openxmlformats.org/officeDocument/2006/relationships/image" Target="media/image4.wmf"/><Relationship Id="rId23" Type="http://schemas.openxmlformats.org/officeDocument/2006/relationships/oleObject" Target="embeddings/oleObject2.bin"/><Relationship Id="rId22" Type="http://schemas.openxmlformats.org/officeDocument/2006/relationships/image" Target="media/image3.jpeg"/><Relationship Id="rId21" Type="http://schemas.openxmlformats.org/officeDocument/2006/relationships/image" Target="media/image2.png"/><Relationship Id="rId20" Type="http://schemas.openxmlformats.org/officeDocument/2006/relationships/image" Target="media/image1.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3073" textRotate="1"/>
    <customShpInfo spid="_x0000_s3074" textRotate="1"/>
    <customShpInfo spid="_x0000_s3075" textRotate="1"/>
    <customShpInfo spid="_x0000_s3076" textRotate="1"/>
    <customShpInfo spid="_x0000_s3081"/>
    <customShpInfo spid="_x0000_s3079"/>
    <customShpInfo spid="_x0000_s3082"/>
    <customShpInfo spid="_x0000_s2052"/>
    <customShpInfo spid="_x0000_s2051"/>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050"/>
    <customShpInfo spid="_x0000_s2055"/>
    <customShpInfo spid="_x0000_s2057"/>
    <customShpInfo spid="_x0000_s2056"/>
    <customShpInfo spid="_x0000_s2058"/>
    <customShpInfo spid="_x0000_s2059"/>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083"/>
    <customShpInfo spid="_x0000_s2054"/>
    <customShpInfo spid="_x0000_s2053"/>
    <customShpInfo spid="_x0000_s2293"/>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84"/>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15"/>
    <customShpInfo spid="_x0000_s2294"/>
    <customShpInfo spid="_x0000_s22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147</Pages>
  <Words>23893</Words>
  <Characters>136191</Characters>
  <Lines>1134</Lines>
  <Paragraphs>319</Paragraphs>
  <TotalTime>58</TotalTime>
  <ScaleCrop>false</ScaleCrop>
  <LinksUpToDate>false</LinksUpToDate>
  <CharactersWithSpaces>159765</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2017-10-31T08:45:00Z</dcterms:created>
  <dc:creator>PC</dc:creator>
  <cp:lastModifiedBy>第几人称1395477817</cp:lastModifiedBy>
  <cp:lastPrinted>2019-05-22T10:33:00Z</cp:lastPrinted>
  <dcterms:modified xsi:type="dcterms:W3CDTF">2019-08-14T01:47:27Z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