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仿宋" w:eastAsia="方正小标宋简体" w:cs="仿宋_GB2312"/>
          <w:sz w:val="44"/>
          <w:szCs w:val="44"/>
        </w:rPr>
        <w:t>夹江县</w:t>
      </w:r>
      <w:r>
        <w:rPr>
          <w:rFonts w:hint="eastAsia" w:ascii="方正小标宋简体" w:hAnsi="仿宋" w:eastAsia="方正小标宋简体" w:cs="仿宋_GB2312"/>
          <w:sz w:val="44"/>
          <w:szCs w:val="44"/>
          <w:lang w:val="en-US" w:eastAsia="zh-CN"/>
        </w:rPr>
        <w:t>本级</w:t>
      </w:r>
      <w:r>
        <w:rPr>
          <w:rFonts w:hint="eastAsia" w:ascii="方正小标宋简体" w:hAnsi="仿宋" w:eastAsia="方正小标宋简体" w:cs="仿宋_GB2312"/>
          <w:sz w:val="44"/>
          <w:szCs w:val="44"/>
        </w:rPr>
        <w:t>惠企政策事项清单</w:t>
      </w:r>
      <w:r>
        <w:rPr>
          <w:rFonts w:hint="eastAsia" w:ascii="方正小标宋简体" w:hAnsi="方正小标宋简体" w:eastAsia="方正小标宋简体" w:cs="方正小标宋简体"/>
          <w:b w:val="0"/>
          <w:bCs w:val="0"/>
          <w:sz w:val="44"/>
          <w:szCs w:val="44"/>
          <w:lang w:val="en-US" w:eastAsia="zh-CN"/>
        </w:rPr>
        <w:t>申兑指南</w:t>
      </w:r>
    </w:p>
    <w:p>
      <w:pPr>
        <w:pStyle w:val="11"/>
        <w:autoSpaceDE w:val="0"/>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2024年11月动态调整）</w:t>
      </w:r>
    </w:p>
    <w:p>
      <w:pPr>
        <w:pStyle w:val="11"/>
        <w:autoSpaceDE w:val="0"/>
        <w:spacing w:line="600" w:lineRule="exact"/>
        <w:jc w:val="center"/>
        <w:rPr>
          <w:rFonts w:hint="eastAsia" w:ascii="方正小标宋简体" w:hAnsi="黑体" w:eastAsia="方正小标宋简体" w:cs="仿宋_GB2312"/>
          <w:spacing w:val="-6"/>
          <w:sz w:val="44"/>
          <w:szCs w:val="44"/>
        </w:rPr>
      </w:pP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1.支持夏秋茶生产出口企业发展</w:t>
      </w: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1.1鼓励支持夏秋茶生产出口企业提升基地</w:t>
      </w:r>
    </w:p>
    <w:p>
      <w:pPr>
        <w:pStyle w:val="11"/>
        <w:autoSpaceDE w:val="0"/>
        <w:spacing w:line="600" w:lineRule="exact"/>
        <w:jc w:val="left"/>
        <w:rPr>
          <w:rFonts w:hint="eastAsia" w:ascii="黑体" w:hAnsi="黑体" w:eastAsia="黑体"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color w:val="000000" w:themeColor="text1"/>
          <w:sz w:val="32"/>
          <w:szCs w:val="32"/>
          <w14:textFill>
            <w14:solidFill>
              <w14:schemeClr w14:val="tx1"/>
            </w14:solidFill>
          </w14:textFill>
        </w:rPr>
        <w:t>奖补类</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color w:val="000000" w:themeColor="text1"/>
          <w:sz w:val="32"/>
          <w:szCs w:val="32"/>
          <w14:textFill>
            <w14:solidFill>
              <w14:schemeClr w14:val="tx1"/>
            </w14:solidFill>
          </w14:textFill>
        </w:rPr>
        <w:t>财政支持</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2025年12月31日</w:t>
      </w:r>
    </w:p>
    <w:p>
      <w:pPr>
        <w:pStyle w:val="11"/>
        <w:autoSpaceDE w:val="0"/>
        <w:spacing w:line="600" w:lineRule="exact"/>
        <w:ind w:firstLine="640" w:firstLineChars="200"/>
        <w:jc w:val="left"/>
        <w:rPr>
          <w:rFonts w:hint="eastAsia" w:ascii="楷体" w:hAnsi="楷体" w:eastAsia="楷体"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县域内获得出口备案基地认证的企业或其他主体。</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pacing w:val="0"/>
          <w:sz w:val="32"/>
          <w:szCs w:val="32"/>
          <w:lang w:val="en-US" w:eastAsia="zh-CN"/>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新增面积在3000-5000亩及以上。</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获得后</w:t>
      </w:r>
    </w:p>
    <w:p>
      <w:pPr>
        <w:keepNext w:val="0"/>
        <w:keepLines w:val="0"/>
        <w:pageBreakBefore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新增面积在3000-5000亩的补助5万元，5000亩以上补助10万元。</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（十）兑现方式：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（十一）兑现时限：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县政府批复后</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（十三）监督投诉电话：</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12345</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法定工作日，上午9:00-12:00；下午13:00-17:00。</w:t>
      </w: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lang w:eastAsia="zh-CN"/>
          <w14:textFill>
            <w14:solidFill>
              <w14:schemeClr w14:val="tx1"/>
            </w14:solidFill>
          </w14:textFill>
        </w:rPr>
        <w:t>资金申请表</w:t>
      </w:r>
    </w:p>
    <w:p>
      <w:pPr>
        <w:pStyle w:val="11"/>
        <w:autoSpaceDE w:val="0"/>
        <w:spacing w:line="600" w:lineRule="exact"/>
        <w:ind w:firstLine="640" w:firstLineChars="200"/>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numPr>
          <w:ilvl w:val="0"/>
          <w:numId w:val="1"/>
        </w:numPr>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认证证明</w:t>
      </w:r>
    </w:p>
    <w:p>
      <w:pPr>
        <w:pStyle w:val="11"/>
        <w:autoSpaceDE w:val="0"/>
        <w:spacing w:line="600" w:lineRule="exact"/>
        <w:ind w:firstLine="640" w:firstLineChars="200"/>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numPr>
          <w:ilvl w:val="0"/>
          <w:numId w:val="0"/>
        </w:numPr>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（三）营业执照及法人身份证</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numPr>
          <w:ilvl w:val="0"/>
          <w:numId w:val="0"/>
        </w:numPr>
        <w:autoSpaceDE w:val="0"/>
        <w:spacing w:line="600" w:lineRule="exact"/>
        <w:ind w:left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w:t>
      </w:r>
      <w:r>
        <w:rPr>
          <w:rFonts w:hint="eastAsia" w:ascii="楷体" w:hAnsi="楷体" w:eastAsia="楷体" w:cs="仿宋_GB2312"/>
          <w:color w:val="000000" w:themeColor="text1"/>
          <w:sz w:val="32"/>
          <w:szCs w:val="32"/>
          <w:lang w:val="en-US" w:eastAsia="zh-CN"/>
          <w14:textFill>
            <w14:solidFill>
              <w14:schemeClr w14:val="tx1"/>
            </w14:solidFill>
          </w14:textFill>
        </w:rPr>
        <w:t>四</w:t>
      </w:r>
      <w:r>
        <w:rPr>
          <w:rFonts w:hint="eastAsia" w:ascii="楷体" w:hAnsi="楷体" w:eastAsia="楷体" w:cs="仿宋_GB2312"/>
          <w:color w:val="000000" w:themeColor="text1"/>
          <w:sz w:val="32"/>
          <w:szCs w:val="32"/>
          <w:lang w:eastAsia="zh-CN"/>
          <w14:textFill>
            <w14:solidFill>
              <w14:schemeClr w14:val="tx1"/>
            </w14:solidFill>
          </w14:textFill>
        </w:rPr>
        <w:t>）公司银行帐户信息</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numPr>
          <w:ilvl w:val="0"/>
          <w:numId w:val="0"/>
        </w:numPr>
        <w:autoSpaceDE w:val="0"/>
        <w:spacing w:line="600" w:lineRule="exact"/>
        <w:ind w:leftChars="200"/>
        <w:jc w:val="left"/>
        <w:rPr>
          <w:rFonts w:hint="eastAsia" w:ascii="楷体" w:hAnsi="楷体" w:eastAsia="楷体" w:cs="仿宋_GB2312"/>
          <w:color w:val="000000" w:themeColor="text1"/>
          <w:sz w:val="32"/>
          <w:szCs w:val="32"/>
          <w:lang w:eastAsia="zh-CN"/>
          <w14:textFill>
            <w14:solidFill>
              <w14:schemeClr w14:val="tx1"/>
            </w14:solidFill>
          </w14:textFill>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2.支持夏秋茶生产出口企业发展</w:t>
      </w: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2.1支持夏秋茶生产出口企业集聚发展</w:t>
      </w: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color w:val="000000" w:themeColor="text1"/>
          <w:sz w:val="32"/>
          <w:szCs w:val="32"/>
          <w14:textFill>
            <w14:solidFill>
              <w14:schemeClr w14:val="tx1"/>
            </w14:solidFill>
          </w14:textFill>
        </w:rPr>
        <w:t>奖补类</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color w:val="000000" w:themeColor="text1"/>
          <w:sz w:val="32"/>
          <w:szCs w:val="32"/>
          <w14:textFill>
            <w14:solidFill>
              <w14:schemeClr w14:val="tx1"/>
            </w14:solidFill>
          </w14:textFill>
        </w:rPr>
        <w:t>财政支持</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2025年12月31日</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入驻出口茶加工集聚园区的夏秋茶生产出口企业。</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入驻出口茶加工集聚园区相关证明。</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入驻后一个月之内</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租赁厂房在运营期间按面积给予6元/ (㎡·月)的租金补贴扶持，单个茶企每年租金补贴上限为100万元、补贴时间不超过10年。</w:t>
      </w:r>
    </w:p>
    <w:p>
      <w:pPr>
        <w:pStyle w:val="11"/>
        <w:autoSpaceDE w:val="0"/>
        <w:spacing w:line="600" w:lineRule="exact"/>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（十）兑现方式：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highlight w:val="none"/>
          <w:lang w:val="en-US" w:eastAsia="zh-CN"/>
          <w14:textFill>
            <w14:solidFill>
              <w14:schemeClr w14:val="tx1"/>
            </w14:solidFill>
          </w14:textFill>
        </w:rPr>
      </w:pPr>
      <w:r>
        <w:rPr>
          <w:rFonts w:hint="eastAsia" w:ascii="楷体" w:hAnsi="楷体" w:eastAsia="楷体" w:cs="仿宋_GB2312"/>
          <w:color w:val="000000" w:themeColor="text1"/>
          <w:sz w:val="32"/>
          <w:szCs w:val="32"/>
          <w:highlight w:val="none"/>
          <w:lang w:val="en-US" w:eastAsia="zh-CN"/>
          <w14:textFill>
            <w14:solidFill>
              <w14:schemeClr w14:val="tx1"/>
            </w14:solidFill>
          </w14:textFill>
        </w:rPr>
        <w:t>（十一）兑现时限：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县政府批复后</w:t>
      </w:r>
    </w:p>
    <w:p>
      <w:pPr>
        <w:pStyle w:val="11"/>
        <w:autoSpaceDE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仿宋_GB2312"/>
          <w:color w:val="000000" w:themeColor="text1"/>
          <w:sz w:val="32"/>
          <w:szCs w:val="32"/>
          <w:lang w:val="en-US" w:eastAsia="zh-CN"/>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（十三）监督投诉电话：</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12345</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法定工作日，上午9:00-12:00；下午13:00-17:00。</w:t>
      </w: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lang w:eastAsia="zh-CN"/>
          <w14:textFill>
            <w14:solidFill>
              <w14:schemeClr w14:val="tx1"/>
            </w14:solidFill>
          </w14:textFill>
        </w:rPr>
        <w:t>资金申请表</w:t>
      </w:r>
    </w:p>
    <w:p>
      <w:pPr>
        <w:pStyle w:val="11"/>
        <w:autoSpaceDE w:val="0"/>
        <w:spacing w:line="600" w:lineRule="exact"/>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（二）入驻证明</w:t>
      </w:r>
    </w:p>
    <w:p>
      <w:pPr>
        <w:pStyle w:val="11"/>
        <w:autoSpaceDE w:val="0"/>
        <w:spacing w:line="600" w:lineRule="exact"/>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（三）营业执照及法人身份证</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（四）公司银行帐户信息</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ind w:left="0" w:leftChars="0" w:firstLine="0" w:firstLineChars="0"/>
        <w:rPr>
          <w:rFonts w:hint="default"/>
          <w:lang w:val="en-US" w:eastAsia="zh-CN"/>
        </w:rPr>
      </w:pP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3.支持夏秋茶生产出口企业发展</w:t>
      </w: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3.1支持夏秋茶生产出口企业开拓市场</w:t>
      </w: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奖补类</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财政支持</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夹江县</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夹江县</w:t>
      </w:r>
    </w:p>
    <w:p>
      <w:pPr>
        <w:pStyle w:val="11"/>
        <w:autoSpaceDE w:val="0"/>
        <w:spacing w:line="600" w:lineRule="exact"/>
        <w:ind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2025年12月31日</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参加国际会展出口茶企业。</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参加国际会展相关证明。</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参加完成国际会展参展后</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按实际发生费用的70%对标准展位补助(每次展会展位不超过2个，每个标准展位支持费用不超过4.5万元)。对参加境外活动的参展企业给予人员经费定额支持(美洲、非洲1.8万元/人；欧洲、大洋洲每人定额1.4万元/人；亚洲0.8万元/人)；对参加港澳台活动的参展企业给予人员经费定额支持(0. 45万元/人)；对有参展展位的每个企业支持不超过2人。</w:t>
      </w:r>
    </w:p>
    <w:p>
      <w:pPr>
        <w:pStyle w:val="11"/>
        <w:autoSpaceDE w:val="0"/>
        <w:spacing w:line="600" w:lineRule="exact"/>
        <w:ind w:firstLine="640" w:firstLineChars="200"/>
        <w:jc w:val="left"/>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（十）兑现方式：</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其他</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（十一）兑现时限：</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县政府批复后</w:t>
      </w:r>
    </w:p>
    <w:p>
      <w:pPr>
        <w:pStyle w:val="11"/>
        <w:autoSpaceDE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仿宋_GB2312"/>
          <w:color w:val="000000" w:themeColor="text1"/>
          <w:sz w:val="32"/>
          <w:szCs w:val="32"/>
          <w:lang w:val="en-US" w:eastAsia="zh-CN"/>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（十三）监督投诉电话：</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12345</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pStyle w:val="11"/>
        <w:autoSpaceDE w:val="0"/>
        <w:spacing w:line="600" w:lineRule="exact"/>
        <w:ind w:firstLine="64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法定工作日，上午9:00-12:00；下午13:00-17:00。</w:t>
      </w: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lang w:eastAsia="zh-CN"/>
          <w14:textFill>
            <w14:solidFill>
              <w14:schemeClr w14:val="tx1"/>
            </w14:solidFill>
          </w14:textFill>
        </w:rPr>
        <w:t>资金申请表</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numPr>
          <w:ilvl w:val="0"/>
          <w:numId w:val="2"/>
        </w:numPr>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参展证明</w:t>
      </w:r>
    </w:p>
    <w:p>
      <w:pPr>
        <w:pStyle w:val="11"/>
        <w:numPr>
          <w:ilvl w:val="0"/>
          <w:numId w:val="0"/>
        </w:numPr>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（三）营业执照及法人身份证（复印件</w:t>
      </w:r>
      <w:r>
        <w:rPr>
          <w:rFonts w:hint="eastAsia" w:ascii="楷体" w:hAnsi="楷体" w:eastAsia="楷体" w:cs="仿宋_GB2312"/>
          <w:color w:val="000000" w:themeColor="text1"/>
          <w:sz w:val="32"/>
          <w:szCs w:val="32"/>
          <w:lang w:val="en-US" w:eastAsia="zh-CN"/>
          <w14:textFill>
            <w14:solidFill>
              <w14:schemeClr w14:val="tx1"/>
            </w14:solidFill>
          </w14:textFill>
        </w:rPr>
        <w:t>1份、</w:t>
      </w:r>
      <w:r>
        <w:rPr>
          <w:rFonts w:hint="eastAsia" w:ascii="楷体" w:hAnsi="楷体" w:eastAsia="楷体"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（四）公司银行帐户信息（复印件</w:t>
      </w:r>
      <w:r>
        <w:rPr>
          <w:rFonts w:hint="eastAsia" w:ascii="楷体" w:hAnsi="楷体" w:eastAsia="楷体" w:cs="仿宋_GB2312"/>
          <w:color w:val="000000" w:themeColor="text1"/>
          <w:sz w:val="32"/>
          <w:szCs w:val="32"/>
          <w:lang w:val="en-US" w:eastAsia="zh-CN"/>
          <w14:textFill>
            <w14:solidFill>
              <w14:schemeClr w14:val="tx1"/>
            </w14:solidFill>
          </w14:textFill>
        </w:rPr>
        <w:t>1份、</w:t>
      </w:r>
      <w:r>
        <w:rPr>
          <w:rFonts w:hint="eastAsia" w:ascii="楷体" w:hAnsi="楷体" w:eastAsia="楷体"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11"/>
        <w:numPr>
          <w:ilvl w:val="0"/>
          <w:numId w:val="0"/>
        </w:numPr>
        <w:autoSpaceDE w:val="0"/>
        <w:spacing w:line="600" w:lineRule="exact"/>
        <w:jc w:val="center"/>
        <w:rPr>
          <w:rFonts w:hint="eastAsia" w:ascii="方正小标宋简体" w:hAnsi="黑体" w:eastAsia="方正小标宋简体" w:cs="仿宋_GB2312"/>
          <w:color w:val="auto"/>
          <w:spacing w:val="-6"/>
          <w:sz w:val="44"/>
          <w:szCs w:val="44"/>
          <w:highlight w:val="none"/>
          <w:lang w:val="en-US" w:eastAsia="zh-CN"/>
        </w:rPr>
      </w:pPr>
      <w:r>
        <w:rPr>
          <w:rFonts w:hint="eastAsia" w:ascii="方正小标宋简体" w:hAnsi="黑体" w:eastAsia="方正小标宋简体" w:cs="仿宋_GB2312"/>
          <w:color w:val="auto"/>
          <w:spacing w:val="-6"/>
          <w:sz w:val="44"/>
          <w:szCs w:val="44"/>
          <w:highlight w:val="none"/>
          <w:lang w:val="en-US" w:eastAsia="zh-CN"/>
        </w:rPr>
        <w:t>4.支持夏秋茶生产出口企业发展</w:t>
      </w:r>
    </w:p>
    <w:p>
      <w:pPr>
        <w:pStyle w:val="11"/>
        <w:numPr>
          <w:ilvl w:val="0"/>
          <w:numId w:val="0"/>
        </w:numPr>
        <w:autoSpaceDE w:val="0"/>
        <w:spacing w:line="600" w:lineRule="exact"/>
        <w:jc w:val="center"/>
        <w:rPr>
          <w:rFonts w:hint="eastAsia" w:ascii="方正小标宋简体" w:hAnsi="黑体" w:eastAsia="方正小标宋简体" w:cs="仿宋_GB2312"/>
          <w:color w:val="auto"/>
          <w:spacing w:val="-6"/>
          <w:sz w:val="44"/>
          <w:szCs w:val="44"/>
          <w:highlight w:val="none"/>
          <w:lang w:val="en-US" w:eastAsia="zh-CN"/>
        </w:rPr>
      </w:pPr>
      <w:r>
        <w:rPr>
          <w:rFonts w:hint="eastAsia" w:ascii="方正小标宋简体" w:hAnsi="黑体" w:eastAsia="方正小标宋简体" w:cs="仿宋_GB2312"/>
          <w:color w:val="auto"/>
          <w:spacing w:val="-6"/>
          <w:sz w:val="44"/>
          <w:szCs w:val="44"/>
          <w:highlight w:val="none"/>
          <w:lang w:val="en-US" w:eastAsia="zh-CN"/>
        </w:rPr>
        <w:t>4.1支持夏秋茶生产出口企业自营出口</w:t>
      </w:r>
    </w:p>
    <w:p>
      <w:pPr>
        <w:pStyle w:val="11"/>
        <w:numPr>
          <w:ilvl w:val="0"/>
          <w:numId w:val="0"/>
        </w:numPr>
        <w:autoSpaceDE w:val="0"/>
        <w:spacing w:line="600" w:lineRule="exact"/>
        <w:jc w:val="center"/>
        <w:rPr>
          <w:rFonts w:hint="eastAsia" w:ascii="方正小标宋简体" w:hAnsi="黑体" w:eastAsia="方正小标宋简体" w:cs="仿宋_GB2312"/>
          <w:color w:val="FF0000"/>
          <w:spacing w:val="-6"/>
          <w:sz w:val="44"/>
          <w:szCs w:val="44"/>
          <w:highlight w:val="yellow"/>
          <w:lang w:val="en-US" w:eastAsia="zh-CN"/>
        </w:rPr>
      </w:pP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color w:val="000000" w:themeColor="text1"/>
          <w:sz w:val="32"/>
          <w:szCs w:val="32"/>
          <w14:textFill>
            <w14:solidFill>
              <w14:schemeClr w14:val="tx1"/>
            </w14:solidFill>
          </w14:textFill>
        </w:rPr>
        <w:t>奖补类</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color w:val="000000" w:themeColor="text1"/>
          <w:sz w:val="32"/>
          <w:szCs w:val="32"/>
          <w14:textFill>
            <w14:solidFill>
              <w14:schemeClr w14:val="tx1"/>
            </w14:solidFill>
          </w14:textFill>
        </w:rPr>
        <w:t>财政支持</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夹江县</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2025年12月31日</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从事直接自营出口贸易的茶企。</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“三单两证”即本地出口茶采购单、报关单、物流支付凭证单、物流运输合同、国际贸易销售合同。</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次年1月31日前申报上一年度直接自营出口补助。</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12500元/集装箱(单个25吨及以上标准的集装箱)</w:t>
      </w:r>
    </w:p>
    <w:p>
      <w:pPr>
        <w:pStyle w:val="11"/>
        <w:autoSpaceDE w:val="0"/>
        <w:spacing w:line="600" w:lineRule="exact"/>
        <w:ind w:firstLine="640" w:firstLineChars="200"/>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（十）兑现方式：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（十一）兑现时限：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县政府批复后   </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（十三）监督投诉电话：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12345</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pStyle w:val="11"/>
        <w:autoSpaceDE w:val="0"/>
        <w:spacing w:line="60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；下午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00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lang w:eastAsia="zh-CN"/>
          <w14:textFill>
            <w14:solidFill>
              <w14:schemeClr w14:val="tx1"/>
            </w14:solidFill>
          </w14:textFill>
        </w:rPr>
        <w:t>资金申请表（原件</w:t>
      </w:r>
      <w:r>
        <w:rPr>
          <w:rFonts w:hint="eastAsia" w:ascii="楷体" w:hAnsi="楷体" w:eastAsia="楷体" w:cs="仿宋_GB2312"/>
          <w:color w:val="000000" w:themeColor="text1"/>
          <w:sz w:val="32"/>
          <w:szCs w:val="32"/>
          <w:lang w:val="en-US" w:eastAsia="zh-CN"/>
          <w14:textFill>
            <w14:solidFill>
              <w14:schemeClr w14:val="tx1"/>
            </w14:solidFill>
          </w14:textFill>
        </w:rPr>
        <w:t>1份）</w:t>
      </w:r>
    </w:p>
    <w:p>
      <w:pPr>
        <w:pStyle w:val="11"/>
        <w:autoSpaceDE w:val="0"/>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材料要求：原件1份</w:t>
      </w:r>
    </w:p>
    <w:p>
      <w:pPr>
        <w:pStyle w:val="11"/>
        <w:numPr>
          <w:ilvl w:val="0"/>
          <w:numId w:val="3"/>
        </w:numPr>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“三单两证”即本地出口茶采购单、报关单、物流支付凭证单、物流运输合同、国际贸易销售合同。</w:t>
      </w:r>
    </w:p>
    <w:p>
      <w:pPr>
        <w:pStyle w:val="11"/>
        <w:autoSpaceDE w:val="0"/>
        <w:spacing w:line="600" w:lineRule="exact"/>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numPr>
          <w:ilvl w:val="0"/>
          <w:numId w:val="3"/>
        </w:numPr>
        <w:autoSpaceDE w:val="0"/>
        <w:spacing w:line="600" w:lineRule="exact"/>
        <w:ind w:left="0" w:leftChars="0"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营业执照及法人身份证</w:t>
      </w:r>
    </w:p>
    <w:p>
      <w:pPr>
        <w:pStyle w:val="11"/>
        <w:autoSpaceDE w:val="0"/>
        <w:spacing w:line="600" w:lineRule="exact"/>
        <w:ind w:firstLine="640" w:firstLineChars="200"/>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（四）公司银行帐户信息</w:t>
      </w:r>
    </w:p>
    <w:p>
      <w:pPr>
        <w:pStyle w:val="11"/>
        <w:autoSpaceDE w:val="0"/>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材料要求：复印件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r>
        <w:rPr>
          <w:rFonts w:hint="eastAsia" w:ascii="仿宋_GB2312" w:hAnsi="仿宋_GB2312" w:eastAsia="仿宋_GB2312" w:cs="仿宋_GB2312"/>
          <w:color w:val="000000" w:themeColor="text1"/>
          <w:sz w:val="32"/>
          <w:szCs w:val="32"/>
          <w:lang w:eastAsia="zh-CN"/>
          <w14:textFill>
            <w14:solidFill>
              <w14:schemeClr w14:val="tx1"/>
            </w14:solidFill>
          </w14:textFill>
        </w:rPr>
        <w:t>加盖公章</w:t>
      </w:r>
    </w:p>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5. 支持夏秋茶生产出口企业发展</w:t>
      </w: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5. 1推进茶产业贷款贴息工作</w:t>
      </w: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奖补类</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财政支持</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夹江县</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夹江县</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2025年12月31日</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夹江县境内获得固定资产投资贷款和茶叶流动资金贷款的企业和合作社。</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实体经营。农民合作社必须是在工商部门登记注册的经济实体。2.带动能力强。农业企业带动基地农户500户以上，与基地农户实行订单收购。3.利益联结紧密。按照“农业企业+基地+农户”“农业企业+农民合作社+农户”“农民合作社+基地+农户”“市场+农民合作社+农户”等模式运作的各类农产品生产、加工和营销项目。</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按照上级贷款贴息文件执行。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贴息资金按照“突出重点、择优扶持、额度控制、先付后贴”的原则，由实际到位的贷款额、相应的银行贷款基准利率和贴息期限计算确定。对单个项目（或主体）固定资产贷款最高贴息金额不超过200万元，对单个项目（或主体）粮食生产和农业产业化流动资金贷款贴息不超过100万元。</w:t>
      </w:r>
    </w:p>
    <w:p>
      <w:pPr>
        <w:pStyle w:val="11"/>
        <w:autoSpaceDE w:val="0"/>
        <w:spacing w:line="600" w:lineRule="exact"/>
        <w:ind w:firstLine="640" w:firstLineChars="200"/>
        <w:jc w:val="left"/>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（十）兑现方式：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（十一）兑现时限：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待省农业农村厅省财政厅审核通过下达贴息资金，并对申报项目再审核确认属实后拨付资金。</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（十三）监督投诉电话：</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12345</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lang w:val="en-US" w:eastAsia="zh-CN"/>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pStyle w:val="11"/>
        <w:autoSpaceDE w:val="0"/>
        <w:spacing w:line="600" w:lineRule="exact"/>
        <w:ind w:firstLine="640" w:firstLineChars="20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法定工作日，上午9:00-12:00；下午13:00-17:00。</w:t>
      </w:r>
    </w:p>
    <w:p>
      <w:pPr>
        <w:pStyle w:val="11"/>
        <w:autoSpaceDE w:val="0"/>
        <w:spacing w:line="600" w:lineRule="exact"/>
        <w:ind w:firstLine="640" w:firstLineChars="200"/>
        <w:jc w:val="left"/>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w:t>
      </w:r>
      <w:r>
        <w:rPr>
          <w:rFonts w:hint="eastAsia" w:ascii="楷体" w:hAnsi="楷体" w:eastAsia="楷体" w:cs="仿宋_GB2312"/>
          <w:color w:val="000000" w:themeColor="text1"/>
          <w:sz w:val="32"/>
          <w:szCs w:val="32"/>
          <w:lang w:eastAsia="zh-CN"/>
          <w14:textFill>
            <w14:solidFill>
              <w14:schemeClr w14:val="tx1"/>
            </w14:solidFill>
          </w14:textFill>
        </w:rPr>
        <w:t>农业产业化项目银行贷款贴息资金汇总；</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（二）四川省农业产业化银行贷款贴息项目申请及审核意见表；</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（三）申报主体基本情况表；</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（四）承诺书；</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（五）法人执照副本及章程（复印件）；</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（六）申报项目情况说明（项目实施区域、主要内容等）；</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（七）银行贷款汇总表及银行贷款合同（复印件）；</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（八）支付银行利息汇总表及利息结算清单（复印件）；</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（九）银行贷款到帐凭证及支出明细账（复印件）；</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（十）上年度财务报表（复印件）；</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（十一）证明与农民利益联结的相关资料；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（十二）人民银行出具的完整的《企业信用报告》；</w:t>
      </w:r>
    </w:p>
    <w:p>
      <w:pPr>
        <w:pStyle w:val="11"/>
        <w:autoSpaceDE w:val="0"/>
        <w:spacing w:line="600" w:lineRule="exact"/>
        <w:ind w:left="638" w:leftChars="228" w:firstLine="0" w:firstLineChars="0"/>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（十三）人民银行签章的《信用报告异议信息专项证明》（十四）其他必要的相关材料。（如：证明用于固定资</w:t>
      </w:r>
    </w:p>
    <w:p>
      <w:pPr>
        <w:pStyle w:val="11"/>
        <w:autoSpaceDE w:val="0"/>
        <w:spacing w:line="600" w:lineRule="exact"/>
        <w:jc w:val="left"/>
        <w:rPr>
          <w:rFonts w:hint="eastAsia" w:ascii="楷体" w:hAnsi="楷体" w:eastAsia="楷体"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lang w:eastAsia="zh-CN"/>
          <w14:textFill>
            <w14:solidFill>
              <w14:schemeClr w14:val="tx1"/>
            </w14:solidFill>
          </w14:textFill>
        </w:rPr>
        <w:t>产投资的材料等）</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lang w:eastAsia="zh-CN"/>
          <w14:textFill>
            <w14:solidFill>
              <w14:schemeClr w14:val="tx1"/>
            </w14:solidFill>
          </w14:textFill>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6. 帮助市场主体降本增效优惠政策</w:t>
      </w:r>
    </w:p>
    <w:p>
      <w:pPr>
        <w:pStyle w:val="11"/>
        <w:numPr>
          <w:ilvl w:val="0"/>
          <w:numId w:val="0"/>
        </w:numPr>
        <w:autoSpaceDE w:val="0"/>
        <w:spacing w:line="600" w:lineRule="exact"/>
        <w:jc w:val="center"/>
        <w:rPr>
          <w:rFonts w:hint="eastAsia" w:ascii="方正小标宋简体" w:hAnsi="黑体" w:eastAsia="方正小标宋简体" w:cs="仿宋_GB2312"/>
          <w:spacing w:val="-6"/>
          <w:sz w:val="44"/>
          <w:szCs w:val="44"/>
          <w:lang w:val="en-US" w:eastAsia="zh-CN"/>
        </w:rPr>
      </w:pPr>
      <w:r>
        <w:rPr>
          <w:rFonts w:hint="eastAsia" w:ascii="方正小标宋简体" w:hAnsi="黑体" w:eastAsia="方正小标宋简体" w:cs="仿宋_GB2312"/>
          <w:spacing w:val="-6"/>
          <w:sz w:val="44"/>
          <w:szCs w:val="44"/>
          <w:lang w:val="en-US" w:eastAsia="zh-CN"/>
        </w:rPr>
        <w:t>6</w:t>
      </w:r>
      <w:bookmarkStart w:id="0" w:name="_GoBack"/>
      <w:bookmarkEnd w:id="0"/>
      <w:r>
        <w:rPr>
          <w:rFonts w:hint="eastAsia" w:ascii="方正小标宋简体" w:hAnsi="黑体" w:eastAsia="方正小标宋简体" w:cs="仿宋_GB2312"/>
          <w:spacing w:val="-6"/>
          <w:sz w:val="44"/>
          <w:szCs w:val="44"/>
          <w:lang w:val="en-US" w:eastAsia="zh-CN"/>
        </w:rPr>
        <w:t>.1县财政对夹江县农村客运燃气车辆车用压缩天然气进行补贴</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一、事项基本信息</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（一）政策类别：</w:t>
      </w:r>
      <w:r>
        <w:rPr>
          <w:rFonts w:hint="eastAsia" w:ascii="仿宋_GB2312" w:hAnsi="仿宋_GB2312" w:eastAsia="仿宋_GB2312" w:cs="仿宋_GB2312"/>
          <w:color w:val="000000" w:themeColor="text1"/>
          <w:sz w:val="32"/>
          <w:szCs w:val="32"/>
          <w14:textFill>
            <w14:solidFill>
              <w14:schemeClr w14:val="tx1"/>
            </w14:solidFill>
          </w14:textFill>
        </w:rPr>
        <w:t>奖补类</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（二）政策类型：</w:t>
      </w:r>
      <w:r>
        <w:rPr>
          <w:rFonts w:hint="eastAsia" w:ascii="仿宋_GB2312" w:hAnsi="仿宋_GB2312" w:eastAsia="仿宋_GB2312" w:cs="仿宋_GB2312"/>
          <w:color w:val="000000" w:themeColor="text1"/>
          <w:sz w:val="32"/>
          <w:szCs w:val="32"/>
          <w14:textFill>
            <w14:solidFill>
              <w14:schemeClr w14:val="tx1"/>
            </w14:solidFill>
          </w14:textFill>
        </w:rPr>
        <w:t>财政支持</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楷体" w:hAnsi="楷体" w:eastAsia="楷体" w:cs="仿宋_GB2312"/>
          <w:color w:val="000000" w:themeColor="text1"/>
          <w:sz w:val="32"/>
          <w:szCs w:val="32"/>
          <w14:textFill>
            <w14:solidFill>
              <w14:schemeClr w14:val="tx1"/>
            </w14:solidFill>
          </w14:textFill>
        </w:rPr>
        <w:t>三）执行层级：</w:t>
      </w:r>
      <w:r>
        <w:rPr>
          <w:rFonts w:hint="eastAsia" w:ascii="仿宋_GB2312" w:hAnsi="仿宋_GB2312" w:eastAsia="仿宋_GB2312" w:cs="仿宋_GB2312"/>
          <w:color w:val="000000" w:themeColor="text1"/>
          <w:sz w:val="32"/>
          <w:szCs w:val="32"/>
          <w14:textFill>
            <w14:solidFill>
              <w14:schemeClr w14:val="tx1"/>
            </w14:solidFill>
          </w14:textFill>
        </w:rPr>
        <w:t>夹江县</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（四）适用地区：</w:t>
      </w:r>
      <w:r>
        <w:rPr>
          <w:rFonts w:hint="eastAsia" w:ascii="仿宋_GB2312" w:hAnsi="仿宋_GB2312" w:eastAsia="仿宋_GB2312" w:cs="仿宋_GB2312"/>
          <w:color w:val="000000" w:themeColor="text1"/>
          <w:sz w:val="32"/>
          <w:szCs w:val="32"/>
          <w14:textFill>
            <w14:solidFill>
              <w14:schemeClr w14:val="tx1"/>
            </w14:solidFill>
          </w14:textFill>
        </w:rPr>
        <w:t>夹江县</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（五）有效期：</w:t>
      </w:r>
      <w:r>
        <w:rPr>
          <w:rFonts w:hint="eastAsia" w:ascii="仿宋_GB2312" w:hAnsi="仿宋_GB2312" w:eastAsia="仿宋_GB2312" w:cs="仿宋_GB2312"/>
          <w:color w:val="000000" w:themeColor="text1"/>
          <w:sz w:val="32"/>
          <w:szCs w:val="32"/>
          <w14:textFill>
            <w14:solidFill>
              <w14:schemeClr w14:val="tx1"/>
            </w14:solidFill>
          </w14:textFill>
        </w:rPr>
        <w:t>长期</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（六）申请对象：</w:t>
      </w:r>
      <w:r>
        <w:rPr>
          <w:rFonts w:hint="eastAsia" w:ascii="仿宋_GB2312" w:hAnsi="仿宋_GB2312" w:eastAsia="仿宋_GB2312" w:cs="仿宋_GB2312"/>
          <w:color w:val="000000" w:themeColor="text1"/>
          <w:sz w:val="32"/>
          <w:szCs w:val="32"/>
          <w14:textFill>
            <w14:solidFill>
              <w14:schemeClr w14:val="tx1"/>
            </w14:solidFill>
          </w14:textFill>
        </w:rPr>
        <w:t>农村道路客运企业</w:t>
      </w:r>
    </w:p>
    <w:p>
      <w:pPr>
        <w:pStyle w:val="11"/>
        <w:autoSpaceDE w:val="0"/>
        <w:spacing w:line="600" w:lineRule="exact"/>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（七）申报条件：</w:t>
      </w:r>
      <w:r>
        <w:rPr>
          <w:rFonts w:hint="eastAsia" w:ascii="仿宋_GB2312" w:hAnsi="仿宋_GB2312" w:eastAsia="仿宋_GB2312" w:cs="仿宋_GB2312"/>
          <w:color w:val="000000" w:themeColor="text1"/>
          <w:sz w:val="32"/>
          <w:szCs w:val="32"/>
          <w14:textFill>
            <w14:solidFill>
              <w14:schemeClr w14:val="tx1"/>
            </w14:solidFill>
          </w14:textFill>
        </w:rPr>
        <w:t>具备农村道路旅客运输资质，且车辆正常运行。</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（八）申报时限：</w:t>
      </w:r>
      <w:r>
        <w:rPr>
          <w:rFonts w:hint="eastAsia" w:ascii="仿宋_GB2312" w:hAnsi="仿宋_GB2312" w:eastAsia="仿宋_GB2312" w:cs="仿宋_GB2312"/>
          <w:color w:val="000000" w:themeColor="text1"/>
          <w:sz w:val="32"/>
          <w:szCs w:val="32"/>
          <w14:textFill>
            <w14:solidFill>
              <w14:schemeClr w14:val="tx1"/>
            </w14:solidFill>
          </w14:textFill>
        </w:rPr>
        <w:t>2024年1月1日至2024年12月31日</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（九）兑现标准：</w:t>
      </w:r>
    </w:p>
    <w:tbl>
      <w:tblPr>
        <w:tblStyle w:val="7"/>
        <w:tblW w:w="0" w:type="auto"/>
        <w:tblInd w:w="99" w:type="dxa"/>
        <w:tblLayout w:type="autofit"/>
        <w:tblCellMar>
          <w:top w:w="0" w:type="dxa"/>
          <w:left w:w="108" w:type="dxa"/>
          <w:bottom w:w="0" w:type="dxa"/>
          <w:right w:w="108" w:type="dxa"/>
        </w:tblCellMar>
      </w:tblPr>
      <w:tblGrid>
        <w:gridCol w:w="1695"/>
        <w:gridCol w:w="1176"/>
        <w:gridCol w:w="2576"/>
        <w:gridCol w:w="2976"/>
      </w:tblGrid>
      <w:tr>
        <w:tblPrEx>
          <w:tblCellMar>
            <w:top w:w="0" w:type="dxa"/>
            <w:left w:w="108" w:type="dxa"/>
            <w:bottom w:w="0" w:type="dxa"/>
            <w:right w:w="108" w:type="dxa"/>
          </w:tblCellMar>
        </w:tblPrEx>
        <w:trPr>
          <w:trHeight w:val="533" w:hRule="atLeast"/>
        </w:trPr>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经营线路</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车辆类型</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单车月均加气量（m³）</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单车月补贴标准（元/辆）</w:t>
            </w:r>
          </w:p>
        </w:tc>
      </w:tr>
      <w:tr>
        <w:tblPrEx>
          <w:tblCellMar>
            <w:top w:w="0" w:type="dxa"/>
            <w:left w:w="108" w:type="dxa"/>
            <w:bottom w:w="0" w:type="dxa"/>
            <w:right w:w="108" w:type="dxa"/>
          </w:tblCellMar>
        </w:tblPrEx>
        <w:trPr>
          <w:trHeight w:val="425" w:hRule="atLeast"/>
        </w:trPr>
        <w:tc>
          <w:tcPr>
            <w:tcW w:w="0" w:type="auto"/>
            <w:tcBorders>
              <w:top w:val="single" w:color="535353" w:sz="4" w:space="0"/>
              <w:left w:val="single" w:color="535353" w:sz="4" w:space="0"/>
              <w:bottom w:val="single" w:color="535353" w:sz="4" w:space="0"/>
              <w:right w:val="single" w:color="535353" w:sz="4" w:space="0"/>
            </w:tcBorders>
            <w:shd w:val="clear" w:color="auto" w:fill="auto"/>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大路片区</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小型</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288.3</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317</w:t>
            </w:r>
          </w:p>
        </w:tc>
      </w:tr>
      <w:tr>
        <w:tblPrEx>
          <w:tblCellMar>
            <w:top w:w="0" w:type="dxa"/>
            <w:left w:w="108" w:type="dxa"/>
            <w:bottom w:w="0" w:type="dxa"/>
            <w:right w:w="108" w:type="dxa"/>
          </w:tblCellMar>
        </w:tblPrEx>
        <w:trPr>
          <w:trHeight w:val="404" w:hRule="atLeast"/>
        </w:trPr>
        <w:tc>
          <w:tcPr>
            <w:tcW w:w="0" w:type="auto"/>
            <w:tcBorders>
              <w:top w:val="single" w:color="535353" w:sz="4" w:space="0"/>
              <w:left w:val="single" w:color="535353" w:sz="4" w:space="0"/>
              <w:bottom w:val="single" w:color="535353" w:sz="4" w:space="0"/>
              <w:right w:val="single" w:color="535353" w:sz="4" w:space="0"/>
            </w:tcBorders>
            <w:shd w:val="clear" w:color="auto" w:fill="auto"/>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中兴-木城、杨湾</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小型</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276.01</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304</w:t>
            </w:r>
          </w:p>
        </w:tc>
      </w:tr>
      <w:tr>
        <w:tblPrEx>
          <w:tblCellMar>
            <w:top w:w="0" w:type="dxa"/>
            <w:left w:w="108" w:type="dxa"/>
            <w:bottom w:w="0" w:type="dxa"/>
            <w:right w:w="108" w:type="dxa"/>
          </w:tblCellMar>
        </w:tblPrEx>
        <w:trPr>
          <w:trHeight w:val="423" w:hRule="atLeast"/>
        </w:trPr>
        <w:tc>
          <w:tcPr>
            <w:tcW w:w="0" w:type="auto"/>
            <w:tcBorders>
              <w:top w:val="single" w:color="535353" w:sz="4" w:space="0"/>
              <w:left w:val="single" w:color="535353" w:sz="4" w:space="0"/>
              <w:bottom w:val="single" w:color="535353" w:sz="4" w:space="0"/>
              <w:right w:val="single" w:color="535353" w:sz="4" w:space="0"/>
            </w:tcBorders>
            <w:shd w:val="clear" w:color="auto" w:fill="auto"/>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甘江-新场</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小型</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260</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286</w:t>
            </w:r>
          </w:p>
        </w:tc>
      </w:tr>
      <w:tr>
        <w:tblPrEx>
          <w:tblCellMar>
            <w:top w:w="0" w:type="dxa"/>
            <w:left w:w="108" w:type="dxa"/>
            <w:bottom w:w="0" w:type="dxa"/>
            <w:right w:w="108" w:type="dxa"/>
          </w:tblCellMar>
        </w:tblPrEx>
        <w:trPr>
          <w:trHeight w:val="438" w:hRule="atLeast"/>
        </w:trPr>
        <w:tc>
          <w:tcPr>
            <w:tcW w:w="0" w:type="auto"/>
            <w:tcBorders>
              <w:top w:val="single" w:color="535353" w:sz="4" w:space="0"/>
              <w:left w:val="single" w:color="535353" w:sz="4" w:space="0"/>
              <w:bottom w:val="single" w:color="535353" w:sz="4" w:space="0"/>
              <w:right w:val="single" w:color="535353" w:sz="4" w:space="0"/>
            </w:tcBorders>
            <w:shd w:val="clear" w:color="auto" w:fill="auto"/>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马村片区</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小型</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288.3</w:t>
            </w:r>
          </w:p>
        </w:tc>
        <w:tc>
          <w:tcPr>
            <w:tcW w:w="0" w:type="auto"/>
            <w:tcBorders>
              <w:top w:val="single" w:color="535353" w:sz="4" w:space="0"/>
              <w:left w:val="single" w:color="535353" w:sz="4" w:space="0"/>
              <w:bottom w:val="single" w:color="535353" w:sz="4" w:space="0"/>
              <w:right w:val="single" w:color="535353" w:sz="4" w:space="0"/>
            </w:tcBorders>
            <w:shd w:val="clear" w:color="auto" w:fill="auto"/>
            <w:noWrap/>
            <w:vAlign w:val="center"/>
          </w:tcPr>
          <w:p>
            <w:pPr>
              <w:widowControl/>
              <w:jc w:val="center"/>
              <w:rPr>
                <w:rFonts w:hint="eastAsia" w:ascii="仿宋_GB2312" w:hAnsi="仿宋_GB2312" w:eastAsia="仿宋_GB2312" w:cs="仿宋_GB2312"/>
                <w:color w:val="535353"/>
                <w:kern w:val="0"/>
                <w:sz w:val="24"/>
                <w:szCs w:val="24"/>
              </w:rPr>
            </w:pPr>
            <w:r>
              <w:rPr>
                <w:rFonts w:hint="eastAsia" w:ascii="仿宋_GB2312" w:hAnsi="仿宋_GB2312" w:eastAsia="仿宋_GB2312" w:cs="仿宋_GB2312"/>
                <w:color w:val="535353"/>
                <w:kern w:val="0"/>
                <w:sz w:val="24"/>
                <w:szCs w:val="24"/>
              </w:rPr>
              <w:t>317</w:t>
            </w:r>
          </w:p>
        </w:tc>
      </w:tr>
    </w:tbl>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（十）兑现方式：</w:t>
      </w:r>
      <w:r>
        <w:rPr>
          <w:rFonts w:hint="eastAsia" w:ascii="仿宋_GB2312" w:hAnsi="仿宋_GB2312" w:eastAsia="仿宋_GB2312" w:cs="仿宋_GB2312"/>
          <w:color w:val="000000" w:themeColor="text1"/>
          <w:sz w:val="32"/>
          <w:szCs w:val="32"/>
          <w14:textFill>
            <w14:solidFill>
              <w14:schemeClr w14:val="tx1"/>
            </w14:solidFill>
          </w14:textFill>
        </w:rPr>
        <w:t>快申快享</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（十一）兑现时限：</w:t>
      </w:r>
      <w:r>
        <w:rPr>
          <w:rFonts w:hint="eastAsia" w:ascii="仿宋_GB2312" w:hAnsi="仿宋_GB2312" w:eastAsia="仿宋_GB2312" w:cs="仿宋_GB2312"/>
          <w:color w:val="000000" w:themeColor="text1"/>
          <w:sz w:val="32"/>
          <w:szCs w:val="32"/>
          <w14:textFill>
            <w14:solidFill>
              <w14:schemeClr w14:val="tx1"/>
            </w14:solidFill>
          </w14:textFill>
        </w:rPr>
        <w:t>25个工作日</w:t>
      </w:r>
    </w:p>
    <w:p>
      <w:pPr>
        <w:pStyle w:val="11"/>
        <w:autoSpaceDE w:val="0"/>
        <w:spacing w:line="600" w:lineRule="exact"/>
        <w:ind w:firstLine="640" w:firstLineChars="200"/>
        <w:jc w:val="left"/>
        <w:rPr>
          <w:rFonts w:hint="default" w:ascii="楷体" w:hAnsi="楷体" w:eastAsia="楷体" w:cs="仿宋_GB2312"/>
          <w:color w:val="000000" w:themeColor="text1"/>
          <w:sz w:val="32"/>
          <w:szCs w:val="32"/>
          <w:lang w:val="en-US" w:eastAsia="zh-CN"/>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（十二）惠企政策服务专窗咨询电话：</w:t>
      </w:r>
      <w:r>
        <w:rPr>
          <w:rFonts w:hint="eastAsia" w:ascii="仿宋_GB2312" w:hAnsi="仿宋_GB2312" w:eastAsia="仿宋_GB2312" w:cs="仿宋_GB2312"/>
          <w:sz w:val="32"/>
          <w:szCs w:val="32"/>
          <w:lang w:val="en-US" w:eastAsia="zh-CN"/>
        </w:rPr>
        <w:t>5688206</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（十三）监督投诉电话：</w:t>
      </w:r>
      <w:r>
        <w:rPr>
          <w:rFonts w:hint="eastAsia" w:ascii="仿宋_GB2312" w:hAnsi="仿宋_GB2312" w:eastAsia="仿宋_GB2312" w:cs="仿宋_GB2312"/>
          <w:color w:val="000000" w:themeColor="text1"/>
          <w:sz w:val="32"/>
          <w:szCs w:val="32"/>
          <w14:textFill>
            <w14:solidFill>
              <w14:schemeClr w14:val="tx1"/>
            </w14:solidFill>
          </w14:textFill>
        </w:rPr>
        <w:t>12345</w:t>
      </w:r>
    </w:p>
    <w:p>
      <w:pPr>
        <w:pStyle w:val="11"/>
        <w:autoSpaceDE w:val="0"/>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（十四）受理地址：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夹江县</w:t>
      </w:r>
      <w:r>
        <w:rPr>
          <w:rFonts w:hint="eastAsia" w:ascii="仿宋_GB2312" w:hAnsi="仿宋_GB2312" w:eastAsia="仿宋_GB2312" w:cs="仿宋_GB2312"/>
          <w:color w:val="000000" w:themeColor="text1"/>
          <w:sz w:val="32"/>
          <w:szCs w:val="32"/>
          <w14:textFill>
            <w14:solidFill>
              <w14:schemeClr w14:val="tx1"/>
            </w14:solidFill>
          </w14:textFill>
        </w:rPr>
        <w:t>政务服务中心惠企政策服务专窗</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（十五）工作时间：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法定工作日，上午9:00-12:00；下午13:00-17:00。</w:t>
      </w:r>
    </w:p>
    <w:p>
      <w:pPr>
        <w:pStyle w:val="11"/>
        <w:autoSpaceDE w:val="0"/>
        <w:spacing w:line="600" w:lineRule="exact"/>
        <w:ind w:firstLine="640" w:firstLineChars="200"/>
        <w:jc w:val="lef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二、申请材料</w:t>
      </w:r>
    </w:p>
    <w:p>
      <w:pPr>
        <w:pStyle w:val="11"/>
        <w:autoSpaceDE w:val="0"/>
        <w:spacing w:line="600" w:lineRule="exact"/>
        <w:ind w:firstLine="640" w:firstLineChars="20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（一）农村客运车用压缩天然气补贴车辆情况表</w:t>
      </w:r>
    </w:p>
    <w:p>
      <w:pPr>
        <w:pStyle w:val="11"/>
        <w:autoSpaceDE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材料要求：原件2份，法定代表人签字并在签字处加盖单位公章。</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BF3EE"/>
    <w:multiLevelType w:val="singleLevel"/>
    <w:tmpl w:val="B6BBF3EE"/>
    <w:lvl w:ilvl="0" w:tentative="0">
      <w:start w:val="2"/>
      <w:numFmt w:val="chineseCounting"/>
      <w:suff w:val="nothing"/>
      <w:lvlText w:val="（%1）"/>
      <w:lvlJc w:val="left"/>
      <w:rPr>
        <w:rFonts w:hint="eastAsia"/>
      </w:rPr>
    </w:lvl>
  </w:abstractNum>
  <w:abstractNum w:abstractNumId="1">
    <w:nsid w:val="C09CAB68"/>
    <w:multiLevelType w:val="singleLevel"/>
    <w:tmpl w:val="C09CAB68"/>
    <w:lvl w:ilvl="0" w:tentative="0">
      <w:start w:val="2"/>
      <w:numFmt w:val="chineseCounting"/>
      <w:suff w:val="nothing"/>
      <w:lvlText w:val="（%1）"/>
      <w:lvlJc w:val="left"/>
      <w:rPr>
        <w:rFonts w:hint="eastAsia"/>
      </w:rPr>
    </w:lvl>
  </w:abstractNum>
  <w:abstractNum w:abstractNumId="2">
    <w:nsid w:val="0D188DAB"/>
    <w:multiLevelType w:val="singleLevel"/>
    <w:tmpl w:val="0D188DA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jg3NWQ0Zjg0YmMzOTA2NjkyY2NhMjIxZDM1NGMifQ=="/>
  </w:docVars>
  <w:rsids>
    <w:rsidRoot w:val="58566BDD"/>
    <w:rsid w:val="0A627318"/>
    <w:rsid w:val="0D051445"/>
    <w:rsid w:val="0E1A204C"/>
    <w:rsid w:val="0E4C1E01"/>
    <w:rsid w:val="110A051C"/>
    <w:rsid w:val="11265DB1"/>
    <w:rsid w:val="13FC1420"/>
    <w:rsid w:val="1541576B"/>
    <w:rsid w:val="19F77114"/>
    <w:rsid w:val="1A1E46C9"/>
    <w:rsid w:val="226C3E64"/>
    <w:rsid w:val="233168E8"/>
    <w:rsid w:val="248B0D8F"/>
    <w:rsid w:val="25B61DF4"/>
    <w:rsid w:val="279B2FA8"/>
    <w:rsid w:val="283C51E2"/>
    <w:rsid w:val="2B6B5811"/>
    <w:rsid w:val="2C0C79D5"/>
    <w:rsid w:val="2DB95E8C"/>
    <w:rsid w:val="2DC0289E"/>
    <w:rsid w:val="2FEC1BAE"/>
    <w:rsid w:val="312305E7"/>
    <w:rsid w:val="322234AE"/>
    <w:rsid w:val="333F51E9"/>
    <w:rsid w:val="33CE316C"/>
    <w:rsid w:val="353333BE"/>
    <w:rsid w:val="36BF7A06"/>
    <w:rsid w:val="37301BC3"/>
    <w:rsid w:val="37D60681"/>
    <w:rsid w:val="3C263F3D"/>
    <w:rsid w:val="41034B3A"/>
    <w:rsid w:val="416F56E8"/>
    <w:rsid w:val="43664BA0"/>
    <w:rsid w:val="43937E29"/>
    <w:rsid w:val="4D69364E"/>
    <w:rsid w:val="4FB11CF4"/>
    <w:rsid w:val="52532C48"/>
    <w:rsid w:val="52724154"/>
    <w:rsid w:val="54E15101"/>
    <w:rsid w:val="574C3B18"/>
    <w:rsid w:val="58566BDD"/>
    <w:rsid w:val="58D80BD5"/>
    <w:rsid w:val="5DAB421F"/>
    <w:rsid w:val="5F4D6C7A"/>
    <w:rsid w:val="66311B41"/>
    <w:rsid w:val="66FF3550"/>
    <w:rsid w:val="6831406D"/>
    <w:rsid w:val="6C2E484F"/>
    <w:rsid w:val="6D631E58"/>
    <w:rsid w:val="6D8942CE"/>
    <w:rsid w:val="6DC84DAA"/>
    <w:rsid w:val="6F0938C4"/>
    <w:rsid w:val="6F9B04E7"/>
    <w:rsid w:val="70974CAA"/>
    <w:rsid w:val="71AE3899"/>
    <w:rsid w:val="72891A59"/>
    <w:rsid w:val="73D70010"/>
    <w:rsid w:val="740D04D7"/>
    <w:rsid w:val="74B640A2"/>
    <w:rsid w:val="7B676CC8"/>
    <w:rsid w:val="7D1D3B52"/>
    <w:rsid w:val="7D83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3">
    <w:name w:val="Body Text"/>
    <w:basedOn w:val="1"/>
    <w:qFormat/>
    <w:uiPriority w:val="99"/>
  </w:style>
  <w:style w:type="paragraph" w:styleId="4">
    <w:name w:val="footer"/>
    <w:basedOn w:val="1"/>
    <w:next w:val="1"/>
    <w:qFormat/>
    <w:uiPriority w:val="99"/>
    <w:pPr>
      <w:tabs>
        <w:tab w:val="center" w:pos="4153"/>
        <w:tab w:val="right" w:pos="8307"/>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NormalCharacter"/>
    <w:qFormat/>
    <w:uiPriority w:val="0"/>
  </w:style>
  <w:style w:type="paragraph" w:customStyle="1" w:styleId="11">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Body Text First Indent 21"/>
    <w:basedOn w:val="1"/>
    <w:next w:val="1"/>
    <w:qFormat/>
    <w:uiPriority w:val="0"/>
    <w:pPr>
      <w:ind w:left="200" w:leftChars="20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2024-05-09T09:02:00Z</dcterms:created>
  <dc:creator>Administrator</dc:creator>
  <cp:lastModifiedBy>木子</cp:lastModifiedBy>
  <cp:lastPrinted>2024-05-31T03:31:00Z</cp:lastPrinted>
  <dcterms:modified xsi:type="dcterms:W3CDTF">2024-11-12T02:56:59Z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3F59B5356FC34E81AE1C7A55834A289D_13</vt:lpwstr>
  </property>
</Properties>
</file>